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53ADBC" w14:textId="2122BE6B" w:rsidR="001F11F1" w:rsidRDefault="005662CB">
      <w:pPr>
        <w:rPr>
          <w:rFonts w:asciiTheme="majorHAnsi" w:eastAsiaTheme="majorEastAsia" w:hAnsiTheme="majorHAnsi" w:cstheme="majorBidi"/>
          <w:spacing w:val="-10"/>
          <w:kern w:val="28"/>
          <w:sz w:val="56"/>
          <w:szCs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EFCD70" wp14:editId="19E0C49D">
                <wp:simplePos x="0" y="0"/>
                <wp:positionH relativeFrom="column">
                  <wp:posOffset>847725</wp:posOffset>
                </wp:positionH>
                <wp:positionV relativeFrom="paragraph">
                  <wp:posOffset>1659255</wp:posOffset>
                </wp:positionV>
                <wp:extent cx="4019550" cy="226695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19550" cy="226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FA2060A" w14:textId="77777777" w:rsidR="004179BF" w:rsidRPr="004179BF" w:rsidRDefault="005662CB" w:rsidP="005662CB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179B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Joint Workshop </w:t>
                            </w:r>
                          </w:p>
                          <w:p w14:paraId="4F66A4FD" w14:textId="6EE99430" w:rsidR="005662CB" w:rsidRPr="004179BF" w:rsidRDefault="005662CB" w:rsidP="005662CB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 w:rsidRPr="004179BF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b</w:t>
                            </w:r>
                            <w:r w:rsidR="00352AD1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etween</w:t>
                            </w:r>
                          </w:p>
                          <w:p w14:paraId="79248E53" w14:textId="4AE1459E" w:rsidR="005662CB" w:rsidRPr="004179BF" w:rsidRDefault="005662CB" w:rsidP="005662CB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179B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IMDRF</w:t>
                            </w:r>
                            <w:r w:rsidR="00E63B4D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 xml:space="preserve"> and </w:t>
                            </w:r>
                            <w:r w:rsidRPr="004179B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DITTA and GMTA</w:t>
                            </w:r>
                          </w:p>
                          <w:p w14:paraId="0A74F07B" w14:textId="1ACE2AAF" w:rsidR="005662CB" w:rsidRPr="004179BF" w:rsidRDefault="00E63B4D" w:rsidP="005662CB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 xml:space="preserve">Benefits and Opportunities of Medical Device Regulatory </w:t>
                            </w:r>
                            <w:r w:rsidR="005662CB" w:rsidRPr="004179BF">
                              <w:rPr>
                                <w:b/>
                                <w:bCs/>
                                <w:i/>
                                <w:iCs/>
                                <w:color w:val="002060"/>
                                <w:sz w:val="24"/>
                                <w:szCs w:val="24"/>
                              </w:rPr>
                              <w:t>Reliance</w:t>
                            </w:r>
                          </w:p>
                          <w:p w14:paraId="14E4D741" w14:textId="22A754D2" w:rsidR="004179BF" w:rsidRPr="004179BF" w:rsidRDefault="004179BF" w:rsidP="004179BF">
                            <w:pPr>
                              <w:jc w:val="center"/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</w:pPr>
                            <w:r w:rsidRPr="004179BF">
                              <w:rPr>
                                <w:rFonts w:asciiTheme="majorHAnsi" w:eastAsiaTheme="majorEastAsia" w:hAnsiTheme="majorHAnsi" w:cstheme="majorBidi"/>
                                <w:b/>
                                <w:bCs/>
                                <w:i/>
                                <w:iCs/>
                                <w:color w:val="002060"/>
                                <w:spacing w:val="-10"/>
                                <w:kern w:val="28"/>
                                <w:sz w:val="24"/>
                                <w:szCs w:val="24"/>
                              </w:rPr>
                              <w:t>11 March 2024</w:t>
                            </w:r>
                          </w:p>
                          <w:p w14:paraId="433A4892" w14:textId="77777777" w:rsidR="005662CB" w:rsidRPr="004179BF" w:rsidRDefault="005662CB" w:rsidP="005662CB">
                            <w:pPr>
                              <w:pStyle w:val="Title"/>
                              <w:jc w:val="center"/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</w:pPr>
                            <w:r w:rsidRPr="004179BF">
                              <w:rPr>
                                <w:b/>
                                <w:bCs/>
                                <w:color w:val="002060"/>
                                <w:sz w:val="32"/>
                                <w:szCs w:val="32"/>
                              </w:rPr>
                              <w:t>White Paper</w:t>
                            </w:r>
                          </w:p>
                          <w:p w14:paraId="3EAC1192" w14:textId="77777777" w:rsidR="005662CB" w:rsidRDefault="005662C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CEFCD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6.75pt;margin-top:130.65pt;width:316.5pt;height:178.5pt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" filled="f" stroked="f" strokeweight=".5pt">
                <v:textbox>
                  <w:txbxContent>
                    <w:p w14:paraId="7FA2060A" w14:textId="77777777" w:rsidR="004179BF" w:rsidRPr="004179BF" w:rsidRDefault="005662CB" w:rsidP="005662CB">
                      <w:pPr>
                        <w:pStyle w:val="Title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179B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Joint Workshop </w:t>
                      </w:r>
                    </w:p>
                    <w:p w14:paraId="4F66A4FD" w14:textId="6EE99430" w:rsidR="005662CB" w:rsidRPr="004179BF" w:rsidRDefault="005662CB" w:rsidP="005662CB">
                      <w:pPr>
                        <w:pStyle w:val="Title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 w:rsidRPr="004179BF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b</w:t>
                      </w:r>
                      <w:r w:rsidR="00352AD1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etween</w:t>
                      </w:r>
                    </w:p>
                    <w:p w14:paraId="79248E53" w14:textId="4AE1459E" w:rsidR="005662CB" w:rsidRPr="004179BF" w:rsidRDefault="005662CB" w:rsidP="005662CB">
                      <w:pPr>
                        <w:pStyle w:val="Title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179B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IMDRF</w:t>
                      </w:r>
                      <w:r w:rsidR="00E63B4D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 xml:space="preserve"> and </w:t>
                      </w:r>
                      <w:r w:rsidRPr="004179B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DITTA and GMTA</w:t>
                      </w:r>
                    </w:p>
                    <w:p w14:paraId="0A74F07B" w14:textId="1ACE2AAF" w:rsidR="005662CB" w:rsidRPr="004179BF" w:rsidRDefault="00E63B4D" w:rsidP="005662CB">
                      <w:pPr>
                        <w:pStyle w:val="Title"/>
                        <w:jc w:val="center"/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</w:pPr>
                      <w:r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 xml:space="preserve">Benefits and Opportunities of Medical Device Regulatory </w:t>
                      </w:r>
                      <w:r w:rsidR="005662CB" w:rsidRPr="004179BF">
                        <w:rPr>
                          <w:b/>
                          <w:bCs/>
                          <w:i/>
                          <w:iCs/>
                          <w:color w:val="002060"/>
                          <w:sz w:val="24"/>
                          <w:szCs w:val="24"/>
                        </w:rPr>
                        <w:t>Reliance</w:t>
                      </w:r>
                    </w:p>
                    <w:p w14:paraId="14E4D741" w14:textId="22A754D2" w:rsidR="004179BF" w:rsidRPr="004179BF" w:rsidRDefault="004179BF" w:rsidP="004179BF">
                      <w:pPr>
                        <w:jc w:val="center"/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002060"/>
                          <w:spacing w:val="-10"/>
                          <w:kern w:val="28"/>
                          <w:sz w:val="24"/>
                          <w:szCs w:val="24"/>
                        </w:rPr>
                      </w:pPr>
                      <w:r w:rsidRPr="004179BF">
                        <w:rPr>
                          <w:rFonts w:asciiTheme="majorHAnsi" w:eastAsiaTheme="majorEastAsia" w:hAnsiTheme="majorHAnsi" w:cstheme="majorBidi"/>
                          <w:b/>
                          <w:bCs/>
                          <w:i/>
                          <w:iCs/>
                          <w:color w:val="002060"/>
                          <w:spacing w:val="-10"/>
                          <w:kern w:val="28"/>
                          <w:sz w:val="24"/>
                          <w:szCs w:val="24"/>
                        </w:rPr>
                        <w:t>11 March 2024</w:t>
                      </w:r>
                    </w:p>
                    <w:p w14:paraId="433A4892" w14:textId="77777777" w:rsidR="005662CB" w:rsidRPr="004179BF" w:rsidRDefault="005662CB" w:rsidP="005662CB">
                      <w:pPr>
                        <w:pStyle w:val="Title"/>
                        <w:jc w:val="center"/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</w:pPr>
                      <w:r w:rsidRPr="004179BF">
                        <w:rPr>
                          <w:b/>
                          <w:bCs/>
                          <w:color w:val="002060"/>
                          <w:sz w:val="32"/>
                          <w:szCs w:val="32"/>
                        </w:rPr>
                        <w:t>White Paper</w:t>
                      </w:r>
                    </w:p>
                    <w:p w14:paraId="3EAC1192" w14:textId="77777777" w:rsidR="005662CB" w:rsidRDefault="005662CB"/>
                  </w:txbxContent>
                </v:textbox>
              </v:shape>
            </w:pict>
          </mc:Fallback>
        </mc:AlternateContent>
      </w:r>
      <w:r w:rsidR="001F11F1">
        <w:rPr>
          <w:noProof/>
        </w:rPr>
        <w:drawing>
          <wp:inline distT="0" distB="0" distL="0" distR="0" wp14:anchorId="0785053D" wp14:editId="0F6A86DF">
            <wp:extent cx="5484495" cy="8229600"/>
            <wp:effectExtent l="0" t="0" r="190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4495" cy="822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11F1">
        <w:br w:type="page"/>
      </w:r>
    </w:p>
    <w:p w14:paraId="5C98E471" w14:textId="11032FF6" w:rsidR="00266315" w:rsidRPr="004179BF" w:rsidRDefault="00192EAA" w:rsidP="00192EAA">
      <w:pPr>
        <w:pStyle w:val="Title"/>
        <w:jc w:val="center"/>
        <w:rPr>
          <w:color w:val="002060"/>
        </w:rPr>
      </w:pPr>
      <w:r w:rsidRPr="004179BF">
        <w:rPr>
          <w:color w:val="002060"/>
        </w:rPr>
        <w:lastRenderedPageBreak/>
        <w:t xml:space="preserve">Medical Device Regulatory </w:t>
      </w:r>
      <w:r w:rsidR="00CF0626" w:rsidRPr="004179BF">
        <w:rPr>
          <w:color w:val="002060"/>
        </w:rPr>
        <w:t>Reliance</w:t>
      </w:r>
    </w:p>
    <w:p w14:paraId="40E876B9" w14:textId="77777777" w:rsidR="001174A3" w:rsidRDefault="001174A3"/>
    <w:p w14:paraId="22290B74" w14:textId="7BF0FBA7" w:rsidR="00CF0626" w:rsidRDefault="00CF0626">
      <w:r>
        <w:t>This White Paper summarize</w:t>
      </w:r>
      <w:r w:rsidR="000723D3">
        <w:t>s</w:t>
      </w:r>
      <w:r>
        <w:t xml:space="preserve"> the discussions and observations </w:t>
      </w:r>
      <w:r w:rsidR="00AF249C">
        <w:t>arising from the International Medical Device Regulators Forum (IMDRF) 25</w:t>
      </w:r>
      <w:r w:rsidR="00AF249C" w:rsidRPr="00AF249C">
        <w:rPr>
          <w:vertAlign w:val="superscript"/>
        </w:rPr>
        <w:t>th</w:t>
      </w:r>
      <w:r w:rsidR="00AF249C">
        <w:t xml:space="preserve"> Session Joint IMDRF-DITTA and GMTA Workshop on “Reliance.” The workshop was chaired by the U</w:t>
      </w:r>
      <w:r w:rsidR="00565927">
        <w:t>nited States under its role as</w:t>
      </w:r>
      <w:r w:rsidR="001E23AF">
        <w:t xml:space="preserve"> the</w:t>
      </w:r>
      <w:r w:rsidR="00565927">
        <w:t xml:space="preserve"> IMDRF Chair</w:t>
      </w:r>
      <w:r w:rsidR="000723D3">
        <w:t xml:space="preserve"> </w:t>
      </w:r>
      <w:r w:rsidR="001E23AF">
        <w:t>for</w:t>
      </w:r>
      <w:r w:rsidR="000723D3">
        <w:t xml:space="preserve"> 2024</w:t>
      </w:r>
      <w:r w:rsidR="00565927">
        <w:t>.</w:t>
      </w:r>
    </w:p>
    <w:p w14:paraId="2D66480A" w14:textId="3A13FD5B" w:rsidR="000C4262" w:rsidRDefault="00B562A0" w:rsidP="00CE7AD1">
      <w:r>
        <w:t xml:space="preserve">The workshop began </w:t>
      </w:r>
      <w:r w:rsidR="009642E7">
        <w:t xml:space="preserve">by defining reliance </w:t>
      </w:r>
      <w:r w:rsidR="00BC3446">
        <w:t xml:space="preserve">using </w:t>
      </w:r>
      <w:hyperlink r:id="rId10">
        <w:r w:rsidR="0050521B" w:rsidRPr="19FF74B5">
          <w:rPr>
            <w:rStyle w:val="Hyperlink"/>
          </w:rPr>
          <w:t xml:space="preserve">WHO’s </w:t>
        </w:r>
        <w:r w:rsidR="00602DDE" w:rsidRPr="19FF74B5">
          <w:rPr>
            <w:rStyle w:val="Hyperlink"/>
          </w:rPr>
          <w:t>Good Reliance Practices</w:t>
        </w:r>
      </w:hyperlink>
      <w:r w:rsidR="00602DDE">
        <w:t xml:space="preserve"> document</w:t>
      </w:r>
      <w:r w:rsidR="00863997">
        <w:t xml:space="preserve"> and </w:t>
      </w:r>
      <w:r w:rsidR="008A538A">
        <w:t xml:space="preserve">noting that </w:t>
      </w:r>
      <w:r w:rsidR="008A538A" w:rsidRPr="19FF74B5">
        <w:rPr>
          <w:b/>
          <w:bCs/>
        </w:rPr>
        <w:t>n</w:t>
      </w:r>
      <w:r w:rsidR="00863997" w:rsidRPr="19FF74B5">
        <w:rPr>
          <w:b/>
          <w:bCs/>
        </w:rPr>
        <w:t>ot</w:t>
      </w:r>
      <w:r w:rsidR="006E041C" w:rsidRPr="19FF74B5">
        <w:rPr>
          <w:b/>
          <w:bCs/>
        </w:rPr>
        <w:t xml:space="preserve"> all approaches to regulatory reliance are identical</w:t>
      </w:r>
      <w:r w:rsidR="008A538A">
        <w:t>. As</w:t>
      </w:r>
      <w:r w:rsidR="006E041C">
        <w:t xml:space="preserve"> evidenced by the many case studies and perspectives shared throughout the workshop</w:t>
      </w:r>
      <w:r w:rsidR="008A538A">
        <w:t xml:space="preserve">, reliance may be adapted by each regulator to serve their own jurisdictional needs. </w:t>
      </w:r>
      <w:r w:rsidR="00140025">
        <w:t>Both regulators and industry representatives noted t</w:t>
      </w:r>
      <w:r w:rsidR="00B058F1">
        <w:t xml:space="preserve">he </w:t>
      </w:r>
      <w:r w:rsidR="00140025">
        <w:t xml:space="preserve">many </w:t>
      </w:r>
      <w:r w:rsidR="00B058F1">
        <w:t xml:space="preserve">benefits of reliance, including </w:t>
      </w:r>
      <w:r w:rsidR="00B058F1" w:rsidRPr="19FF74B5">
        <w:rPr>
          <w:b/>
          <w:bCs/>
        </w:rPr>
        <w:t>faster patient access to</w:t>
      </w:r>
      <w:r w:rsidR="00CE7220" w:rsidRPr="19FF74B5">
        <w:rPr>
          <w:b/>
          <w:bCs/>
        </w:rPr>
        <w:t xml:space="preserve"> safe, effective, high</w:t>
      </w:r>
      <w:r w:rsidR="3F153F55" w:rsidRPr="19FF74B5">
        <w:rPr>
          <w:b/>
          <w:bCs/>
        </w:rPr>
        <w:t>-</w:t>
      </w:r>
      <w:r w:rsidR="00CE7220" w:rsidRPr="19FF74B5">
        <w:rPr>
          <w:b/>
          <w:bCs/>
        </w:rPr>
        <w:t>quality, innovative medical devices</w:t>
      </w:r>
      <w:r w:rsidR="001E23AF">
        <w:t xml:space="preserve">, quicker </w:t>
      </w:r>
      <w:r w:rsidR="00DE4708" w:rsidRPr="19FF74B5">
        <w:rPr>
          <w:b/>
          <w:bCs/>
        </w:rPr>
        <w:t>identification of postmarket issues</w:t>
      </w:r>
      <w:r w:rsidR="00DE4708">
        <w:t>,</w:t>
      </w:r>
      <w:r w:rsidR="00CE7220">
        <w:t xml:space="preserve"> </w:t>
      </w:r>
      <w:r w:rsidR="00B058F1">
        <w:t xml:space="preserve">and </w:t>
      </w:r>
      <w:r w:rsidR="00140025">
        <w:t xml:space="preserve">the </w:t>
      </w:r>
      <w:r w:rsidR="00B058F1">
        <w:t xml:space="preserve">ability to </w:t>
      </w:r>
      <w:r w:rsidR="00B058F1" w:rsidRPr="19FF74B5">
        <w:rPr>
          <w:b/>
          <w:bCs/>
        </w:rPr>
        <w:t>reallocate resources</w:t>
      </w:r>
      <w:r w:rsidR="00B058F1">
        <w:t xml:space="preserve"> to other </w:t>
      </w:r>
      <w:r w:rsidR="00140025">
        <w:t>activities.</w:t>
      </w:r>
    </w:p>
    <w:p w14:paraId="08ABE12B" w14:textId="0D256B80" w:rsidR="00EE46D0" w:rsidRDefault="00000011" w:rsidP="00CE7AD1">
      <w:r>
        <w:t xml:space="preserve">IMDRF has </w:t>
      </w:r>
      <w:r w:rsidR="000C4262">
        <w:t xml:space="preserve">already </w:t>
      </w:r>
      <w:r w:rsidR="318FAAFE">
        <w:t xml:space="preserve">played </w:t>
      </w:r>
      <w:r>
        <w:t>and will continue to play a critical role in bringing regulators together</w:t>
      </w:r>
      <w:r w:rsidR="00D5092C">
        <w:t xml:space="preserve">, building </w:t>
      </w:r>
      <w:r w:rsidR="00D5092C" w:rsidRPr="19FF74B5">
        <w:rPr>
          <w:b/>
          <w:bCs/>
        </w:rPr>
        <w:t>trust</w:t>
      </w:r>
      <w:r w:rsidR="00D5092C">
        <w:t xml:space="preserve"> </w:t>
      </w:r>
      <w:r w:rsidR="00E91568">
        <w:t xml:space="preserve">and </w:t>
      </w:r>
      <w:r w:rsidR="00B04C63">
        <w:t>driving the</w:t>
      </w:r>
      <w:r w:rsidR="00D5092C">
        <w:t xml:space="preserve"> </w:t>
      </w:r>
      <w:r w:rsidR="00D5092C" w:rsidRPr="19FF74B5">
        <w:rPr>
          <w:b/>
          <w:bCs/>
        </w:rPr>
        <w:t>convergence</w:t>
      </w:r>
      <w:r w:rsidR="00D5092C">
        <w:t xml:space="preserve"> of </w:t>
      </w:r>
      <w:r w:rsidR="00B04C63">
        <w:t xml:space="preserve">approaches </w:t>
      </w:r>
      <w:r w:rsidR="00E91568">
        <w:t xml:space="preserve">needed to </w:t>
      </w:r>
      <w:r w:rsidR="00B04C63">
        <w:t xml:space="preserve">support </w:t>
      </w:r>
      <w:r w:rsidR="000723D3">
        <w:t xml:space="preserve">regulatory </w:t>
      </w:r>
      <w:r w:rsidR="00B04C63">
        <w:t>reliance in practice.</w:t>
      </w:r>
      <w:r>
        <w:t xml:space="preserve"> </w:t>
      </w:r>
    </w:p>
    <w:p w14:paraId="4EFB296B" w14:textId="6A2B94C2" w:rsidR="00922A98" w:rsidRPr="004179BF" w:rsidRDefault="00922A98" w:rsidP="00192EAA">
      <w:pPr>
        <w:pStyle w:val="Heading1"/>
        <w:rPr>
          <w:b/>
          <w:bCs/>
          <w:color w:val="002060"/>
        </w:rPr>
      </w:pPr>
      <w:r w:rsidRPr="004179BF">
        <w:rPr>
          <w:b/>
          <w:bCs/>
          <w:color w:val="002060"/>
        </w:rPr>
        <w:t>Session 1- Reliance in a Premarket Setting</w:t>
      </w:r>
    </w:p>
    <w:p w14:paraId="5EDF1445" w14:textId="54BB87B6" w:rsidR="00FF7916" w:rsidRDefault="006E367D" w:rsidP="0002470F">
      <w:r>
        <w:t xml:space="preserve">During this session, </w:t>
      </w:r>
      <w:r w:rsidR="009B7213">
        <w:t>speakers</w:t>
      </w:r>
      <w:r w:rsidR="009E3CDF">
        <w:t xml:space="preserve"> </w:t>
      </w:r>
      <w:r w:rsidR="0059215C">
        <w:t>share</w:t>
      </w:r>
      <w:r>
        <w:t>d their experiences and challenges navigating and administering reliance models in a premarket setting.</w:t>
      </w:r>
      <w:r w:rsidR="0059215C">
        <w:t xml:space="preserve"> Regulators discussed</w:t>
      </w:r>
      <w:r w:rsidR="006442B3">
        <w:t xml:space="preserve"> the importance of maintaining their </w:t>
      </w:r>
      <w:r w:rsidR="006442B3" w:rsidRPr="19FF74B5">
        <w:rPr>
          <w:b/>
          <w:bCs/>
        </w:rPr>
        <w:t>own decision-making authority</w:t>
      </w:r>
      <w:r w:rsidR="006442B3">
        <w:t xml:space="preserve"> and</w:t>
      </w:r>
      <w:r w:rsidR="0066189D">
        <w:t xml:space="preserve"> described</w:t>
      </w:r>
      <w:r w:rsidR="006442B3">
        <w:t xml:space="preserve"> </w:t>
      </w:r>
      <w:r w:rsidR="0059215C">
        <w:t>the processes used to develop</w:t>
      </w:r>
      <w:r w:rsidR="00045FD8">
        <w:t>,</w:t>
      </w:r>
      <w:r w:rsidR="0059215C">
        <w:t xml:space="preserve"> implement</w:t>
      </w:r>
      <w:r w:rsidR="00045FD8">
        <w:t>, and improve upon</w:t>
      </w:r>
      <w:r w:rsidR="0059215C">
        <w:t xml:space="preserve"> reliance framework</w:t>
      </w:r>
      <w:r w:rsidR="00045FD8">
        <w:t>s</w:t>
      </w:r>
      <w:r w:rsidR="0066189D">
        <w:t xml:space="preserve">. </w:t>
      </w:r>
      <w:r w:rsidR="0066189D" w:rsidRPr="19FF74B5">
        <w:rPr>
          <w:b/>
          <w:bCs/>
        </w:rPr>
        <w:t>T</w:t>
      </w:r>
      <w:r w:rsidR="003752D8" w:rsidRPr="19FF74B5">
        <w:rPr>
          <w:b/>
          <w:bCs/>
        </w:rPr>
        <w:t>rust</w:t>
      </w:r>
      <w:r w:rsidR="003752D8">
        <w:t xml:space="preserve"> and </w:t>
      </w:r>
      <w:r w:rsidR="003752D8" w:rsidRPr="19FF74B5">
        <w:rPr>
          <w:b/>
          <w:bCs/>
        </w:rPr>
        <w:t xml:space="preserve">communication </w:t>
      </w:r>
      <w:r w:rsidR="003752D8">
        <w:t xml:space="preserve">among regulators as well as the need for </w:t>
      </w:r>
      <w:r w:rsidR="003752D8" w:rsidRPr="19FF74B5">
        <w:rPr>
          <w:b/>
          <w:bCs/>
        </w:rPr>
        <w:t xml:space="preserve">clarity </w:t>
      </w:r>
      <w:r w:rsidR="003752D8">
        <w:t xml:space="preserve">and </w:t>
      </w:r>
      <w:r w:rsidR="003752D8" w:rsidRPr="19FF74B5">
        <w:rPr>
          <w:b/>
          <w:bCs/>
        </w:rPr>
        <w:t>transparency</w:t>
      </w:r>
      <w:r w:rsidR="003752D8">
        <w:t xml:space="preserve"> in decision</w:t>
      </w:r>
      <w:r w:rsidR="1CDECC93">
        <w:t>-</w:t>
      </w:r>
      <w:r w:rsidR="003752D8">
        <w:t>making</w:t>
      </w:r>
      <w:r w:rsidR="0066189D">
        <w:t xml:space="preserve"> </w:t>
      </w:r>
      <w:r w:rsidR="69BD6901">
        <w:t>are</w:t>
      </w:r>
      <w:r w:rsidR="0066189D">
        <w:t xml:space="preserve"> critical to successful </w:t>
      </w:r>
      <w:r w:rsidR="000723D3">
        <w:t>implementation</w:t>
      </w:r>
      <w:r w:rsidR="009B7213">
        <w:t xml:space="preserve"> of reliance</w:t>
      </w:r>
      <w:r w:rsidR="003752D8">
        <w:t>.</w:t>
      </w:r>
      <w:r w:rsidR="00045FD8">
        <w:t xml:space="preserve"> </w:t>
      </w:r>
    </w:p>
    <w:p w14:paraId="2F682521" w14:textId="16BDC4A4" w:rsidR="0059215C" w:rsidRDefault="00BE476A" w:rsidP="0002470F">
      <w:r>
        <w:t>S</w:t>
      </w:r>
      <w:r w:rsidR="00266323">
        <w:t xml:space="preserve">pecific </w:t>
      </w:r>
      <w:r w:rsidR="00266323" w:rsidRPr="00733CAE">
        <w:rPr>
          <w:b/>
          <w:bCs/>
        </w:rPr>
        <w:t>case studies</w:t>
      </w:r>
      <w:r w:rsidR="00266323">
        <w:t xml:space="preserve"> (e.g., blood screening test) illustrate</w:t>
      </w:r>
      <w:r>
        <w:t>d</w:t>
      </w:r>
      <w:r w:rsidR="00266323">
        <w:t xml:space="preserve"> the value of reliance </w:t>
      </w:r>
      <w:r w:rsidR="000723D3">
        <w:t xml:space="preserve">in getting devices to patients quicker </w:t>
      </w:r>
      <w:r w:rsidR="00266323">
        <w:t>and the</w:t>
      </w:r>
      <w:r w:rsidR="00E335E3">
        <w:t xml:space="preserve"> need for clear communication and discussion between industry and regulators when piloting new approaches</w:t>
      </w:r>
      <w:r w:rsidR="00266323">
        <w:t xml:space="preserve">. </w:t>
      </w:r>
      <w:r w:rsidR="00045FD8">
        <w:t xml:space="preserve">Regulators </w:t>
      </w:r>
      <w:r w:rsidR="006A5864">
        <w:t>noted that implementing reliance enabled a shifting o</w:t>
      </w:r>
      <w:r w:rsidR="00733CAE">
        <w:t>f</w:t>
      </w:r>
      <w:r w:rsidR="006A5864">
        <w:t xml:space="preserve"> resources within their organizations</w:t>
      </w:r>
      <w:r w:rsidR="00FF7916">
        <w:t xml:space="preserve">. For example, some regulators </w:t>
      </w:r>
      <w:r w:rsidR="00FF7916" w:rsidRPr="00733CAE">
        <w:rPr>
          <w:b/>
          <w:bCs/>
        </w:rPr>
        <w:t>reallocated resources</w:t>
      </w:r>
      <w:r w:rsidR="00FF7916">
        <w:t xml:space="preserve"> from premarket reviews and assessments to </w:t>
      </w:r>
      <w:r w:rsidR="00FF7916" w:rsidRPr="008C6866">
        <w:rPr>
          <w:b/>
          <w:bCs/>
        </w:rPr>
        <w:t>postmarket activities</w:t>
      </w:r>
      <w:r w:rsidR="00FF7916">
        <w:t xml:space="preserve"> or </w:t>
      </w:r>
      <w:r w:rsidR="00FF7916" w:rsidRPr="008C6866">
        <w:rPr>
          <w:b/>
          <w:bCs/>
        </w:rPr>
        <w:t xml:space="preserve">innovative technologies </w:t>
      </w:r>
      <w:r w:rsidR="00FF7916">
        <w:t xml:space="preserve">(e.g., digital health) once reliance models were fully implemented. </w:t>
      </w:r>
      <w:r w:rsidR="00045FD8">
        <w:t xml:space="preserve"> </w:t>
      </w:r>
    </w:p>
    <w:p w14:paraId="26251302" w14:textId="00F6F423" w:rsidR="00266323" w:rsidRDefault="00266323" w:rsidP="00266323">
      <w:r>
        <w:t xml:space="preserve">All speakers noted that </w:t>
      </w:r>
      <w:r w:rsidRPr="008C6866">
        <w:rPr>
          <w:b/>
          <w:bCs/>
        </w:rPr>
        <w:t xml:space="preserve">convergence </w:t>
      </w:r>
      <w:r>
        <w:t xml:space="preserve">on regulatory requirements and approaches is often a first step towards reliance. </w:t>
      </w:r>
      <w:r w:rsidR="00E335E3">
        <w:t xml:space="preserve">Reliance is easier when the approach to regulation is already similar between regulators. </w:t>
      </w:r>
      <w:r>
        <w:t xml:space="preserve">To that end, </w:t>
      </w:r>
      <w:r w:rsidRPr="008C6866">
        <w:rPr>
          <w:b/>
          <w:bCs/>
        </w:rPr>
        <w:t>IMDRF’s harmonized technical documents</w:t>
      </w:r>
      <w:r>
        <w:t xml:space="preserve"> (e.g., those from the </w:t>
      </w:r>
      <w:hyperlink r:id="rId11" w:history="1">
        <w:r w:rsidRPr="00D401F0">
          <w:rPr>
            <w:rStyle w:val="Hyperlink"/>
          </w:rPr>
          <w:t>G</w:t>
        </w:r>
        <w:r w:rsidR="00C53A39" w:rsidRPr="00D401F0">
          <w:rPr>
            <w:rStyle w:val="Hyperlink"/>
          </w:rPr>
          <w:t>ood Regulatory Review Practices</w:t>
        </w:r>
      </w:hyperlink>
      <w:r>
        <w:t xml:space="preserve"> and </w:t>
      </w:r>
      <w:hyperlink r:id="rId12" w:history="1">
        <w:r w:rsidRPr="00C53A39">
          <w:rPr>
            <w:rStyle w:val="Hyperlink"/>
          </w:rPr>
          <w:t>R</w:t>
        </w:r>
        <w:r w:rsidR="00C53A39" w:rsidRPr="00C53A39">
          <w:rPr>
            <w:rStyle w:val="Hyperlink"/>
          </w:rPr>
          <w:t>egulated Product Submission</w:t>
        </w:r>
      </w:hyperlink>
      <w:r>
        <w:t xml:space="preserve"> </w:t>
      </w:r>
      <w:r w:rsidR="00E335E3">
        <w:t>working group</w:t>
      </w:r>
      <w:r>
        <w:t xml:space="preserve">s) provide a </w:t>
      </w:r>
      <w:r w:rsidR="00E335E3">
        <w:t xml:space="preserve">particularly valuable </w:t>
      </w:r>
      <w:r w:rsidRPr="008C6866">
        <w:rPr>
          <w:b/>
          <w:bCs/>
        </w:rPr>
        <w:t xml:space="preserve">starting point for discussions </w:t>
      </w:r>
      <w:r w:rsidR="00E335E3" w:rsidRPr="008C6866">
        <w:rPr>
          <w:b/>
          <w:bCs/>
        </w:rPr>
        <w:t>about premarket reliance</w:t>
      </w:r>
      <w:r w:rsidR="00E335E3">
        <w:t xml:space="preserve"> </w:t>
      </w:r>
      <w:r>
        <w:t>among regulators</w:t>
      </w:r>
      <w:r w:rsidR="00E335E3">
        <w:t>.</w:t>
      </w:r>
      <w:r>
        <w:t xml:space="preserve">  </w:t>
      </w:r>
      <w:r w:rsidR="00334D79">
        <w:t xml:space="preserve">In addition, </w:t>
      </w:r>
      <w:r w:rsidR="009E3F63">
        <w:t xml:space="preserve">the engagement of regulators in the development of </w:t>
      </w:r>
      <w:r w:rsidR="00334D79" w:rsidRPr="008C6866">
        <w:rPr>
          <w:b/>
          <w:bCs/>
        </w:rPr>
        <w:t>internationally harmonized standards</w:t>
      </w:r>
      <w:r w:rsidR="009E3F63">
        <w:t xml:space="preserve"> as well as the use of these </w:t>
      </w:r>
      <w:r w:rsidR="006442B3">
        <w:t>standards</w:t>
      </w:r>
      <w:r w:rsidR="00334D79">
        <w:t xml:space="preserve">, with as few </w:t>
      </w:r>
      <w:r w:rsidR="00E335E3">
        <w:t xml:space="preserve">jurisdiction-specific </w:t>
      </w:r>
      <w:r w:rsidR="00334D79">
        <w:t xml:space="preserve">deviations as possible, </w:t>
      </w:r>
      <w:r w:rsidR="009E3F63">
        <w:t xml:space="preserve">is </w:t>
      </w:r>
      <w:r w:rsidR="00592571">
        <w:t>foundational to</w:t>
      </w:r>
      <w:r w:rsidR="006442B3">
        <w:t xml:space="preserve"> reliance</w:t>
      </w:r>
      <w:r w:rsidR="00592571">
        <w:t xml:space="preserve"> in a premarket setting.</w:t>
      </w:r>
    </w:p>
    <w:p w14:paraId="7C102698" w14:textId="62B972AF" w:rsidR="006442B3" w:rsidRPr="004179BF" w:rsidRDefault="006442B3" w:rsidP="00192EAA">
      <w:pPr>
        <w:pStyle w:val="Heading2"/>
        <w:rPr>
          <w:b/>
          <w:bCs/>
          <w:color w:val="002060"/>
        </w:rPr>
      </w:pPr>
      <w:r w:rsidRPr="004179BF">
        <w:rPr>
          <w:b/>
          <w:bCs/>
          <w:color w:val="002060"/>
        </w:rPr>
        <w:t>Observations:</w:t>
      </w:r>
    </w:p>
    <w:p w14:paraId="77B57880" w14:textId="0E1D8A86" w:rsidR="006322D1" w:rsidRPr="004179BF" w:rsidRDefault="006442B3" w:rsidP="19FF74B5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>Reliance</w:t>
      </w:r>
      <w:r w:rsidR="008C6866"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in a premarket setting </w:t>
      </w:r>
      <w:r w:rsidR="004D52F6"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>speeds access of safe, effective, high</w:t>
      </w:r>
      <w:r w:rsidR="0F25D55D"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>-</w:t>
      </w:r>
      <w:r w:rsidR="004D52F6"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quality, innovative medical devices </w:t>
      </w:r>
      <w:r w:rsidR="006322D1" w:rsidRPr="19FF74B5">
        <w:rPr>
          <w:rFonts w:asciiTheme="majorHAnsi" w:eastAsiaTheme="majorEastAsia" w:hAnsiTheme="majorHAnsi" w:cstheme="majorBidi"/>
          <w:color w:val="002060"/>
          <w:sz w:val="26"/>
          <w:szCs w:val="26"/>
        </w:rPr>
        <w:t>to patients.</w:t>
      </w:r>
    </w:p>
    <w:p w14:paraId="3A347775" w14:textId="2199FC81" w:rsidR="005A760B" w:rsidRPr="004179BF" w:rsidRDefault="006322D1" w:rsidP="006442B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lastRenderedPageBreak/>
        <w:t xml:space="preserve">Reliance allows for </w:t>
      </w:r>
      <w:r w:rsidR="005A760B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knowledge sharing among regulator</w:t>
      </w:r>
      <w:r w:rsidR="00A10CCC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y</w:t>
      </w:r>
      <w:r w:rsidR="00595995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authoritie</w:t>
      </w:r>
      <w:r w:rsidR="005A760B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s and reallocation of resources within a given regulatory authority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</w:t>
      </w:r>
      <w:r w:rsidR="00AF6561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without a decrease in regulatory requirements.</w:t>
      </w:r>
    </w:p>
    <w:p w14:paraId="428113DB" w14:textId="34479757" w:rsidR="00A10CCC" w:rsidRPr="004179BF" w:rsidRDefault="005A760B" w:rsidP="006442B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Regulatory </w:t>
      </w:r>
      <w:r w:rsidR="006223CF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authorities </w:t>
      </w:r>
      <w:r w:rsidR="00592571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can </w:t>
      </w:r>
      <w:r w:rsidR="00AF6561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maintain sovereignty and</w:t>
      </w:r>
      <w:r w:rsidR="00595995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their own decision-making authority</w:t>
      </w:r>
      <w:r w:rsidR="00A10CCC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when implementing reliance.</w:t>
      </w:r>
      <w:r w:rsidR="00A10CCC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</w:t>
      </w:r>
    </w:p>
    <w:p w14:paraId="61C58F00" w14:textId="1C241913" w:rsidR="006442B3" w:rsidRPr="004179BF" w:rsidRDefault="006442B3" w:rsidP="006442B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Trust and communications 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among regulatory authorities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relying on one another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is critical to successful implementation of reliance.</w:t>
      </w:r>
    </w:p>
    <w:p w14:paraId="484F2678" w14:textId="77777777" w:rsidR="00E80697" w:rsidRPr="004179BF" w:rsidRDefault="006442B3" w:rsidP="008C6866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Convergence and harmonization are often a first step towards reliance; 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regulatory authorities 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with similar approaches are 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better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able to leverage the decisions of one another</w:t>
      </w:r>
      <w:r w:rsidR="00E8069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.</w:t>
      </w:r>
    </w:p>
    <w:p w14:paraId="0EFB3C56" w14:textId="77777777" w:rsidR="00E80697" w:rsidRPr="004179BF" w:rsidRDefault="00E80697" w:rsidP="00E80697">
      <w:pPr>
        <w:pStyle w:val="Heading1"/>
        <w:rPr>
          <w:b/>
          <w:bCs/>
          <w:color w:val="002060"/>
        </w:rPr>
      </w:pPr>
      <w:r w:rsidRPr="004179BF">
        <w:rPr>
          <w:b/>
          <w:bCs/>
          <w:color w:val="002060"/>
        </w:rPr>
        <w:t>Session 2- Reliance in a Postmarket Setting</w:t>
      </w:r>
    </w:p>
    <w:p w14:paraId="7320883D" w14:textId="4AC981BC" w:rsidR="00E80697" w:rsidRDefault="008528E6" w:rsidP="00E80697">
      <w:r>
        <w:t>This session focused on reliance in a po</w:t>
      </w:r>
      <w:r w:rsidR="00860080">
        <w:t>stmarket setting. Speakers</w:t>
      </w:r>
      <w:r w:rsidR="00592571">
        <w:t xml:space="preserve"> observed</w:t>
      </w:r>
      <w:r w:rsidR="00860080">
        <w:t xml:space="preserve"> that, while reliance is often discussed </w:t>
      </w:r>
      <w:r w:rsidR="008E5580">
        <w:t>in the context of</w:t>
      </w:r>
      <w:r w:rsidR="00860080">
        <w:t xml:space="preserve"> premarket decision-making, the opportunities </w:t>
      </w:r>
      <w:r w:rsidR="00832A92">
        <w:t xml:space="preserve">for </w:t>
      </w:r>
      <w:r w:rsidR="00860080">
        <w:t xml:space="preserve">and benefits of reliance </w:t>
      </w:r>
      <w:r w:rsidR="008E5580">
        <w:t xml:space="preserve">are </w:t>
      </w:r>
      <w:r w:rsidR="00BB53B5">
        <w:t xml:space="preserve">equally </w:t>
      </w:r>
      <w:r w:rsidR="008E5580">
        <w:t xml:space="preserve">valuable </w:t>
      </w:r>
      <w:r w:rsidR="00F65598">
        <w:t xml:space="preserve">in the areas of </w:t>
      </w:r>
      <w:r w:rsidR="00F65598" w:rsidRPr="00F65598">
        <w:rPr>
          <w:b/>
          <w:bCs/>
        </w:rPr>
        <w:t>postmarket surveillance</w:t>
      </w:r>
      <w:r w:rsidR="00F65598">
        <w:t xml:space="preserve"> and assessments of </w:t>
      </w:r>
      <w:r w:rsidR="00F65598" w:rsidRPr="00F65598">
        <w:rPr>
          <w:b/>
          <w:bCs/>
        </w:rPr>
        <w:t>manufacturers’ quality systems</w:t>
      </w:r>
      <w:r w:rsidR="00F65598">
        <w:t>.</w:t>
      </w:r>
    </w:p>
    <w:p w14:paraId="01B7D740" w14:textId="6A80A20F" w:rsidR="00F65598" w:rsidRDefault="00875E7E" w:rsidP="00E80697">
      <w:r>
        <w:t xml:space="preserve">Exchange of information among regulators regarding </w:t>
      </w:r>
      <w:r w:rsidRPr="00687B75">
        <w:rPr>
          <w:b/>
          <w:bCs/>
        </w:rPr>
        <w:t>adverse events</w:t>
      </w:r>
      <w:r>
        <w:t xml:space="preserve">, </w:t>
      </w:r>
      <w:r w:rsidRPr="00687B75">
        <w:rPr>
          <w:b/>
          <w:bCs/>
        </w:rPr>
        <w:t>field safety corrective actions</w:t>
      </w:r>
      <w:r>
        <w:t xml:space="preserve">, and other postmarket surveillance activities </w:t>
      </w:r>
      <w:r w:rsidR="007C099E">
        <w:t xml:space="preserve">allows for </w:t>
      </w:r>
      <w:r w:rsidR="007C099E" w:rsidRPr="00687B75">
        <w:rPr>
          <w:b/>
          <w:bCs/>
        </w:rPr>
        <w:t>early</w:t>
      </w:r>
      <w:r w:rsidR="00832A92" w:rsidRPr="00687B75">
        <w:rPr>
          <w:b/>
          <w:bCs/>
        </w:rPr>
        <w:t xml:space="preserve"> identification </w:t>
      </w:r>
      <w:r w:rsidR="005E732E" w:rsidRPr="00687B75">
        <w:rPr>
          <w:b/>
          <w:bCs/>
        </w:rPr>
        <w:t>and communication</w:t>
      </w:r>
      <w:r w:rsidR="005E732E">
        <w:t xml:space="preserve"> </w:t>
      </w:r>
      <w:r w:rsidR="00832A92">
        <w:t xml:space="preserve">of </w:t>
      </w:r>
      <w:r w:rsidR="005E732E">
        <w:t xml:space="preserve">issues impacting patient safety. Many regulators already </w:t>
      </w:r>
      <w:r w:rsidR="0047057D">
        <w:t xml:space="preserve">work together in detection and analysis of </w:t>
      </w:r>
      <w:r w:rsidR="003F1689">
        <w:t>potential concerns</w:t>
      </w:r>
      <w:r w:rsidR="00592571">
        <w:t xml:space="preserve">. For example, </w:t>
      </w:r>
      <w:r w:rsidR="004578A2">
        <w:t>regulators often refer to</w:t>
      </w:r>
      <w:r w:rsidR="009417FB">
        <w:t xml:space="preserve"> </w:t>
      </w:r>
      <w:r w:rsidR="004578A2">
        <w:t xml:space="preserve">and use </w:t>
      </w:r>
      <w:r w:rsidR="009417FB">
        <w:t xml:space="preserve">one another’s </w:t>
      </w:r>
      <w:r w:rsidR="00581319">
        <w:t>public announcements as one of many sources of information when determining whether and what actions to take</w:t>
      </w:r>
      <w:r w:rsidR="0013220C">
        <w:t xml:space="preserve"> </w:t>
      </w:r>
      <w:r w:rsidR="00F51B51">
        <w:t>postmarket</w:t>
      </w:r>
      <w:r w:rsidR="0013220C">
        <w:t xml:space="preserve">. </w:t>
      </w:r>
      <w:hyperlink r:id="rId13">
        <w:r w:rsidR="001F06AA" w:rsidRPr="00687B75">
          <w:rPr>
            <w:rStyle w:val="Hyperlink"/>
            <w:b/>
            <w:bCs/>
          </w:rPr>
          <w:t>IMDRF</w:t>
        </w:r>
        <w:r w:rsidR="005A318A" w:rsidRPr="00687B75">
          <w:rPr>
            <w:rStyle w:val="Hyperlink"/>
            <w:b/>
            <w:bCs/>
          </w:rPr>
          <w:t>/AE WG/N43</w:t>
        </w:r>
      </w:hyperlink>
      <w:r w:rsidR="005A318A" w:rsidRPr="00687B75">
        <w:rPr>
          <w:b/>
          <w:bCs/>
        </w:rPr>
        <w:t xml:space="preserve"> </w:t>
      </w:r>
      <w:r w:rsidR="005A318A">
        <w:t>(“Terminologies for Categorized Adverse Event Reporting (AER): terms, terminology, and codes”)</w:t>
      </w:r>
      <w:r w:rsidR="001F06AA">
        <w:t xml:space="preserve"> supports common coding and terminology of adverse events, </w:t>
      </w:r>
      <w:r w:rsidR="74A7EBC2">
        <w:t xml:space="preserve">facilitating </w:t>
      </w:r>
      <w:r w:rsidR="00F51B51">
        <w:t xml:space="preserve">clear discussions among regulators and industry </w:t>
      </w:r>
      <w:r w:rsidR="00942BBA">
        <w:t xml:space="preserve">that speed identification of </w:t>
      </w:r>
      <w:r w:rsidR="001E693F">
        <w:t>issues of public health importance.</w:t>
      </w:r>
      <w:r w:rsidR="00F51B51">
        <w:t xml:space="preserve"> </w:t>
      </w:r>
    </w:p>
    <w:p w14:paraId="3C6DF846" w14:textId="773F09C1" w:rsidR="001E693F" w:rsidRDefault="00784AC7" w:rsidP="00E80697">
      <w:r>
        <w:t xml:space="preserve">As with reliance in a premarket setting, </w:t>
      </w:r>
      <w:r w:rsidRPr="00E93E93">
        <w:rPr>
          <w:b/>
          <w:bCs/>
        </w:rPr>
        <w:t>convergence</w:t>
      </w:r>
      <w:r>
        <w:t xml:space="preserve"> of requirements </w:t>
      </w:r>
      <w:r w:rsidR="00F21D84">
        <w:t>is a</w:t>
      </w:r>
      <w:r>
        <w:t xml:space="preserve"> </w:t>
      </w:r>
      <w:r w:rsidR="00DB45FB">
        <w:t xml:space="preserve">fundamental building block to successful implementation of reliance in a postmarket setting. </w:t>
      </w:r>
      <w:r w:rsidR="00EC7B07" w:rsidRPr="00E93E93">
        <w:rPr>
          <w:b/>
          <w:bCs/>
        </w:rPr>
        <w:t>ISO 13485</w:t>
      </w:r>
      <w:r w:rsidR="00EC7B07">
        <w:t xml:space="preserve"> </w:t>
      </w:r>
      <w:r>
        <w:t xml:space="preserve">serves as the harmonized basis for many regulators’ requirements regarding a manufacturer’s quality system. </w:t>
      </w:r>
      <w:r w:rsidR="00F21D84">
        <w:t xml:space="preserve">The </w:t>
      </w:r>
      <w:r w:rsidR="00F21D84" w:rsidRPr="00E93E93">
        <w:rPr>
          <w:b/>
          <w:bCs/>
        </w:rPr>
        <w:t>Medical Device Single Audit Program</w:t>
      </w:r>
      <w:r w:rsidR="00F21D84">
        <w:t xml:space="preserve"> (MDSAP) </w:t>
      </w:r>
      <w:r w:rsidR="00B96847">
        <w:t>provides a case study of effective reliance among regulators</w:t>
      </w:r>
      <w:r w:rsidR="00AE737A">
        <w:t>, with several participating regulators noting their ability to</w:t>
      </w:r>
      <w:r w:rsidR="00E93E93">
        <w:t xml:space="preserve"> confidently</w:t>
      </w:r>
      <w:r w:rsidR="00AE737A">
        <w:t xml:space="preserve"> reallocate resources to other activities (e.g., </w:t>
      </w:r>
      <w:r w:rsidR="00E93E93">
        <w:t xml:space="preserve">establishing </w:t>
      </w:r>
      <w:r w:rsidR="00AE737A">
        <w:t xml:space="preserve">postmarket monitoring </w:t>
      </w:r>
      <w:r w:rsidR="00E93E93">
        <w:t xml:space="preserve">programs for specific device types </w:t>
      </w:r>
      <w:r w:rsidR="00AE737A">
        <w:t xml:space="preserve">or </w:t>
      </w:r>
      <w:r w:rsidR="00E93E93">
        <w:t xml:space="preserve">conducting more in-depth follow ups investigations </w:t>
      </w:r>
      <w:r w:rsidR="00AE737A">
        <w:t xml:space="preserve">on </w:t>
      </w:r>
      <w:r w:rsidR="00E93E93">
        <w:t>issues identified during inspections).</w:t>
      </w:r>
    </w:p>
    <w:p w14:paraId="6C9D3DD2" w14:textId="77777777" w:rsidR="00E93E93" w:rsidRPr="004179BF" w:rsidRDefault="00E93E93" w:rsidP="00E93E93">
      <w:pPr>
        <w:pStyle w:val="Heading2"/>
        <w:rPr>
          <w:b/>
          <w:bCs/>
          <w:color w:val="002060"/>
        </w:rPr>
      </w:pPr>
      <w:r w:rsidRPr="004179BF">
        <w:rPr>
          <w:b/>
          <w:bCs/>
          <w:color w:val="002060"/>
        </w:rPr>
        <w:t>Observations:</w:t>
      </w:r>
    </w:p>
    <w:p w14:paraId="6759949A" w14:textId="54B09F70" w:rsidR="00E93E93" w:rsidRPr="004179BF" w:rsidRDefault="00E93E93" w:rsidP="00E93E9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Reliance in a p</w:t>
      </w:r>
      <w:r w:rsidR="00FE671D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ost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market setting </w:t>
      </w:r>
      <w:r w:rsidR="00FE671D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allows for </w:t>
      </w:r>
      <w:r w:rsidR="004C150B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quicker</w:t>
      </w:r>
      <w:r w:rsidR="00FE671D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identification of</w:t>
      </w:r>
      <w:r w:rsidR="001E66F8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and communication about</w:t>
      </w:r>
      <w:r w:rsidR="00FE671D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potential patient safety issues</w:t>
      </w:r>
      <w:r w:rsidR="006B3056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as well as significant reallocation of resources 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required for conducting</w:t>
      </w:r>
      <w:r w:rsidR="006B3056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inspections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of manufacturers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.</w:t>
      </w:r>
    </w:p>
    <w:p w14:paraId="6DC41D34" w14:textId="11EDE7F5" w:rsidR="006B3056" w:rsidRPr="004179BF" w:rsidRDefault="001E66F8" w:rsidP="00E93E9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The use of internationally harmonized standards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(e.g., 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ISO 13485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) a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nd IMDRF technical documents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(e.g., 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AET document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)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provide </w:t>
      </w:r>
      <w:r w:rsidR="006B3056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a valuable starting point of 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postmarket </w:t>
      </w:r>
      <w:r w:rsidR="006B3056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reliance</w:t>
      </w:r>
      <w:r w:rsidR="00396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.</w:t>
      </w:r>
    </w:p>
    <w:p w14:paraId="324B0E71" w14:textId="194D3DA6" w:rsidR="00C667F7" w:rsidRPr="004179BF" w:rsidRDefault="00924CDC" w:rsidP="00E93E9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lastRenderedPageBreak/>
        <w:t>As with premarket reliance, trust, communication, clarity</w:t>
      </w:r>
      <w:r w:rsidR="00C667F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,</w:t>
      </w: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and transparency are </w:t>
      </w:r>
      <w:r w:rsidR="00C667F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essential to successful implementation of a reliance model in the postmarket setting.</w:t>
      </w:r>
    </w:p>
    <w:p w14:paraId="5E905734" w14:textId="3C56858A" w:rsidR="00250C17" w:rsidRPr="004179BF" w:rsidRDefault="00F87C6F" w:rsidP="00E93E93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The MDSAP </w:t>
      </w:r>
      <w:r w:rsidR="00C667F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provides a case study of </w:t>
      </w:r>
      <w:r w:rsidR="002F6C75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reliance</w:t>
      </w:r>
      <w:r w:rsidR="00C92340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</w:t>
      </w:r>
      <w:r w:rsidR="008B0934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for regulatory audits of manufacturers.</w:t>
      </w:r>
    </w:p>
    <w:p w14:paraId="1775E6C9" w14:textId="340D9387" w:rsidR="008B0934" w:rsidRPr="004179BF" w:rsidRDefault="008B0934" w:rsidP="008B0934">
      <w:pPr>
        <w:pStyle w:val="Heading1"/>
        <w:rPr>
          <w:b/>
          <w:bCs/>
          <w:color w:val="002060"/>
        </w:rPr>
      </w:pPr>
      <w:r w:rsidRPr="004179BF">
        <w:rPr>
          <w:b/>
          <w:bCs/>
          <w:color w:val="002060"/>
        </w:rPr>
        <w:t>Session 3- Next Steps</w:t>
      </w:r>
    </w:p>
    <w:p w14:paraId="42201CD5" w14:textId="628FC209" w:rsidR="00F530AC" w:rsidRDefault="00B55AE5" w:rsidP="008B0934">
      <w:r>
        <w:t xml:space="preserve">This session provided an opportunity for panelists to </w:t>
      </w:r>
      <w:r w:rsidRPr="005E559F">
        <w:rPr>
          <w:b/>
          <w:bCs/>
        </w:rPr>
        <w:t>reflect on themes</w:t>
      </w:r>
      <w:r>
        <w:t xml:space="preserve"> </w:t>
      </w:r>
      <w:r w:rsidR="00F530AC">
        <w:t xml:space="preserve">from the previous discussions and </w:t>
      </w:r>
      <w:r w:rsidR="00F530AC" w:rsidRPr="005E559F">
        <w:rPr>
          <w:b/>
          <w:bCs/>
        </w:rPr>
        <w:t>propose ideas</w:t>
      </w:r>
      <w:r w:rsidR="00F530AC">
        <w:t xml:space="preserve"> for how stakeholders</w:t>
      </w:r>
      <w:r w:rsidR="00D73D0B">
        <w:t xml:space="preserve"> can</w:t>
      </w:r>
      <w:r w:rsidR="00F530AC">
        <w:t xml:space="preserve"> </w:t>
      </w:r>
      <w:r w:rsidR="00BA1F67">
        <w:t xml:space="preserve">continue to </w:t>
      </w:r>
      <w:r w:rsidR="00F530AC">
        <w:t xml:space="preserve">work together to further realize the benefits of reliance. </w:t>
      </w:r>
    </w:p>
    <w:p w14:paraId="3F1C6FA7" w14:textId="421E50CB" w:rsidR="00E512C1" w:rsidRDefault="00AE3645" w:rsidP="008B0934">
      <w:r>
        <w:t xml:space="preserve">Panelists noted that while each stakeholder plays a different role, we are </w:t>
      </w:r>
      <w:r w:rsidRPr="19FF74B5">
        <w:rPr>
          <w:b/>
          <w:bCs/>
        </w:rPr>
        <w:t xml:space="preserve">all </w:t>
      </w:r>
      <w:r w:rsidR="00791882" w:rsidRPr="19FF74B5">
        <w:rPr>
          <w:b/>
          <w:bCs/>
        </w:rPr>
        <w:t>part of the infrastructure</w:t>
      </w:r>
      <w:r w:rsidR="00791882">
        <w:t xml:space="preserve"> to </w:t>
      </w:r>
      <w:r w:rsidR="74FB88E3">
        <w:t>provide</w:t>
      </w:r>
      <w:r w:rsidR="00791882">
        <w:t xml:space="preserve"> safe, effective, high</w:t>
      </w:r>
      <w:r w:rsidR="43B0803A">
        <w:t>-</w:t>
      </w:r>
      <w:r w:rsidR="00791882">
        <w:t>quality, innovative medical devices to patients as quickly as possible.</w:t>
      </w:r>
      <w:r>
        <w:t xml:space="preserve"> </w:t>
      </w:r>
      <w:r w:rsidR="00933FF1">
        <w:t xml:space="preserve">Reliance is </w:t>
      </w:r>
      <w:r w:rsidR="0006221C">
        <w:t xml:space="preserve">an important tool </w:t>
      </w:r>
      <w:r w:rsidR="00643C07">
        <w:t xml:space="preserve">available to all regulatory authorities and applies equally in premarket and postmarket settings. Reliance </w:t>
      </w:r>
      <w:r w:rsidR="004578A2">
        <w:t>supports</w:t>
      </w:r>
      <w:r w:rsidR="00224271">
        <w:t xml:space="preserve"> efficient allocation of resources </w:t>
      </w:r>
      <w:r w:rsidR="00276E82">
        <w:t xml:space="preserve">and </w:t>
      </w:r>
      <w:r w:rsidR="00D66A38">
        <w:t xml:space="preserve">swift identification of potential postmarket issues. </w:t>
      </w:r>
      <w:r w:rsidR="25508BD3">
        <w:t xml:space="preserve">Reliance can be most effective when regulators not only have access to the same information, but also </w:t>
      </w:r>
      <w:r w:rsidR="13A22EAF">
        <w:t>make aligned decisions</w:t>
      </w:r>
      <w:r w:rsidR="25508BD3">
        <w:t xml:space="preserve"> as a result of this information.</w:t>
      </w:r>
    </w:p>
    <w:p w14:paraId="2796C9CB" w14:textId="429841DE" w:rsidR="007C133A" w:rsidRDefault="00BB4E4D" w:rsidP="007C133A">
      <w:r>
        <w:t xml:space="preserve">Regulators </w:t>
      </w:r>
      <w:r w:rsidR="00725DC5">
        <w:t>with</w:t>
      </w:r>
      <w:r w:rsidR="001156D8">
        <w:t xml:space="preserve"> similar approaches to </w:t>
      </w:r>
      <w:r w:rsidR="0095359F">
        <w:t xml:space="preserve">regulation </w:t>
      </w:r>
      <w:r w:rsidR="001156D8">
        <w:t xml:space="preserve">are better able to rely on one another. </w:t>
      </w:r>
      <w:r w:rsidR="00725DC5">
        <w:t xml:space="preserve">To this end, </w:t>
      </w:r>
      <w:r w:rsidR="00725DC5" w:rsidRPr="00687B75">
        <w:rPr>
          <w:b/>
          <w:bCs/>
        </w:rPr>
        <w:t>c</w:t>
      </w:r>
      <w:r w:rsidR="00E512C1" w:rsidRPr="00687B75">
        <w:rPr>
          <w:b/>
          <w:bCs/>
        </w:rPr>
        <w:t>onvergence of regulatory requirements</w:t>
      </w:r>
      <w:r w:rsidR="00E512C1">
        <w:t xml:space="preserve"> and approaches, through </w:t>
      </w:r>
      <w:r w:rsidR="00072677">
        <w:t xml:space="preserve">development of internationally harmonized standards and publication of IMDRF technical documents, </w:t>
      </w:r>
      <w:r w:rsidR="001156D8">
        <w:t xml:space="preserve">is fundamental to </w:t>
      </w:r>
      <w:r w:rsidR="0004464F">
        <w:t>supporting reliance.</w:t>
      </w:r>
      <w:r>
        <w:t xml:space="preserve"> </w:t>
      </w:r>
      <w:r w:rsidR="00610262">
        <w:t xml:space="preserve"> </w:t>
      </w:r>
      <w:r w:rsidR="007C133A">
        <w:t>Industry representatives spoke to</w:t>
      </w:r>
      <w:r w:rsidR="00D2260F">
        <w:t xml:space="preserve"> the burden of jurisdiction-specific requirements in pre</w:t>
      </w:r>
      <w:r w:rsidR="72ACEB92">
        <w:t>-</w:t>
      </w:r>
      <w:r w:rsidR="00D2260F">
        <w:t xml:space="preserve"> and postmarket settings and the need for a </w:t>
      </w:r>
      <w:r w:rsidR="00D2260F" w:rsidRPr="00687B75">
        <w:rPr>
          <w:b/>
          <w:bCs/>
        </w:rPr>
        <w:t>total product lifecycle approach</w:t>
      </w:r>
      <w:r w:rsidR="00D2260F">
        <w:t xml:space="preserve"> to reliance.</w:t>
      </w:r>
    </w:p>
    <w:p w14:paraId="781C7284" w14:textId="6B278487" w:rsidR="0006221C" w:rsidRDefault="000D054D" w:rsidP="008B0934">
      <w:r>
        <w:t xml:space="preserve">Reliance requires </w:t>
      </w:r>
      <w:r w:rsidRPr="00687B75">
        <w:rPr>
          <w:b/>
          <w:bCs/>
        </w:rPr>
        <w:t>t</w:t>
      </w:r>
      <w:r w:rsidR="00725DC5" w:rsidRPr="00687B75">
        <w:rPr>
          <w:b/>
          <w:bCs/>
        </w:rPr>
        <w:t>rust</w:t>
      </w:r>
      <w:r w:rsidR="00725DC5">
        <w:t xml:space="preserve"> between regulators</w:t>
      </w:r>
      <w:r w:rsidR="003C5688">
        <w:t xml:space="preserve">. </w:t>
      </w:r>
      <w:r w:rsidR="00725DC5">
        <w:t xml:space="preserve"> </w:t>
      </w:r>
      <w:r w:rsidR="00F7688D">
        <w:t xml:space="preserve">Working together, within </w:t>
      </w:r>
      <w:r w:rsidR="001C48E3">
        <w:t xml:space="preserve">and outside of </w:t>
      </w:r>
      <w:r w:rsidR="00F7688D">
        <w:t>IMDRF</w:t>
      </w:r>
      <w:r w:rsidR="001C48E3">
        <w:t xml:space="preserve">, </w:t>
      </w:r>
      <w:r w:rsidR="003C5688">
        <w:t xml:space="preserve">strengthens </w:t>
      </w:r>
      <w:r w:rsidR="001C48E3">
        <w:t xml:space="preserve">the </w:t>
      </w:r>
      <w:r w:rsidR="001C48E3" w:rsidRPr="00687B75">
        <w:rPr>
          <w:b/>
          <w:bCs/>
        </w:rPr>
        <w:t xml:space="preserve">relationships </w:t>
      </w:r>
      <w:r w:rsidR="003C5688" w:rsidRPr="00687B75">
        <w:rPr>
          <w:b/>
          <w:bCs/>
        </w:rPr>
        <w:t>among stakeholders</w:t>
      </w:r>
      <w:r w:rsidR="003C5688">
        <w:t xml:space="preserve"> </w:t>
      </w:r>
      <w:r w:rsidR="001C48E3">
        <w:t>and</w:t>
      </w:r>
      <w:r w:rsidR="003C5688">
        <w:t xml:space="preserve"> builds the</w:t>
      </w:r>
      <w:r w:rsidR="001C48E3">
        <w:t xml:space="preserve"> </w:t>
      </w:r>
      <w:r w:rsidR="001C48E3" w:rsidRPr="00687B75">
        <w:rPr>
          <w:b/>
          <w:bCs/>
        </w:rPr>
        <w:t>confidence</w:t>
      </w:r>
      <w:r w:rsidR="001C48E3" w:rsidRPr="00580F3E">
        <w:rPr>
          <w:b/>
          <w:bCs/>
        </w:rPr>
        <w:t xml:space="preserve"> </w:t>
      </w:r>
      <w:r w:rsidR="37467B0E" w:rsidRPr="00580F3E">
        <w:rPr>
          <w:b/>
          <w:bCs/>
        </w:rPr>
        <w:t xml:space="preserve">and credibility </w:t>
      </w:r>
      <w:r w:rsidR="003C5688">
        <w:t>necessary to successfully implement reliance.</w:t>
      </w:r>
      <w:r w:rsidR="0048584F">
        <w:t xml:space="preserve"> </w:t>
      </w:r>
    </w:p>
    <w:p w14:paraId="36E13392" w14:textId="2DBEA244" w:rsidR="0048584F" w:rsidRDefault="005E559F" w:rsidP="008B0934">
      <w:r>
        <w:t xml:space="preserve">Regulators identified </w:t>
      </w:r>
      <w:r w:rsidR="00AE24C2">
        <w:t>challenges in implementing reliance in their jurisdiction</w:t>
      </w:r>
      <w:r w:rsidR="002A1244">
        <w:t>s</w:t>
      </w:r>
      <w:r w:rsidR="00AE24C2">
        <w:t xml:space="preserve">. </w:t>
      </w:r>
      <w:r w:rsidR="00193A89">
        <w:t>For example, s</w:t>
      </w:r>
      <w:r w:rsidR="002A1244">
        <w:t xml:space="preserve">takeholders </w:t>
      </w:r>
      <w:r w:rsidR="00DC5E51">
        <w:t>may</w:t>
      </w:r>
      <w:r w:rsidR="00193A89">
        <w:t xml:space="preserve"> have concerns if they do</w:t>
      </w:r>
      <w:r w:rsidR="00DC5E51">
        <w:t xml:space="preserve"> </w:t>
      </w:r>
      <w:r w:rsidR="0030638C">
        <w:t xml:space="preserve">not understand </w:t>
      </w:r>
      <w:r w:rsidR="002A1244">
        <w:t xml:space="preserve">that a regulator’s authority and sovereignty </w:t>
      </w:r>
      <w:r w:rsidR="00DC5E51">
        <w:t>is</w:t>
      </w:r>
      <w:r w:rsidR="002A1244">
        <w:t xml:space="preserve"> maintained </w:t>
      </w:r>
      <w:r w:rsidR="00DC5E51">
        <w:t xml:space="preserve">in a reliance model. </w:t>
      </w:r>
      <w:r w:rsidR="00D2260F">
        <w:t>In addition, r</w:t>
      </w:r>
      <w:r w:rsidR="002B7265">
        <w:t>egulators play an important role in</w:t>
      </w:r>
      <w:r w:rsidR="00446E07">
        <w:t xml:space="preserve"> </w:t>
      </w:r>
      <w:r w:rsidR="002B7265">
        <w:t>supporting local manufacturing</w:t>
      </w:r>
      <w:r w:rsidR="00667E36">
        <w:t xml:space="preserve">, which some </w:t>
      </w:r>
      <w:r w:rsidR="00B97376">
        <w:t>stakeholders</w:t>
      </w:r>
      <w:r w:rsidR="00667E36">
        <w:t xml:space="preserve"> may view as </w:t>
      </w:r>
      <w:r w:rsidR="00B97376">
        <w:t>in conflict with a reliance model</w:t>
      </w:r>
      <w:r w:rsidR="00667E36">
        <w:t xml:space="preserve">. </w:t>
      </w:r>
    </w:p>
    <w:p w14:paraId="2F4A7767" w14:textId="77777777" w:rsidR="00FC4A45" w:rsidRPr="004179BF" w:rsidRDefault="00FC4A45" w:rsidP="00FC4A45">
      <w:pPr>
        <w:pStyle w:val="Heading2"/>
        <w:rPr>
          <w:b/>
          <w:bCs/>
          <w:color w:val="002060"/>
        </w:rPr>
      </w:pPr>
      <w:r w:rsidRPr="004179BF">
        <w:rPr>
          <w:b/>
          <w:bCs/>
          <w:color w:val="002060"/>
        </w:rPr>
        <w:t>Observations:</w:t>
      </w:r>
    </w:p>
    <w:p w14:paraId="5483F9AD" w14:textId="77777777" w:rsidR="00B726CE" w:rsidRPr="004179BF" w:rsidRDefault="0050089A" w:rsidP="00FC4A45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IMDRF plays a critical role in bringing stakeholders together </w:t>
      </w:r>
      <w:r w:rsidR="00390DAC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to share experiences and build trust.</w:t>
      </w:r>
      <w:r w:rsidR="00B726CE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</w:t>
      </w:r>
    </w:p>
    <w:p w14:paraId="0C9EACF3" w14:textId="31FAFBD5" w:rsidR="00FC4A45" w:rsidRPr="004179BF" w:rsidRDefault="00B726CE" w:rsidP="00FC4A45">
      <w:pPr>
        <w:pStyle w:val="ListParagraph"/>
        <w:numPr>
          <w:ilvl w:val="0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Future work for IMDRF to further reliance could include:</w:t>
      </w:r>
    </w:p>
    <w:p w14:paraId="2B7073F2" w14:textId="3E75D7C2" w:rsidR="00B726CE" w:rsidRPr="004179BF" w:rsidRDefault="00745F55" w:rsidP="00B726CE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Publication of</w:t>
      </w:r>
      <w:r w:rsidR="00B726CE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 reliance playbook with </w:t>
      </w:r>
      <w:r w:rsidR="006052CC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information on how to implement reliance;</w:t>
      </w:r>
    </w:p>
    <w:p w14:paraId="17DE97D5" w14:textId="4DF51BDE" w:rsidR="006052CC" w:rsidRPr="004179BF" w:rsidRDefault="006052CC" w:rsidP="00687B75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687B75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Identification of which regulators within IMDRF </w:t>
      </w:r>
      <w:r w:rsidR="008C3DDF" w:rsidRPr="00687B75">
        <w:rPr>
          <w:rFonts w:asciiTheme="majorHAnsi" w:eastAsiaTheme="majorEastAsia" w:hAnsiTheme="majorHAnsi" w:cstheme="majorBidi"/>
          <w:color w:val="002060"/>
          <w:sz w:val="26"/>
          <w:szCs w:val="26"/>
        </w:rPr>
        <w:t>have implemented reliance</w:t>
      </w:r>
      <w:r w:rsidR="2BBE5295" w:rsidRPr="00687B75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practices</w:t>
      </w:r>
      <w:r w:rsidR="008C3DDF" w:rsidRPr="00687B75">
        <w:rPr>
          <w:rFonts w:asciiTheme="majorHAnsi" w:eastAsiaTheme="majorEastAsia" w:hAnsiTheme="majorHAnsi" w:cstheme="majorBidi"/>
          <w:color w:val="002060"/>
          <w:sz w:val="26"/>
          <w:szCs w:val="26"/>
        </w:rPr>
        <w:t>;</w:t>
      </w:r>
      <w:r w:rsidR="004578A2" w:rsidRPr="00687B75">
        <w:rPr>
          <w:rFonts w:asciiTheme="majorHAnsi" w:eastAsiaTheme="majorEastAsia" w:hAnsiTheme="majorHAnsi" w:cstheme="majorBidi"/>
          <w:color w:val="002060"/>
          <w:sz w:val="26"/>
          <w:szCs w:val="26"/>
        </w:rPr>
        <w:t xml:space="preserve"> and</w:t>
      </w:r>
    </w:p>
    <w:p w14:paraId="10688ADE" w14:textId="7AF8443B" w:rsidR="008C3DDF" w:rsidRPr="004179BF" w:rsidRDefault="00745F55" w:rsidP="00B726CE">
      <w:pPr>
        <w:pStyle w:val="ListParagraph"/>
        <w:numPr>
          <w:ilvl w:val="1"/>
          <w:numId w:val="3"/>
        </w:numPr>
        <w:rPr>
          <w:rFonts w:asciiTheme="majorHAnsi" w:eastAsiaTheme="majorEastAsia" w:hAnsiTheme="majorHAnsi" w:cstheme="majorBidi"/>
          <w:color w:val="002060"/>
          <w:sz w:val="26"/>
          <w:szCs w:val="26"/>
        </w:rPr>
      </w:pPr>
      <w:r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Provi</w:t>
      </w:r>
      <w:r w:rsidR="00B227F7" w:rsidRPr="004179BF">
        <w:rPr>
          <w:rFonts w:asciiTheme="majorHAnsi" w:eastAsiaTheme="majorEastAsia" w:hAnsiTheme="majorHAnsi" w:cstheme="majorBidi"/>
          <w:color w:val="002060"/>
          <w:sz w:val="26"/>
          <w:szCs w:val="26"/>
        </w:rPr>
        <w:t>ding training to support adoption of IMDRF technical documents and convergence of regulatory requirements.</w:t>
      </w:r>
    </w:p>
    <w:sectPr w:rsidR="008C3DDF" w:rsidRPr="004179B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C34775"/>
    <w:multiLevelType w:val="hybridMultilevel"/>
    <w:tmpl w:val="25CED6DA"/>
    <w:lvl w:ilvl="0" w:tplc="775098A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1A5EDC"/>
    <w:multiLevelType w:val="hybridMultilevel"/>
    <w:tmpl w:val="B95EDEF2"/>
    <w:lvl w:ilvl="0" w:tplc="213A107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402C95"/>
    <w:multiLevelType w:val="hybridMultilevel"/>
    <w:tmpl w:val="B16884BE"/>
    <w:lvl w:ilvl="0" w:tplc="8FDEBB7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6083701">
    <w:abstractNumId w:val="0"/>
  </w:num>
  <w:num w:numId="2" w16cid:durableId="86773287">
    <w:abstractNumId w:val="1"/>
  </w:num>
  <w:num w:numId="3" w16cid:durableId="33299476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D773E6"/>
    <w:rsid w:val="00000011"/>
    <w:rsid w:val="0000745D"/>
    <w:rsid w:val="0002470F"/>
    <w:rsid w:val="000306EA"/>
    <w:rsid w:val="0004376D"/>
    <w:rsid w:val="0004464F"/>
    <w:rsid w:val="00045FD8"/>
    <w:rsid w:val="00051396"/>
    <w:rsid w:val="000547A3"/>
    <w:rsid w:val="0006221C"/>
    <w:rsid w:val="000723D3"/>
    <w:rsid w:val="00072677"/>
    <w:rsid w:val="000914D5"/>
    <w:rsid w:val="000C4262"/>
    <w:rsid w:val="000D054D"/>
    <w:rsid w:val="00114A0D"/>
    <w:rsid w:val="001156D8"/>
    <w:rsid w:val="001174A3"/>
    <w:rsid w:val="001250C4"/>
    <w:rsid w:val="0012724A"/>
    <w:rsid w:val="0013220C"/>
    <w:rsid w:val="00140025"/>
    <w:rsid w:val="00145C40"/>
    <w:rsid w:val="0015644C"/>
    <w:rsid w:val="00192EAA"/>
    <w:rsid w:val="00193A89"/>
    <w:rsid w:val="001C48E3"/>
    <w:rsid w:val="001E23AF"/>
    <w:rsid w:val="001E66F8"/>
    <w:rsid w:val="001E693F"/>
    <w:rsid w:val="001F06AA"/>
    <w:rsid w:val="001F11F1"/>
    <w:rsid w:val="0021508F"/>
    <w:rsid w:val="00224271"/>
    <w:rsid w:val="00250C17"/>
    <w:rsid w:val="00266315"/>
    <w:rsid w:val="00266323"/>
    <w:rsid w:val="00267F4B"/>
    <w:rsid w:val="00276E82"/>
    <w:rsid w:val="00282E35"/>
    <w:rsid w:val="002A1244"/>
    <w:rsid w:val="002B7265"/>
    <w:rsid w:val="002C2EDF"/>
    <w:rsid w:val="002D60C7"/>
    <w:rsid w:val="002F6C75"/>
    <w:rsid w:val="0030638C"/>
    <w:rsid w:val="00312860"/>
    <w:rsid w:val="00334D79"/>
    <w:rsid w:val="00352AD1"/>
    <w:rsid w:val="003752D8"/>
    <w:rsid w:val="00390DAC"/>
    <w:rsid w:val="00391064"/>
    <w:rsid w:val="003911B5"/>
    <w:rsid w:val="00396340"/>
    <w:rsid w:val="003C5688"/>
    <w:rsid w:val="003F1689"/>
    <w:rsid w:val="0040219F"/>
    <w:rsid w:val="004179BF"/>
    <w:rsid w:val="00446E07"/>
    <w:rsid w:val="004578A2"/>
    <w:rsid w:val="00464984"/>
    <w:rsid w:val="0047057D"/>
    <w:rsid w:val="0048584F"/>
    <w:rsid w:val="00487A84"/>
    <w:rsid w:val="004C150B"/>
    <w:rsid w:val="004D52F6"/>
    <w:rsid w:val="004E4DC3"/>
    <w:rsid w:val="004F206F"/>
    <w:rsid w:val="0050089A"/>
    <w:rsid w:val="005035EF"/>
    <w:rsid w:val="0050521B"/>
    <w:rsid w:val="00505E89"/>
    <w:rsid w:val="005547D5"/>
    <w:rsid w:val="00554C12"/>
    <w:rsid w:val="00565927"/>
    <w:rsid w:val="00565C06"/>
    <w:rsid w:val="005662CB"/>
    <w:rsid w:val="00574DE8"/>
    <w:rsid w:val="00580F3E"/>
    <w:rsid w:val="00581319"/>
    <w:rsid w:val="00584082"/>
    <w:rsid w:val="0059215C"/>
    <w:rsid w:val="00592571"/>
    <w:rsid w:val="00595995"/>
    <w:rsid w:val="005A18F0"/>
    <w:rsid w:val="005A318A"/>
    <w:rsid w:val="005A760B"/>
    <w:rsid w:val="005E559F"/>
    <w:rsid w:val="005E732E"/>
    <w:rsid w:val="00602DDE"/>
    <w:rsid w:val="006052CC"/>
    <w:rsid w:val="00610262"/>
    <w:rsid w:val="00617F91"/>
    <w:rsid w:val="006223CF"/>
    <w:rsid w:val="006322D1"/>
    <w:rsid w:val="00643BF3"/>
    <w:rsid w:val="00643C07"/>
    <w:rsid w:val="006442B3"/>
    <w:rsid w:val="0066189D"/>
    <w:rsid w:val="00667E36"/>
    <w:rsid w:val="00687B75"/>
    <w:rsid w:val="006A5864"/>
    <w:rsid w:val="006B3056"/>
    <w:rsid w:val="006E041C"/>
    <w:rsid w:val="006E367D"/>
    <w:rsid w:val="006F744B"/>
    <w:rsid w:val="00721D98"/>
    <w:rsid w:val="00725DC5"/>
    <w:rsid w:val="00733CAE"/>
    <w:rsid w:val="00745F55"/>
    <w:rsid w:val="00753BC7"/>
    <w:rsid w:val="00763664"/>
    <w:rsid w:val="00784AC7"/>
    <w:rsid w:val="00791882"/>
    <w:rsid w:val="007B1328"/>
    <w:rsid w:val="007C099E"/>
    <w:rsid w:val="007C133A"/>
    <w:rsid w:val="007F3E3E"/>
    <w:rsid w:val="007F4249"/>
    <w:rsid w:val="00832A92"/>
    <w:rsid w:val="008528E6"/>
    <w:rsid w:val="00860080"/>
    <w:rsid w:val="00863997"/>
    <w:rsid w:val="00872BFD"/>
    <w:rsid w:val="00875E7E"/>
    <w:rsid w:val="00884A97"/>
    <w:rsid w:val="008A538A"/>
    <w:rsid w:val="008B0934"/>
    <w:rsid w:val="008B5E42"/>
    <w:rsid w:val="008C3DDF"/>
    <w:rsid w:val="008C6866"/>
    <w:rsid w:val="008E003A"/>
    <w:rsid w:val="008E0E07"/>
    <w:rsid w:val="008E5580"/>
    <w:rsid w:val="00900802"/>
    <w:rsid w:val="0092152B"/>
    <w:rsid w:val="00922A98"/>
    <w:rsid w:val="00924CDC"/>
    <w:rsid w:val="00933FF1"/>
    <w:rsid w:val="009417FB"/>
    <w:rsid w:val="00942BBA"/>
    <w:rsid w:val="0095359F"/>
    <w:rsid w:val="00960D0E"/>
    <w:rsid w:val="00962E5F"/>
    <w:rsid w:val="009642E7"/>
    <w:rsid w:val="009B7213"/>
    <w:rsid w:val="009E3CDF"/>
    <w:rsid w:val="009E3F63"/>
    <w:rsid w:val="00A10CCC"/>
    <w:rsid w:val="00A226AD"/>
    <w:rsid w:val="00A451B6"/>
    <w:rsid w:val="00A51A25"/>
    <w:rsid w:val="00A75765"/>
    <w:rsid w:val="00A910C7"/>
    <w:rsid w:val="00AB392A"/>
    <w:rsid w:val="00AE24C2"/>
    <w:rsid w:val="00AE3645"/>
    <w:rsid w:val="00AE737A"/>
    <w:rsid w:val="00AF249C"/>
    <w:rsid w:val="00AF5414"/>
    <w:rsid w:val="00AF6561"/>
    <w:rsid w:val="00B04C63"/>
    <w:rsid w:val="00B058F1"/>
    <w:rsid w:val="00B1750A"/>
    <w:rsid w:val="00B17A61"/>
    <w:rsid w:val="00B227F7"/>
    <w:rsid w:val="00B55AE5"/>
    <w:rsid w:val="00B562A0"/>
    <w:rsid w:val="00B61C96"/>
    <w:rsid w:val="00B67EF8"/>
    <w:rsid w:val="00B726CE"/>
    <w:rsid w:val="00B735D3"/>
    <w:rsid w:val="00B847AA"/>
    <w:rsid w:val="00B96847"/>
    <w:rsid w:val="00B97376"/>
    <w:rsid w:val="00BA1F67"/>
    <w:rsid w:val="00BB4E4D"/>
    <w:rsid w:val="00BB53B5"/>
    <w:rsid w:val="00BC3446"/>
    <w:rsid w:val="00BC5321"/>
    <w:rsid w:val="00BD0C08"/>
    <w:rsid w:val="00BD539A"/>
    <w:rsid w:val="00BE476A"/>
    <w:rsid w:val="00C02EA4"/>
    <w:rsid w:val="00C52A05"/>
    <w:rsid w:val="00C53A39"/>
    <w:rsid w:val="00C5778D"/>
    <w:rsid w:val="00C667F7"/>
    <w:rsid w:val="00C92340"/>
    <w:rsid w:val="00C92508"/>
    <w:rsid w:val="00CC500A"/>
    <w:rsid w:val="00CD4355"/>
    <w:rsid w:val="00CE0011"/>
    <w:rsid w:val="00CE3DBB"/>
    <w:rsid w:val="00CE7220"/>
    <w:rsid w:val="00CE7AD1"/>
    <w:rsid w:val="00CF0626"/>
    <w:rsid w:val="00D2260F"/>
    <w:rsid w:val="00D401F0"/>
    <w:rsid w:val="00D41573"/>
    <w:rsid w:val="00D5092C"/>
    <w:rsid w:val="00D66A38"/>
    <w:rsid w:val="00D73D0B"/>
    <w:rsid w:val="00D773E6"/>
    <w:rsid w:val="00D978C5"/>
    <w:rsid w:val="00DB45FB"/>
    <w:rsid w:val="00DC5E51"/>
    <w:rsid w:val="00DE4708"/>
    <w:rsid w:val="00E006D1"/>
    <w:rsid w:val="00E32AAF"/>
    <w:rsid w:val="00E335E3"/>
    <w:rsid w:val="00E33C18"/>
    <w:rsid w:val="00E512C1"/>
    <w:rsid w:val="00E535A4"/>
    <w:rsid w:val="00E63B4D"/>
    <w:rsid w:val="00E80697"/>
    <w:rsid w:val="00E91568"/>
    <w:rsid w:val="00E928AA"/>
    <w:rsid w:val="00E93E93"/>
    <w:rsid w:val="00EA5BFF"/>
    <w:rsid w:val="00EC2B5E"/>
    <w:rsid w:val="00EC7B07"/>
    <w:rsid w:val="00EE46D0"/>
    <w:rsid w:val="00F21D84"/>
    <w:rsid w:val="00F244EA"/>
    <w:rsid w:val="00F51B51"/>
    <w:rsid w:val="00F530AC"/>
    <w:rsid w:val="00F61A9D"/>
    <w:rsid w:val="00F65598"/>
    <w:rsid w:val="00F7688D"/>
    <w:rsid w:val="00F87C6F"/>
    <w:rsid w:val="00FC4A45"/>
    <w:rsid w:val="00FE671D"/>
    <w:rsid w:val="00FE7189"/>
    <w:rsid w:val="00FF7916"/>
    <w:rsid w:val="053BEC98"/>
    <w:rsid w:val="09CB62EB"/>
    <w:rsid w:val="0F25D55D"/>
    <w:rsid w:val="12014743"/>
    <w:rsid w:val="13A22EAF"/>
    <w:rsid w:val="1686A79F"/>
    <w:rsid w:val="1754FAB4"/>
    <w:rsid w:val="19FF74B5"/>
    <w:rsid w:val="1CDECC93"/>
    <w:rsid w:val="25508BD3"/>
    <w:rsid w:val="2A872803"/>
    <w:rsid w:val="2BBE5295"/>
    <w:rsid w:val="318FAAFE"/>
    <w:rsid w:val="34D3EE38"/>
    <w:rsid w:val="37467B0E"/>
    <w:rsid w:val="3F153F55"/>
    <w:rsid w:val="43B0803A"/>
    <w:rsid w:val="53DE6D40"/>
    <w:rsid w:val="55B2C97E"/>
    <w:rsid w:val="5678BDE5"/>
    <w:rsid w:val="60B1B426"/>
    <w:rsid w:val="6700DCE1"/>
    <w:rsid w:val="675FA4A5"/>
    <w:rsid w:val="69087B90"/>
    <w:rsid w:val="69BD6901"/>
    <w:rsid w:val="71138D75"/>
    <w:rsid w:val="72ACEB92"/>
    <w:rsid w:val="72AF5DD6"/>
    <w:rsid w:val="74A7EBC2"/>
    <w:rsid w:val="74FB88E3"/>
    <w:rsid w:val="7971643F"/>
    <w:rsid w:val="7AA14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CE2C6"/>
  <w15:chartTrackingRefBased/>
  <w15:docId w15:val="{2DB20846-7DD7-40E9-B556-B2EC4CA73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92EA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2EA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773E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61C9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61C96"/>
    <w:rPr>
      <w:color w:val="605E5C"/>
      <w:shd w:val="clear" w:color="auto" w:fill="E1DFDD"/>
    </w:rPr>
  </w:style>
  <w:style w:type="character" w:customStyle="1" w:styleId="Heading2Char">
    <w:name w:val="Heading 2 Char"/>
    <w:basedOn w:val="DefaultParagraphFont"/>
    <w:link w:val="Heading2"/>
    <w:uiPriority w:val="9"/>
    <w:rsid w:val="00192EA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92EA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192EA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92EA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Revision">
    <w:name w:val="Revision"/>
    <w:hidden/>
    <w:uiPriority w:val="99"/>
    <w:semiHidden/>
    <w:rsid w:val="00872BFD"/>
    <w:pPr>
      <w:spacing w:after="0" w:line="240" w:lineRule="auto"/>
    </w:pPr>
  </w:style>
  <w:style w:type="paragraph" w:styleId="CommentText">
    <w:name w:val="annotation text"/>
    <w:basedOn w:val="Normal"/>
    <w:link w:val="CommentText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F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F3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imdrf.org/documents/terminologies-categorized-adverse-event-reporting-aer-terms-terminology-and-codes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imdrf.org/working-groups/regulated-product-submission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imdrf.org/working-groups/good-regulatory-review-practices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hyperlink" Target="https://www.who.int/publications/m/item/annex-10-trs-1033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1FAF80269BD9C4DB8E73E2F46C69880" ma:contentTypeVersion="16" ma:contentTypeDescription="Create a new document." ma:contentTypeScope="" ma:versionID="19a843c71a08017edab7063f95e4498a">
  <xsd:schema xmlns:xsd="http://www.w3.org/2001/XMLSchema" xmlns:xs="http://www.w3.org/2001/XMLSchema" xmlns:p="http://schemas.microsoft.com/office/2006/metadata/properties" xmlns:ns2="aa60239c-d8ec-4988-a710-3ef7270f1a8e" xmlns:ns3="2c0b4a26-a0a6-442a-a800-f5fe1d9f3f5b" targetNamespace="http://schemas.microsoft.com/office/2006/metadata/properties" ma:root="true" ma:fieldsID="fbd30bc6f63d6c98d8ccd235f3a75195" ns2:_="" ns3:_="">
    <xsd:import namespace="aa60239c-d8ec-4988-a710-3ef7270f1a8e"/>
    <xsd:import namespace="2c0b4a26-a0a6-442a-a800-f5fe1d9f3f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60239c-d8ec-4988-a710-3ef7270f1a8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9927c38-8944-418e-ac9b-4d6e755430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0b4a26-a0a6-442a-a800-f5fe1d9f3f5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b7109a8-929b-4fc4-93d4-6e713aa07088}" ma:internalName="TaxCatchAll" ma:showField="CatchAllData" ma:web="2c0b4a26-a0a6-442a-a800-f5fe1d9f3f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c0b4a26-a0a6-442a-a800-f5fe1d9f3f5b" xsi:nil="true"/>
    <lcf76f155ced4ddcb4097134ff3c332f xmlns="aa60239c-d8ec-4988-a710-3ef7270f1a8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EB154B7-7712-40D3-B502-28D9E8F3B164}"/>
</file>

<file path=customXml/itemProps2.xml><?xml version="1.0" encoding="utf-8"?>
<ds:datastoreItem xmlns:ds="http://schemas.openxmlformats.org/officeDocument/2006/customXml" ds:itemID="{2FF3658D-C548-4FE0-A0C1-AEFB2C9CE8FB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85F2461-7F80-4150-B145-9642E33E6EC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F67FB7-88E2-4FFE-BA19-08379F3448B0}">
  <ds:schemaRefs>
    <ds:schemaRef ds:uri="http://schemas.microsoft.com/office/2006/metadata/properties"/>
    <ds:schemaRef ds:uri="http://schemas.microsoft.com/office/infopath/2007/PartnerControls"/>
    <ds:schemaRef ds:uri="2c0b4a26-a0a6-442a-a800-f5fe1d9f3f5b"/>
    <ds:schemaRef ds:uri="a543cafa-adee-4648-b348-b1a12a91c3e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1338</Words>
  <Characters>7632</Characters>
  <Application>Microsoft Office Word</Application>
  <DocSecurity>0</DocSecurity>
  <Lines>63</Lines>
  <Paragraphs>17</Paragraphs>
  <ScaleCrop>false</ScaleCrop>
  <Company/>
  <LinksUpToDate>false</LinksUpToDate>
  <CharactersWithSpaces>8953</CharactersWithSpaces>
  <SharedDoc>false</SharedDoc>
  <HLinks>
    <vt:vector size="24" baseType="variant">
      <vt:variant>
        <vt:i4>6029381</vt:i4>
      </vt:variant>
      <vt:variant>
        <vt:i4>9</vt:i4>
      </vt:variant>
      <vt:variant>
        <vt:i4>0</vt:i4>
      </vt:variant>
      <vt:variant>
        <vt:i4>5</vt:i4>
      </vt:variant>
      <vt:variant>
        <vt:lpwstr>https://www.imdrf.org/documents/terminologies-categorized-adverse-event-reporting-aer-terms-terminology-and-codes</vt:lpwstr>
      </vt:variant>
      <vt:variant>
        <vt:lpwstr/>
      </vt:variant>
      <vt:variant>
        <vt:i4>262172</vt:i4>
      </vt:variant>
      <vt:variant>
        <vt:i4>6</vt:i4>
      </vt:variant>
      <vt:variant>
        <vt:i4>0</vt:i4>
      </vt:variant>
      <vt:variant>
        <vt:i4>5</vt:i4>
      </vt:variant>
      <vt:variant>
        <vt:lpwstr>https://www.imdrf.org/working-groups/regulated-product-submission</vt:lpwstr>
      </vt:variant>
      <vt:variant>
        <vt:lpwstr/>
      </vt:variant>
      <vt:variant>
        <vt:i4>262235</vt:i4>
      </vt:variant>
      <vt:variant>
        <vt:i4>3</vt:i4>
      </vt:variant>
      <vt:variant>
        <vt:i4>0</vt:i4>
      </vt:variant>
      <vt:variant>
        <vt:i4>5</vt:i4>
      </vt:variant>
      <vt:variant>
        <vt:lpwstr>https://www.imdrf.org/working-groups/good-regulatory-review-practices</vt:lpwstr>
      </vt:variant>
      <vt:variant>
        <vt:lpwstr/>
      </vt:variant>
      <vt:variant>
        <vt:i4>69</vt:i4>
      </vt:variant>
      <vt:variant>
        <vt:i4>0</vt:i4>
      </vt:variant>
      <vt:variant>
        <vt:i4>0</vt:i4>
      </vt:variant>
      <vt:variant>
        <vt:i4>5</vt:i4>
      </vt:variant>
      <vt:variant>
        <vt:lpwstr>https://www.who.int/publications/m/item/annex-10-trs-1033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Cutts, Erin</dc:creator>
  <cp:keywords/>
  <dc:description/>
  <cp:lastModifiedBy>Cutts, Erin</cp:lastModifiedBy>
  <cp:revision>9</cp:revision>
  <dcterms:created xsi:type="dcterms:W3CDTF">2024-04-05T22:38:00Z</dcterms:created>
  <dcterms:modified xsi:type="dcterms:W3CDTF">2024-04-30T13:27:00Z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0x01010041FAF80269BD9C4DB8E73E2F46C69880</vt:lpwstr>
  </property>
  <property fmtid="{D5CDD505-2E9C-101B-9397-08002B2CF9AE}" pid="3" name="MediaServiceImageTags">
    <vt:lpwstr/>
  </property>
</Properties>
</file>