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55" w:rsidRPr="001F4C28" w:rsidRDefault="00D07C55" w:rsidP="00D07C55">
      <w:pPr>
        <w:pBdr>
          <w:top w:val="single" w:sz="6" w:space="0" w:color="000000"/>
          <w:left w:val="single" w:sz="6" w:space="0" w:color="000000"/>
          <w:bottom w:val="single" w:sz="6" w:space="0" w:color="000000"/>
          <w:right w:val="single" w:sz="6" w:space="0" w:color="000000"/>
        </w:pBdr>
        <w:tabs>
          <w:tab w:val="right" w:pos="9360"/>
        </w:tabs>
        <w:jc w:val="right"/>
        <w:rPr>
          <w:rFonts w:eastAsia="SimSun"/>
          <w:szCs w:val="24"/>
          <w:lang w:eastAsia="zh-CN"/>
        </w:rPr>
      </w:pPr>
      <w:r w:rsidRPr="001F4C28">
        <w:rPr>
          <w:rFonts w:eastAsia="SimSun"/>
          <w:szCs w:val="24"/>
          <w:lang w:eastAsia="zh-CN"/>
        </w:rPr>
        <w:t>IMDRF/Registry WG/N</w:t>
      </w:r>
      <w:r w:rsidRPr="001F4C28">
        <w:rPr>
          <w:rFonts w:eastAsia="SimSun" w:hint="eastAsia"/>
          <w:szCs w:val="24"/>
          <w:lang w:eastAsia="zh-CN"/>
        </w:rPr>
        <w:t>46</w:t>
      </w:r>
      <w:r w:rsidRPr="001F4C28">
        <w:rPr>
          <w:rFonts w:eastAsia="SimSun"/>
          <w:szCs w:val="24"/>
          <w:lang w:eastAsia="zh-CN"/>
        </w:rPr>
        <w:t xml:space="preserve"> FINAL</w:t>
      </w:r>
      <w:proofErr w:type="gramStart"/>
      <w:r w:rsidRPr="001F4C28">
        <w:rPr>
          <w:rFonts w:eastAsia="SimSun"/>
          <w:szCs w:val="24"/>
          <w:lang w:eastAsia="zh-CN"/>
        </w:rPr>
        <w:t>:2018</w:t>
      </w:r>
      <w:proofErr w:type="gramEnd"/>
    </w:p>
    <w:p w:rsidR="005219B9" w:rsidRPr="00B774CB" w:rsidRDefault="005219B9">
      <w:pPr>
        <w:pBdr>
          <w:top w:val="single" w:sz="6" w:space="0" w:color="000000"/>
          <w:left w:val="single" w:sz="6" w:space="0" w:color="000000"/>
          <w:bottom w:val="single" w:sz="6" w:space="0" w:color="000000"/>
          <w:right w:val="single" w:sz="6" w:space="0" w:color="000000"/>
        </w:pBdr>
        <w:rPr>
          <w:sz w:val="28"/>
        </w:rPr>
      </w:pPr>
    </w:p>
    <w:p w:rsidR="005219B9" w:rsidRPr="00B774CB" w:rsidRDefault="005219B9">
      <w:pPr>
        <w:pBdr>
          <w:top w:val="single" w:sz="6" w:space="0" w:color="000000"/>
          <w:left w:val="single" w:sz="6" w:space="0" w:color="000000"/>
          <w:bottom w:val="single" w:sz="6" w:space="0" w:color="000000"/>
          <w:right w:val="single" w:sz="6" w:space="0" w:color="000000"/>
        </w:pBdr>
        <w:rPr>
          <w:sz w:val="28"/>
        </w:rPr>
      </w:pPr>
    </w:p>
    <w:p w:rsidR="00061C0A" w:rsidRPr="00B774CB" w:rsidRDefault="00061C0A">
      <w:pPr>
        <w:pBdr>
          <w:top w:val="single" w:sz="6" w:space="0" w:color="000000"/>
          <w:left w:val="single" w:sz="6" w:space="0" w:color="000000"/>
          <w:bottom w:val="single" w:sz="6" w:space="0" w:color="000000"/>
          <w:right w:val="single" w:sz="6" w:space="0" w:color="000000"/>
        </w:pBdr>
        <w:rPr>
          <w:sz w:val="28"/>
        </w:rPr>
      </w:pPr>
    </w:p>
    <w:p w:rsidR="00061C0A" w:rsidRPr="00B774CB" w:rsidRDefault="00061C0A">
      <w:pPr>
        <w:pBdr>
          <w:top w:val="single" w:sz="6" w:space="0" w:color="000000"/>
          <w:left w:val="single" w:sz="6" w:space="0" w:color="000000"/>
          <w:bottom w:val="single" w:sz="6" w:space="0" w:color="000000"/>
          <w:right w:val="single" w:sz="6" w:space="0" w:color="000000"/>
        </w:pBdr>
        <w:rPr>
          <w:sz w:val="28"/>
        </w:rPr>
      </w:pPr>
    </w:p>
    <w:p w:rsidR="005219B9" w:rsidRPr="00B774CB" w:rsidRDefault="0015757E">
      <w:pPr>
        <w:pBdr>
          <w:top w:val="single" w:sz="6" w:space="0" w:color="000000"/>
          <w:left w:val="single" w:sz="6" w:space="0" w:color="000000"/>
          <w:bottom w:val="single" w:sz="6" w:space="0" w:color="000000"/>
          <w:right w:val="single" w:sz="6" w:space="0" w:color="000000"/>
        </w:pBdr>
        <w:rPr>
          <w:sz w:val="28"/>
        </w:rPr>
      </w:pPr>
      <w:r w:rsidRPr="00B774CB">
        <w:rPr>
          <w:noProof/>
          <w:lang w:val="en-AU" w:eastAsia="en-AU"/>
        </w:rPr>
        <w:drawing>
          <wp:anchor distT="0" distB="0" distL="114300" distR="114300" simplePos="0" relativeHeight="251662336" behindDoc="0" locked="0" layoutInCell="1" allowOverlap="1" wp14:anchorId="778A7658" wp14:editId="15EB00FD">
            <wp:simplePos x="0" y="0"/>
            <wp:positionH relativeFrom="column">
              <wp:posOffset>328930</wp:posOffset>
            </wp:positionH>
            <wp:positionV relativeFrom="paragraph">
              <wp:posOffset>100965</wp:posOffset>
            </wp:positionV>
            <wp:extent cx="5067300" cy="1196340"/>
            <wp:effectExtent l="0" t="0" r="0" b="3810"/>
            <wp:wrapNone/>
            <wp:docPr id="7" name="Picture 7"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730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9B9" w:rsidRPr="00B774CB" w:rsidRDefault="005219B9">
      <w:pPr>
        <w:pBdr>
          <w:top w:val="single" w:sz="6" w:space="0" w:color="000000"/>
          <w:left w:val="single" w:sz="6" w:space="0" w:color="000000"/>
          <w:bottom w:val="single" w:sz="6" w:space="0" w:color="000000"/>
          <w:right w:val="single" w:sz="6" w:space="0" w:color="000000"/>
        </w:pBdr>
        <w:rPr>
          <w:sz w:val="28"/>
        </w:rPr>
      </w:pPr>
    </w:p>
    <w:p w:rsidR="005219B9" w:rsidRPr="00B774CB" w:rsidRDefault="005219B9" w:rsidP="00461948">
      <w:pPr>
        <w:pBdr>
          <w:top w:val="single" w:sz="6" w:space="0" w:color="000000"/>
          <w:left w:val="single" w:sz="6" w:space="0" w:color="000000"/>
          <w:bottom w:val="single" w:sz="6" w:space="0" w:color="000000"/>
          <w:right w:val="single" w:sz="6" w:space="0" w:color="000000"/>
        </w:pBdr>
        <w:rPr>
          <w:sz w:val="28"/>
        </w:rPr>
      </w:pPr>
    </w:p>
    <w:p w:rsidR="005219B9" w:rsidRPr="00B774CB" w:rsidRDefault="005219B9">
      <w:pPr>
        <w:pBdr>
          <w:top w:val="single" w:sz="6" w:space="0" w:color="000000"/>
          <w:left w:val="single" w:sz="6" w:space="0" w:color="000000"/>
          <w:bottom w:val="single" w:sz="6" w:space="0" w:color="000000"/>
          <w:right w:val="single" w:sz="6" w:space="0" w:color="000000"/>
        </w:pBdr>
        <w:rPr>
          <w:sz w:val="28"/>
        </w:rPr>
      </w:pPr>
    </w:p>
    <w:p w:rsidR="005219B9" w:rsidRPr="00B774CB" w:rsidRDefault="005219B9">
      <w:pPr>
        <w:pBdr>
          <w:top w:val="single" w:sz="6" w:space="0" w:color="000000"/>
          <w:left w:val="single" w:sz="6" w:space="0" w:color="000000"/>
          <w:bottom w:val="single" w:sz="6" w:space="0" w:color="000000"/>
          <w:right w:val="single" w:sz="6" w:space="0" w:color="000000"/>
        </w:pBdr>
        <w:rPr>
          <w:sz w:val="28"/>
        </w:rPr>
      </w:pPr>
    </w:p>
    <w:p w:rsidR="0015757E" w:rsidRPr="00B774CB" w:rsidRDefault="0015757E">
      <w:pPr>
        <w:pBdr>
          <w:top w:val="single" w:sz="6" w:space="0" w:color="000000"/>
          <w:left w:val="single" w:sz="6" w:space="0" w:color="000000"/>
          <w:bottom w:val="single" w:sz="6" w:space="0" w:color="000000"/>
          <w:right w:val="single" w:sz="6" w:space="0" w:color="000000"/>
        </w:pBdr>
        <w:rPr>
          <w:sz w:val="28"/>
        </w:rPr>
      </w:pPr>
    </w:p>
    <w:p w:rsidR="0015757E" w:rsidRPr="00B774CB" w:rsidRDefault="0015757E">
      <w:pPr>
        <w:pBdr>
          <w:top w:val="single" w:sz="6" w:space="0" w:color="000000"/>
          <w:left w:val="single" w:sz="6" w:space="0" w:color="000000"/>
          <w:bottom w:val="single" w:sz="6" w:space="0" w:color="000000"/>
          <w:right w:val="single" w:sz="6" w:space="0" w:color="000000"/>
        </w:pBdr>
        <w:rPr>
          <w:sz w:val="28"/>
        </w:rPr>
      </w:pPr>
    </w:p>
    <w:p w:rsidR="00061C0A" w:rsidRPr="00B774CB" w:rsidRDefault="00061C0A">
      <w:pPr>
        <w:pBdr>
          <w:top w:val="single" w:sz="6" w:space="0" w:color="000000"/>
          <w:left w:val="single" w:sz="6" w:space="0" w:color="000000"/>
          <w:bottom w:val="single" w:sz="6" w:space="0" w:color="000000"/>
          <w:right w:val="single" w:sz="6" w:space="0" w:color="000000"/>
        </w:pBdr>
        <w:rPr>
          <w:sz w:val="28"/>
        </w:rPr>
      </w:pPr>
    </w:p>
    <w:p w:rsidR="0015757E" w:rsidRPr="00B774CB" w:rsidRDefault="0015757E">
      <w:pPr>
        <w:pBdr>
          <w:top w:val="single" w:sz="6" w:space="0" w:color="000000"/>
          <w:left w:val="single" w:sz="6" w:space="0" w:color="000000"/>
          <w:bottom w:val="single" w:sz="6" w:space="0" w:color="000000"/>
          <w:right w:val="single" w:sz="6" w:space="0" w:color="000000"/>
        </w:pBdr>
        <w:rPr>
          <w:sz w:val="28"/>
        </w:rPr>
      </w:pPr>
    </w:p>
    <w:p w:rsidR="009A663E" w:rsidRPr="00B774CB" w:rsidRDefault="003A6943" w:rsidP="00CF016E">
      <w:pPr>
        <w:pBdr>
          <w:top w:val="single" w:sz="6" w:space="0" w:color="000000"/>
          <w:left w:val="single" w:sz="6" w:space="0" w:color="000000"/>
          <w:bottom w:val="single" w:sz="6" w:space="0" w:color="000000"/>
          <w:right w:val="single" w:sz="6" w:space="0" w:color="000000"/>
        </w:pBdr>
        <w:tabs>
          <w:tab w:val="left" w:pos="924"/>
          <w:tab w:val="center" w:pos="4680"/>
          <w:tab w:val="center" w:pos="4902"/>
        </w:tabs>
        <w:spacing w:line="360" w:lineRule="auto"/>
        <w:jc w:val="center"/>
        <w:rPr>
          <w:b/>
          <w:sz w:val="40"/>
        </w:rPr>
      </w:pPr>
      <w:r w:rsidRPr="00B774CB">
        <w:rPr>
          <w:b/>
          <w:sz w:val="40"/>
        </w:rPr>
        <w:t xml:space="preserve">Final </w:t>
      </w:r>
      <w:r w:rsidR="0015757E" w:rsidRPr="00B774CB">
        <w:rPr>
          <w:b/>
          <w:sz w:val="40"/>
        </w:rPr>
        <w:t>Document</w:t>
      </w:r>
    </w:p>
    <w:p w:rsidR="005219B9" w:rsidRPr="00B774CB"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sidRPr="00B774CB">
        <w:rPr>
          <w:b/>
          <w:sz w:val="32"/>
        </w:rPr>
        <w:tab/>
      </w:r>
    </w:p>
    <w:p w:rsidR="005C270C" w:rsidRPr="00B774CB" w:rsidRDefault="005C270C">
      <w:pPr>
        <w:pBdr>
          <w:top w:val="single" w:sz="6" w:space="0" w:color="000000"/>
          <w:left w:val="single" w:sz="6" w:space="0" w:color="000000"/>
          <w:bottom w:val="single" w:sz="6" w:space="0" w:color="000000"/>
          <w:right w:val="single" w:sz="6" w:space="0" w:color="000000"/>
        </w:pBdr>
        <w:rPr>
          <w:b/>
          <w:sz w:val="32"/>
        </w:rPr>
      </w:pPr>
    </w:p>
    <w:p w:rsidR="005219B9" w:rsidRPr="00B774CB" w:rsidRDefault="005219B9">
      <w:pPr>
        <w:pBdr>
          <w:top w:val="single" w:sz="6" w:space="0" w:color="000000"/>
          <w:left w:val="single" w:sz="6" w:space="0" w:color="000000"/>
          <w:bottom w:val="single" w:sz="6" w:space="0" w:color="000000"/>
          <w:right w:val="single" w:sz="6" w:space="0" w:color="000000"/>
        </w:pBdr>
        <w:rPr>
          <w:b/>
          <w:sz w:val="32"/>
        </w:rPr>
      </w:pPr>
    </w:p>
    <w:p w:rsidR="00101FE6" w:rsidRDefault="005C270C" w:rsidP="00101FE6">
      <w:pPr>
        <w:pBdr>
          <w:top w:val="single" w:sz="6" w:space="0" w:color="000000"/>
          <w:left w:val="single" w:sz="6" w:space="0" w:color="000000"/>
          <w:bottom w:val="single" w:sz="6" w:space="0" w:color="000000"/>
          <w:right w:val="single" w:sz="6" w:space="0" w:color="000000"/>
        </w:pBdr>
        <w:ind w:firstLineChars="256" w:firstLine="720"/>
        <w:rPr>
          <w:sz w:val="28"/>
        </w:rPr>
      </w:pPr>
      <w:r w:rsidRPr="00B774CB">
        <w:rPr>
          <w:b/>
          <w:sz w:val="28"/>
        </w:rPr>
        <w:t xml:space="preserve">Title:  </w:t>
      </w:r>
      <w:bookmarkStart w:id="0" w:name="_GoBack"/>
      <w:r w:rsidRPr="00B774CB">
        <w:rPr>
          <w:sz w:val="28"/>
        </w:rPr>
        <w:t xml:space="preserve">Tools for Assessing the Usability of Registries in Support of </w:t>
      </w:r>
    </w:p>
    <w:p w:rsidR="005219B9" w:rsidRPr="00B774CB" w:rsidRDefault="00101FE6" w:rsidP="00101FE6">
      <w:pPr>
        <w:pBdr>
          <w:top w:val="single" w:sz="6" w:space="0" w:color="000000"/>
          <w:left w:val="single" w:sz="6" w:space="0" w:color="000000"/>
          <w:bottom w:val="single" w:sz="6" w:space="0" w:color="000000"/>
          <w:right w:val="single" w:sz="6" w:space="0" w:color="000000"/>
        </w:pBdr>
        <w:ind w:firstLineChars="257" w:firstLine="720"/>
        <w:rPr>
          <w:b/>
          <w:sz w:val="32"/>
        </w:rPr>
      </w:pPr>
      <w:r>
        <w:rPr>
          <w:sz w:val="28"/>
        </w:rPr>
        <w:t xml:space="preserve">            </w:t>
      </w:r>
      <w:r w:rsidR="005C270C" w:rsidRPr="00B774CB">
        <w:rPr>
          <w:sz w:val="28"/>
        </w:rPr>
        <w:t>Regulatory</w:t>
      </w:r>
      <w:r>
        <w:rPr>
          <w:b/>
          <w:sz w:val="32"/>
        </w:rPr>
        <w:t xml:space="preserve"> </w:t>
      </w:r>
      <w:r w:rsidR="00C358FC" w:rsidRPr="00B774CB">
        <w:rPr>
          <w:sz w:val="28"/>
        </w:rPr>
        <w:t>Decision-Making</w:t>
      </w:r>
      <w:bookmarkEnd w:id="0"/>
    </w:p>
    <w:p w:rsidR="005219B9" w:rsidRPr="00B774CB" w:rsidRDefault="005219B9">
      <w:pPr>
        <w:pBdr>
          <w:top w:val="single" w:sz="6" w:space="0" w:color="000000"/>
          <w:left w:val="single" w:sz="6" w:space="0" w:color="000000"/>
          <w:bottom w:val="single" w:sz="6" w:space="0" w:color="000000"/>
          <w:right w:val="single" w:sz="6" w:space="0" w:color="000000"/>
        </w:pBdr>
        <w:rPr>
          <w:b/>
          <w:sz w:val="32"/>
        </w:rPr>
      </w:pPr>
    </w:p>
    <w:p w:rsidR="005219B9" w:rsidRPr="00B774CB" w:rsidRDefault="00825ACA">
      <w:pPr>
        <w:pBdr>
          <w:top w:val="single" w:sz="6" w:space="0" w:color="000000"/>
          <w:left w:val="single" w:sz="6" w:space="0" w:color="000000"/>
          <w:bottom w:val="single" w:sz="6" w:space="0" w:color="000000"/>
          <w:right w:val="single" w:sz="6" w:space="0" w:color="000000"/>
        </w:pBdr>
        <w:rPr>
          <w:b/>
          <w:sz w:val="28"/>
        </w:rPr>
      </w:pPr>
      <w:r w:rsidRPr="00B774CB">
        <w:rPr>
          <w:b/>
          <w:sz w:val="28"/>
        </w:rPr>
        <w:t xml:space="preserve">   </w:t>
      </w:r>
      <w:r w:rsidR="00101FE6">
        <w:rPr>
          <w:b/>
          <w:sz w:val="28"/>
        </w:rPr>
        <w:tab/>
      </w:r>
      <w:r w:rsidRPr="00B774CB">
        <w:rPr>
          <w:b/>
          <w:sz w:val="28"/>
        </w:rPr>
        <w:t xml:space="preserve">Authoring Group: </w:t>
      </w:r>
      <w:r w:rsidR="0015757E" w:rsidRPr="00B774CB">
        <w:rPr>
          <w:b/>
          <w:sz w:val="28"/>
        </w:rPr>
        <w:t xml:space="preserve"> </w:t>
      </w:r>
      <w:r w:rsidR="00472D1E" w:rsidRPr="00B774CB">
        <w:rPr>
          <w:sz w:val="28"/>
        </w:rPr>
        <w:t>Patient Registries</w:t>
      </w:r>
      <w:r w:rsidR="005B14BD" w:rsidRPr="00B774CB">
        <w:rPr>
          <w:sz w:val="28"/>
        </w:rPr>
        <w:t xml:space="preserve"> Working Group</w:t>
      </w:r>
    </w:p>
    <w:p w:rsidR="005219B9" w:rsidRPr="00B774CB" w:rsidRDefault="005219B9">
      <w:pPr>
        <w:pBdr>
          <w:top w:val="single" w:sz="6" w:space="0" w:color="000000"/>
          <w:left w:val="single" w:sz="6" w:space="0" w:color="000000"/>
          <w:bottom w:val="single" w:sz="6" w:space="0" w:color="000000"/>
          <w:right w:val="single" w:sz="6" w:space="0" w:color="000000"/>
        </w:pBdr>
        <w:rPr>
          <w:b/>
          <w:sz w:val="28"/>
        </w:rPr>
      </w:pPr>
    </w:p>
    <w:p w:rsidR="005219B9" w:rsidRPr="00B774CB" w:rsidRDefault="00825ACA">
      <w:pPr>
        <w:pBdr>
          <w:top w:val="single" w:sz="6" w:space="0" w:color="000000"/>
          <w:left w:val="single" w:sz="6" w:space="0" w:color="000000"/>
          <w:bottom w:val="single" w:sz="6" w:space="0" w:color="000000"/>
          <w:right w:val="single" w:sz="6" w:space="0" w:color="000000"/>
        </w:pBdr>
        <w:rPr>
          <w:sz w:val="28"/>
        </w:rPr>
      </w:pPr>
      <w:r w:rsidRPr="00B774CB">
        <w:rPr>
          <w:b/>
          <w:sz w:val="28"/>
        </w:rPr>
        <w:t xml:space="preserve">   </w:t>
      </w:r>
      <w:r w:rsidR="00101FE6">
        <w:rPr>
          <w:b/>
          <w:sz w:val="28"/>
        </w:rPr>
        <w:tab/>
      </w:r>
      <w:r w:rsidRPr="00B774CB">
        <w:rPr>
          <w:b/>
          <w:sz w:val="28"/>
        </w:rPr>
        <w:t>Date:</w:t>
      </w:r>
      <w:r w:rsidR="001C5586" w:rsidRPr="00B774CB">
        <w:rPr>
          <w:b/>
          <w:sz w:val="28"/>
        </w:rPr>
        <w:t xml:space="preserve"> </w:t>
      </w:r>
      <w:r w:rsidR="0015757E" w:rsidRPr="00B774CB">
        <w:rPr>
          <w:b/>
          <w:sz w:val="28"/>
        </w:rPr>
        <w:t xml:space="preserve"> </w:t>
      </w:r>
      <w:r w:rsidR="00D07C55" w:rsidRPr="00D07C55">
        <w:rPr>
          <w:sz w:val="28"/>
        </w:rPr>
        <w:t>27 March 2018</w:t>
      </w:r>
    </w:p>
    <w:p w:rsidR="00D07C55" w:rsidRDefault="00D07C55" w:rsidP="00D07C55">
      <w:pPr>
        <w:pBdr>
          <w:top w:val="single" w:sz="6" w:space="0" w:color="000000"/>
          <w:left w:val="single" w:sz="6" w:space="0" w:color="000000"/>
          <w:bottom w:val="single" w:sz="6" w:space="0" w:color="000000"/>
          <w:right w:val="single" w:sz="6" w:space="0" w:color="000000"/>
        </w:pBdr>
        <w:jc w:val="center"/>
        <w:rPr>
          <w:rFonts w:ascii="SimSun" w:eastAsia="SimSun" w:hAnsi="SimSun"/>
          <w:sz w:val="28"/>
          <w:lang w:eastAsia="zh-CN"/>
        </w:rPr>
      </w:pPr>
    </w:p>
    <w:p w:rsidR="00D07C55" w:rsidRDefault="00D07C55" w:rsidP="00D07C55">
      <w:pPr>
        <w:pBdr>
          <w:top w:val="single" w:sz="6" w:space="0" w:color="000000"/>
          <w:left w:val="single" w:sz="6" w:space="0" w:color="000000"/>
          <w:bottom w:val="single" w:sz="6" w:space="0" w:color="000000"/>
          <w:right w:val="single" w:sz="6" w:space="0" w:color="000000"/>
        </w:pBdr>
        <w:jc w:val="center"/>
        <w:rPr>
          <w:rFonts w:ascii="SimSun" w:eastAsia="SimSun" w:hAnsi="SimSun"/>
          <w:sz w:val="28"/>
          <w:lang w:eastAsia="zh-CN"/>
        </w:rPr>
      </w:pPr>
    </w:p>
    <w:p w:rsidR="00C968D9" w:rsidRDefault="00C968D9" w:rsidP="00D07C55">
      <w:pPr>
        <w:pBdr>
          <w:top w:val="single" w:sz="6" w:space="0" w:color="000000"/>
          <w:left w:val="single" w:sz="6" w:space="0" w:color="000000"/>
          <w:bottom w:val="single" w:sz="6" w:space="0" w:color="000000"/>
          <w:right w:val="single" w:sz="6" w:space="0" w:color="000000"/>
        </w:pBdr>
        <w:jc w:val="center"/>
        <w:rPr>
          <w:rFonts w:ascii="SimSun" w:eastAsia="SimSun" w:hAnsi="SimSun"/>
          <w:sz w:val="28"/>
          <w:lang w:eastAsia="zh-CN"/>
        </w:rPr>
      </w:pPr>
    </w:p>
    <w:p w:rsidR="00C968D9" w:rsidRDefault="00C968D9" w:rsidP="00D07C55">
      <w:pPr>
        <w:pBdr>
          <w:top w:val="single" w:sz="6" w:space="0" w:color="000000"/>
          <w:left w:val="single" w:sz="6" w:space="0" w:color="000000"/>
          <w:bottom w:val="single" w:sz="6" w:space="0" w:color="000000"/>
          <w:right w:val="single" w:sz="6" w:space="0" w:color="000000"/>
        </w:pBdr>
        <w:jc w:val="center"/>
        <w:rPr>
          <w:rFonts w:ascii="SimSun" w:eastAsia="SimSun" w:hAnsi="SimSun"/>
          <w:sz w:val="28"/>
          <w:lang w:eastAsia="zh-CN"/>
        </w:rPr>
      </w:pPr>
    </w:p>
    <w:p w:rsidR="00C968D9" w:rsidRPr="00C968D9" w:rsidRDefault="00C968D9" w:rsidP="00D07C55">
      <w:pPr>
        <w:pBdr>
          <w:top w:val="single" w:sz="6" w:space="0" w:color="000000"/>
          <w:left w:val="single" w:sz="6" w:space="0" w:color="000000"/>
          <w:bottom w:val="single" w:sz="6" w:space="0" w:color="000000"/>
          <w:right w:val="single" w:sz="6" w:space="0" w:color="000000"/>
        </w:pBdr>
        <w:jc w:val="center"/>
        <w:rPr>
          <w:rFonts w:ascii="SimSun" w:eastAsia="SimSun" w:hAnsi="SimSun"/>
          <w:sz w:val="28"/>
          <w:lang w:eastAsia="zh-CN"/>
        </w:rPr>
      </w:pPr>
    </w:p>
    <w:p w:rsidR="00D07C55" w:rsidRPr="00D07C55" w:rsidRDefault="00886C91" w:rsidP="00D07C55">
      <w:pPr>
        <w:pBdr>
          <w:top w:val="single" w:sz="6" w:space="0" w:color="000000"/>
          <w:left w:val="single" w:sz="6" w:space="0" w:color="000000"/>
          <w:bottom w:val="single" w:sz="6" w:space="0" w:color="000000"/>
          <w:right w:val="single" w:sz="6" w:space="0" w:color="000000"/>
        </w:pBdr>
        <w:jc w:val="center"/>
        <w:rPr>
          <w:sz w:val="28"/>
        </w:rPr>
      </w:pPr>
      <w:r>
        <w:rPr>
          <w:rFonts w:eastAsia="SimSun" w:hint="eastAsia"/>
          <w:sz w:val="28"/>
          <w:lang w:eastAsia="zh-CN"/>
        </w:rPr>
        <w:t xml:space="preserve">                                                                            </w:t>
      </w:r>
      <w:r w:rsidR="00D07C55" w:rsidRPr="00D07C55">
        <w:rPr>
          <w:sz w:val="28"/>
        </w:rPr>
        <w:t>Yuan Lin, IMDRF Chair</w:t>
      </w:r>
    </w:p>
    <w:p w:rsidR="00D07C55" w:rsidRPr="00D07C55" w:rsidRDefault="00D07C55" w:rsidP="00D07C55">
      <w:pPr>
        <w:pBdr>
          <w:top w:val="single" w:sz="6" w:space="0" w:color="000000"/>
          <w:left w:val="single" w:sz="6" w:space="0" w:color="000000"/>
          <w:bottom w:val="single" w:sz="6" w:space="0" w:color="000000"/>
          <w:right w:val="single" w:sz="6" w:space="0" w:color="000000"/>
        </w:pBdr>
        <w:rPr>
          <w:sz w:val="28"/>
        </w:rPr>
      </w:pPr>
    </w:p>
    <w:p w:rsidR="00101FE6" w:rsidRDefault="00D07C55" w:rsidP="00D07C55">
      <w:pPr>
        <w:pBdr>
          <w:top w:val="single" w:sz="6" w:space="0" w:color="000000"/>
          <w:left w:val="single" w:sz="6" w:space="0" w:color="000000"/>
          <w:bottom w:val="single" w:sz="6" w:space="0" w:color="000000"/>
          <w:right w:val="single" w:sz="6" w:space="0" w:color="000000"/>
        </w:pBdr>
        <w:ind w:left="560" w:hangingChars="200" w:hanging="560"/>
        <w:rPr>
          <w:szCs w:val="24"/>
        </w:rPr>
      </w:pPr>
      <w:r w:rsidRPr="00D07C55">
        <w:rPr>
          <w:sz w:val="28"/>
        </w:rPr>
        <w:tab/>
      </w:r>
      <w:r w:rsidR="00101FE6">
        <w:rPr>
          <w:sz w:val="28"/>
        </w:rPr>
        <w:tab/>
      </w:r>
      <w:r w:rsidRPr="00D07C55">
        <w:rPr>
          <w:szCs w:val="24"/>
        </w:rPr>
        <w:t xml:space="preserve">This document was produced by the International Medical Device Regulators Forum. </w:t>
      </w:r>
    </w:p>
    <w:p w:rsidR="00101FE6" w:rsidRDefault="00101FE6" w:rsidP="00D07C55">
      <w:pPr>
        <w:pBdr>
          <w:top w:val="single" w:sz="6" w:space="0" w:color="000000"/>
          <w:left w:val="single" w:sz="6" w:space="0" w:color="000000"/>
          <w:bottom w:val="single" w:sz="6" w:space="0" w:color="000000"/>
          <w:right w:val="single" w:sz="6" w:space="0" w:color="000000"/>
        </w:pBdr>
        <w:ind w:left="480" w:hangingChars="200" w:hanging="480"/>
        <w:rPr>
          <w:szCs w:val="24"/>
        </w:rPr>
      </w:pPr>
      <w:r>
        <w:rPr>
          <w:szCs w:val="24"/>
        </w:rPr>
        <w:t xml:space="preserve">            </w:t>
      </w:r>
      <w:r w:rsidR="00D07C55" w:rsidRPr="00D07C55">
        <w:rPr>
          <w:szCs w:val="24"/>
        </w:rPr>
        <w:t xml:space="preserve">There are no restrictions on the reproduction or use of this document; however, </w:t>
      </w:r>
      <w:r>
        <w:rPr>
          <w:szCs w:val="24"/>
        </w:rPr>
        <w:t xml:space="preserve">  </w:t>
      </w:r>
    </w:p>
    <w:p w:rsidR="00101FE6" w:rsidRDefault="00101FE6" w:rsidP="00D07C55">
      <w:pPr>
        <w:pBdr>
          <w:top w:val="single" w:sz="6" w:space="0" w:color="000000"/>
          <w:left w:val="single" w:sz="6" w:space="0" w:color="000000"/>
          <w:bottom w:val="single" w:sz="6" w:space="0" w:color="000000"/>
          <w:right w:val="single" w:sz="6" w:space="0" w:color="000000"/>
        </w:pBdr>
        <w:ind w:left="480" w:hangingChars="200" w:hanging="480"/>
        <w:rPr>
          <w:szCs w:val="24"/>
        </w:rPr>
      </w:pPr>
      <w:r>
        <w:rPr>
          <w:szCs w:val="24"/>
        </w:rPr>
        <w:t xml:space="preserve">            </w:t>
      </w:r>
      <w:proofErr w:type="gramStart"/>
      <w:r w:rsidR="00D07C55" w:rsidRPr="00D07C55">
        <w:rPr>
          <w:szCs w:val="24"/>
        </w:rPr>
        <w:t>incorporation</w:t>
      </w:r>
      <w:proofErr w:type="gramEnd"/>
      <w:r w:rsidR="00D07C55" w:rsidRPr="00D07C55">
        <w:rPr>
          <w:szCs w:val="24"/>
        </w:rPr>
        <w:t xml:space="preserve"> of this docu</w:t>
      </w:r>
      <w:r w:rsidR="00D07C55">
        <w:rPr>
          <w:szCs w:val="24"/>
        </w:rPr>
        <w:t>ment, in part or in whole, into</w:t>
      </w:r>
      <w:r w:rsidR="00D07C55">
        <w:rPr>
          <w:rFonts w:eastAsia="SimSun" w:hint="eastAsia"/>
          <w:szCs w:val="24"/>
          <w:lang w:eastAsia="zh-CN"/>
        </w:rPr>
        <w:t xml:space="preserve"> </w:t>
      </w:r>
      <w:r w:rsidR="00D07C55" w:rsidRPr="00D07C55">
        <w:rPr>
          <w:szCs w:val="24"/>
        </w:rPr>
        <w:t xml:space="preserve">another document, or its </w:t>
      </w:r>
    </w:p>
    <w:p w:rsidR="00101FE6" w:rsidRDefault="00101FE6" w:rsidP="00101FE6">
      <w:pPr>
        <w:pBdr>
          <w:top w:val="single" w:sz="6" w:space="0" w:color="000000"/>
          <w:left w:val="single" w:sz="6" w:space="0" w:color="000000"/>
          <w:bottom w:val="single" w:sz="6" w:space="0" w:color="000000"/>
          <w:right w:val="single" w:sz="6" w:space="0" w:color="000000"/>
        </w:pBdr>
        <w:rPr>
          <w:szCs w:val="24"/>
        </w:rPr>
      </w:pPr>
      <w:r>
        <w:rPr>
          <w:szCs w:val="24"/>
        </w:rPr>
        <w:t xml:space="preserve">            </w:t>
      </w:r>
      <w:proofErr w:type="gramStart"/>
      <w:r w:rsidR="00D07C55" w:rsidRPr="00D07C55">
        <w:rPr>
          <w:szCs w:val="24"/>
        </w:rPr>
        <w:t>translation</w:t>
      </w:r>
      <w:proofErr w:type="gramEnd"/>
      <w:r w:rsidR="00D07C55" w:rsidRPr="00D07C55">
        <w:rPr>
          <w:szCs w:val="24"/>
        </w:rPr>
        <w:t xml:space="preserve"> into languages other than English, does not convey or represent an </w:t>
      </w:r>
    </w:p>
    <w:p w:rsidR="00D07C55" w:rsidRPr="00D07C55" w:rsidRDefault="00101FE6" w:rsidP="00101FE6">
      <w:pPr>
        <w:pBdr>
          <w:top w:val="single" w:sz="6" w:space="0" w:color="000000"/>
          <w:left w:val="single" w:sz="6" w:space="0" w:color="000000"/>
          <w:bottom w:val="single" w:sz="6" w:space="0" w:color="000000"/>
          <w:right w:val="single" w:sz="6" w:space="0" w:color="000000"/>
        </w:pBdr>
        <w:ind w:left="480" w:hangingChars="200" w:hanging="480"/>
        <w:rPr>
          <w:szCs w:val="24"/>
        </w:rPr>
      </w:pPr>
      <w:r>
        <w:rPr>
          <w:szCs w:val="24"/>
        </w:rPr>
        <w:t xml:space="preserve">            </w:t>
      </w:r>
      <w:proofErr w:type="gramStart"/>
      <w:r w:rsidR="00D07C55" w:rsidRPr="00D07C55">
        <w:rPr>
          <w:szCs w:val="24"/>
        </w:rPr>
        <w:t>endorsement</w:t>
      </w:r>
      <w:proofErr w:type="gramEnd"/>
      <w:r w:rsidR="00D07C55" w:rsidRPr="00D07C55">
        <w:rPr>
          <w:szCs w:val="24"/>
        </w:rPr>
        <w:t xml:space="preserve"> of any kind by the International Medical Device Regulators Forum.</w:t>
      </w:r>
    </w:p>
    <w:p w:rsidR="00D07C55" w:rsidRPr="00D07C55" w:rsidRDefault="00D07C55" w:rsidP="00D07C55">
      <w:pPr>
        <w:pBdr>
          <w:top w:val="single" w:sz="6" w:space="0" w:color="000000"/>
          <w:left w:val="single" w:sz="6" w:space="0" w:color="000000"/>
          <w:bottom w:val="single" w:sz="6" w:space="0" w:color="000000"/>
          <w:right w:val="single" w:sz="6" w:space="0" w:color="000000"/>
        </w:pBdr>
        <w:rPr>
          <w:sz w:val="28"/>
        </w:rPr>
      </w:pPr>
    </w:p>
    <w:p w:rsidR="005219B9" w:rsidRPr="00D07C55" w:rsidRDefault="00101FE6" w:rsidP="00D07C55">
      <w:pPr>
        <w:pBdr>
          <w:top w:val="single" w:sz="6" w:space="0" w:color="000000"/>
          <w:left w:val="single" w:sz="6" w:space="0" w:color="000000"/>
          <w:bottom w:val="single" w:sz="6" w:space="0" w:color="000000"/>
          <w:right w:val="single" w:sz="6" w:space="0" w:color="000000"/>
        </w:pBdr>
        <w:ind w:firstLineChars="200" w:firstLine="480"/>
        <w:rPr>
          <w:szCs w:val="24"/>
        </w:rPr>
      </w:pPr>
      <w:r>
        <w:rPr>
          <w:szCs w:val="24"/>
        </w:rPr>
        <w:t xml:space="preserve"> </w:t>
      </w:r>
      <w:r>
        <w:rPr>
          <w:szCs w:val="24"/>
        </w:rPr>
        <w:tab/>
      </w:r>
      <w:proofErr w:type="gramStart"/>
      <w:r w:rsidR="00D07C55" w:rsidRPr="00D07C55">
        <w:rPr>
          <w:szCs w:val="24"/>
        </w:rPr>
        <w:t>Copyright © 2018 by the International Medical Device Regulators Forum.</w:t>
      </w:r>
      <w:proofErr w:type="gramEnd"/>
    </w:p>
    <w:p w:rsidR="003040CC" w:rsidRPr="00C968D9" w:rsidRDefault="003040CC">
      <w:pPr>
        <w:ind w:firstLine="720"/>
        <w:rPr>
          <w:rFonts w:eastAsia="SimSun"/>
          <w:b/>
          <w:sz w:val="28"/>
          <w:lang w:eastAsia="zh-CN"/>
        </w:rPr>
      </w:pPr>
    </w:p>
    <w:p w:rsidR="0015757E" w:rsidRPr="00B774CB" w:rsidRDefault="0015757E" w:rsidP="00853154">
      <w:pPr>
        <w:rPr>
          <w:b/>
          <w:sz w:val="28"/>
        </w:rPr>
        <w:sectPr w:rsidR="0015757E" w:rsidRPr="00B774CB" w:rsidSect="00886C91">
          <w:headerReference w:type="default" r:id="rId10"/>
          <w:footerReference w:type="default" r:id="rId11"/>
          <w:headerReference w:type="first" r:id="rId12"/>
          <w:footerReference w:type="first" r:id="rId13"/>
          <w:type w:val="continuous"/>
          <w:pgSz w:w="12240" w:h="15840" w:code="1"/>
          <w:pgMar w:top="1134" w:right="1440" w:bottom="1440" w:left="1440" w:header="720" w:footer="720" w:gutter="0"/>
          <w:cols w:space="720"/>
          <w:titlePg/>
          <w:docGrid w:linePitch="326"/>
        </w:sectPr>
      </w:pPr>
    </w:p>
    <w:p w:rsidR="00E85AB7" w:rsidRPr="00B774CB" w:rsidRDefault="00E85AB7" w:rsidP="00853154">
      <w:pPr>
        <w:rPr>
          <w:b/>
          <w:sz w:val="28"/>
        </w:rPr>
      </w:pPr>
    </w:p>
    <w:p w:rsidR="00E85AB7" w:rsidRPr="00B774CB" w:rsidRDefault="00E85AB7">
      <w:pPr>
        <w:ind w:firstLine="720"/>
        <w:rPr>
          <w:b/>
          <w:sz w:val="28"/>
        </w:rPr>
      </w:pPr>
    </w:p>
    <w:p w:rsidR="00A50353" w:rsidRPr="00B774CB" w:rsidRDefault="00825ACA">
      <w:pPr>
        <w:ind w:firstLine="720"/>
        <w:rPr>
          <w:b/>
          <w:sz w:val="28"/>
        </w:rPr>
      </w:pPr>
      <w:r w:rsidRPr="00B774CB">
        <w:rPr>
          <w:b/>
          <w:sz w:val="28"/>
        </w:rPr>
        <w:t>Table of Contents</w:t>
      </w:r>
    </w:p>
    <w:p w:rsidR="00A13770" w:rsidRPr="00B774CB" w:rsidRDefault="00A13770">
      <w:pPr>
        <w:ind w:firstLine="720"/>
        <w:rPr>
          <w:b/>
          <w:sz w:val="28"/>
        </w:rPr>
      </w:pPr>
    </w:p>
    <w:p w:rsidR="00EA0883" w:rsidRDefault="00776A88">
      <w:pPr>
        <w:pStyle w:val="TOC1"/>
        <w:tabs>
          <w:tab w:val="left" w:pos="960"/>
          <w:tab w:val="right" w:leader="dot" w:pos="9620"/>
        </w:tabs>
        <w:rPr>
          <w:rFonts w:asciiTheme="minorHAnsi" w:eastAsiaTheme="minorEastAsia" w:hAnsiTheme="minorHAnsi" w:cstheme="minorBidi"/>
          <w:noProof/>
          <w:sz w:val="22"/>
          <w:szCs w:val="22"/>
        </w:rPr>
      </w:pPr>
      <w:r w:rsidRPr="00B774CB">
        <w:rPr>
          <w:b/>
          <w:sz w:val="28"/>
        </w:rPr>
        <w:fldChar w:fldCharType="begin"/>
      </w:r>
      <w:r w:rsidR="00EA6D08" w:rsidRPr="00B774CB">
        <w:rPr>
          <w:b/>
          <w:sz w:val="28"/>
        </w:rPr>
        <w:instrText xml:space="preserve"> TOC \o "1-3" \h \z \u </w:instrText>
      </w:r>
      <w:r w:rsidRPr="00B774CB">
        <w:rPr>
          <w:b/>
          <w:sz w:val="28"/>
        </w:rPr>
        <w:fldChar w:fldCharType="separate"/>
      </w:r>
      <w:hyperlink w:anchor="_Toc504994039" w:history="1">
        <w:r w:rsidR="00EA0883" w:rsidRPr="0091296E">
          <w:rPr>
            <w:rStyle w:val="Hyperlink"/>
            <w:noProof/>
          </w:rPr>
          <w:t>1.0</w:t>
        </w:r>
        <w:r w:rsidR="00EA0883">
          <w:rPr>
            <w:rFonts w:asciiTheme="minorHAnsi" w:eastAsiaTheme="minorEastAsia" w:hAnsiTheme="minorHAnsi" w:cstheme="minorBidi"/>
            <w:noProof/>
            <w:sz w:val="22"/>
            <w:szCs w:val="22"/>
          </w:rPr>
          <w:tab/>
        </w:r>
        <w:r w:rsidR="00EA0883" w:rsidRPr="0091296E">
          <w:rPr>
            <w:rStyle w:val="Hyperlink"/>
            <w:noProof/>
          </w:rPr>
          <w:t>Introduction</w:t>
        </w:r>
        <w:r w:rsidR="00EA0883">
          <w:rPr>
            <w:noProof/>
            <w:webHidden/>
          </w:rPr>
          <w:tab/>
        </w:r>
        <w:r w:rsidR="00EA0883">
          <w:rPr>
            <w:noProof/>
            <w:webHidden/>
          </w:rPr>
          <w:fldChar w:fldCharType="begin"/>
        </w:r>
        <w:r w:rsidR="00EA0883">
          <w:rPr>
            <w:noProof/>
            <w:webHidden/>
          </w:rPr>
          <w:instrText xml:space="preserve"> PAGEREF _Toc504994039 \h </w:instrText>
        </w:r>
        <w:r w:rsidR="00EA0883">
          <w:rPr>
            <w:noProof/>
            <w:webHidden/>
          </w:rPr>
        </w:r>
        <w:r w:rsidR="00EA0883">
          <w:rPr>
            <w:noProof/>
            <w:webHidden/>
          </w:rPr>
          <w:fldChar w:fldCharType="separate"/>
        </w:r>
        <w:r w:rsidR="003A5E4B">
          <w:rPr>
            <w:noProof/>
            <w:webHidden/>
          </w:rPr>
          <w:t>4</w:t>
        </w:r>
        <w:r w:rsidR="00EA0883">
          <w:rPr>
            <w:noProof/>
            <w:webHidden/>
          </w:rPr>
          <w:fldChar w:fldCharType="end"/>
        </w:r>
      </w:hyperlink>
    </w:p>
    <w:p w:rsidR="00EA0883" w:rsidRDefault="00E21886">
      <w:pPr>
        <w:pStyle w:val="TOC1"/>
        <w:tabs>
          <w:tab w:val="left" w:pos="960"/>
          <w:tab w:val="right" w:leader="dot" w:pos="9620"/>
        </w:tabs>
        <w:rPr>
          <w:rFonts w:asciiTheme="minorHAnsi" w:eastAsiaTheme="minorEastAsia" w:hAnsiTheme="minorHAnsi" w:cstheme="minorBidi"/>
          <w:noProof/>
          <w:sz w:val="22"/>
          <w:szCs w:val="22"/>
        </w:rPr>
      </w:pPr>
      <w:hyperlink w:anchor="_Toc504994040" w:history="1">
        <w:r w:rsidR="00EA0883" w:rsidRPr="0091296E">
          <w:rPr>
            <w:rStyle w:val="Hyperlink"/>
            <w:noProof/>
          </w:rPr>
          <w:t>2.0</w:t>
        </w:r>
        <w:r w:rsidR="00EA0883">
          <w:rPr>
            <w:rFonts w:asciiTheme="minorHAnsi" w:eastAsiaTheme="minorEastAsia" w:hAnsiTheme="minorHAnsi" w:cstheme="minorBidi"/>
            <w:noProof/>
            <w:sz w:val="22"/>
            <w:szCs w:val="22"/>
          </w:rPr>
          <w:tab/>
        </w:r>
        <w:r w:rsidR="00EA0883" w:rsidRPr="0091296E">
          <w:rPr>
            <w:rStyle w:val="Hyperlink"/>
            <w:noProof/>
          </w:rPr>
          <w:t>References</w:t>
        </w:r>
        <w:r w:rsidR="00EA0883">
          <w:rPr>
            <w:noProof/>
            <w:webHidden/>
          </w:rPr>
          <w:tab/>
        </w:r>
        <w:r w:rsidR="00EA0883">
          <w:rPr>
            <w:noProof/>
            <w:webHidden/>
          </w:rPr>
          <w:fldChar w:fldCharType="begin"/>
        </w:r>
        <w:r w:rsidR="00EA0883">
          <w:rPr>
            <w:noProof/>
            <w:webHidden/>
          </w:rPr>
          <w:instrText xml:space="preserve"> PAGEREF _Toc504994040 \h </w:instrText>
        </w:r>
        <w:r w:rsidR="00EA0883">
          <w:rPr>
            <w:noProof/>
            <w:webHidden/>
          </w:rPr>
        </w:r>
        <w:r w:rsidR="00EA0883">
          <w:rPr>
            <w:noProof/>
            <w:webHidden/>
          </w:rPr>
          <w:fldChar w:fldCharType="separate"/>
        </w:r>
        <w:r w:rsidR="003A5E4B">
          <w:rPr>
            <w:noProof/>
            <w:webHidden/>
          </w:rPr>
          <w:t>5</w:t>
        </w:r>
        <w:r w:rsidR="00EA0883">
          <w:rPr>
            <w:noProof/>
            <w:webHidden/>
          </w:rPr>
          <w:fldChar w:fldCharType="end"/>
        </w:r>
      </w:hyperlink>
    </w:p>
    <w:p w:rsidR="00EA0883" w:rsidRDefault="00E21886">
      <w:pPr>
        <w:pStyle w:val="TOC1"/>
        <w:tabs>
          <w:tab w:val="left" w:pos="960"/>
          <w:tab w:val="right" w:leader="dot" w:pos="9620"/>
        </w:tabs>
        <w:rPr>
          <w:rFonts w:asciiTheme="minorHAnsi" w:eastAsiaTheme="minorEastAsia" w:hAnsiTheme="minorHAnsi" w:cstheme="minorBidi"/>
          <w:noProof/>
          <w:sz w:val="22"/>
          <w:szCs w:val="22"/>
        </w:rPr>
      </w:pPr>
      <w:hyperlink w:anchor="_Toc504994041" w:history="1">
        <w:r w:rsidR="00EA0883" w:rsidRPr="0091296E">
          <w:rPr>
            <w:rStyle w:val="Hyperlink"/>
            <w:noProof/>
          </w:rPr>
          <w:t>3.0</w:t>
        </w:r>
        <w:r w:rsidR="00EA0883">
          <w:rPr>
            <w:rFonts w:asciiTheme="minorHAnsi" w:eastAsiaTheme="minorEastAsia" w:hAnsiTheme="minorHAnsi" w:cstheme="minorBidi"/>
            <w:noProof/>
            <w:sz w:val="22"/>
            <w:szCs w:val="22"/>
          </w:rPr>
          <w:tab/>
        </w:r>
        <w:r w:rsidR="00EA0883" w:rsidRPr="0091296E">
          <w:rPr>
            <w:rStyle w:val="Hyperlink"/>
            <w:noProof/>
          </w:rPr>
          <w:t>Definitions</w:t>
        </w:r>
        <w:r w:rsidR="00EA0883">
          <w:rPr>
            <w:noProof/>
            <w:webHidden/>
          </w:rPr>
          <w:tab/>
        </w:r>
        <w:r w:rsidR="00EA0883">
          <w:rPr>
            <w:noProof/>
            <w:webHidden/>
          </w:rPr>
          <w:fldChar w:fldCharType="begin"/>
        </w:r>
        <w:r w:rsidR="00EA0883">
          <w:rPr>
            <w:noProof/>
            <w:webHidden/>
          </w:rPr>
          <w:instrText xml:space="preserve"> PAGEREF _Toc504994041 \h </w:instrText>
        </w:r>
        <w:r w:rsidR="00EA0883">
          <w:rPr>
            <w:noProof/>
            <w:webHidden/>
          </w:rPr>
        </w:r>
        <w:r w:rsidR="00EA0883">
          <w:rPr>
            <w:noProof/>
            <w:webHidden/>
          </w:rPr>
          <w:fldChar w:fldCharType="separate"/>
        </w:r>
        <w:r w:rsidR="003A5E4B">
          <w:rPr>
            <w:noProof/>
            <w:webHidden/>
          </w:rPr>
          <w:t>7</w:t>
        </w:r>
        <w:r w:rsidR="00EA0883">
          <w:rPr>
            <w:noProof/>
            <w:webHidden/>
          </w:rPr>
          <w:fldChar w:fldCharType="end"/>
        </w:r>
      </w:hyperlink>
    </w:p>
    <w:p w:rsidR="00EA0883" w:rsidRDefault="00E21886">
      <w:pPr>
        <w:pStyle w:val="TOC1"/>
        <w:tabs>
          <w:tab w:val="left" w:pos="960"/>
          <w:tab w:val="right" w:leader="dot" w:pos="9620"/>
        </w:tabs>
        <w:rPr>
          <w:rFonts w:asciiTheme="minorHAnsi" w:eastAsiaTheme="minorEastAsia" w:hAnsiTheme="minorHAnsi" w:cstheme="minorBidi"/>
          <w:noProof/>
          <w:sz w:val="22"/>
          <w:szCs w:val="22"/>
        </w:rPr>
      </w:pPr>
      <w:hyperlink w:anchor="_Toc504994042" w:history="1">
        <w:r w:rsidR="00EA0883" w:rsidRPr="0091296E">
          <w:rPr>
            <w:rStyle w:val="Hyperlink"/>
            <w:noProof/>
          </w:rPr>
          <w:t>4.0</w:t>
        </w:r>
        <w:r w:rsidR="00EA0883">
          <w:rPr>
            <w:rFonts w:asciiTheme="minorHAnsi" w:eastAsiaTheme="minorEastAsia" w:hAnsiTheme="minorHAnsi" w:cstheme="minorBidi"/>
            <w:noProof/>
            <w:sz w:val="22"/>
            <w:szCs w:val="22"/>
          </w:rPr>
          <w:tab/>
        </w:r>
        <w:r w:rsidR="00EA0883" w:rsidRPr="0091296E">
          <w:rPr>
            <w:rStyle w:val="Hyperlink"/>
            <w:noProof/>
          </w:rPr>
          <w:t>Elements for Assessment of Registry for Regulatory Uses</w:t>
        </w:r>
        <w:r w:rsidR="00EA0883">
          <w:rPr>
            <w:noProof/>
            <w:webHidden/>
          </w:rPr>
          <w:tab/>
        </w:r>
        <w:r w:rsidR="00EA0883">
          <w:rPr>
            <w:noProof/>
            <w:webHidden/>
          </w:rPr>
          <w:fldChar w:fldCharType="begin"/>
        </w:r>
        <w:r w:rsidR="00EA0883">
          <w:rPr>
            <w:noProof/>
            <w:webHidden/>
          </w:rPr>
          <w:instrText xml:space="preserve"> PAGEREF _Toc504994042 \h </w:instrText>
        </w:r>
        <w:r w:rsidR="00EA0883">
          <w:rPr>
            <w:noProof/>
            <w:webHidden/>
          </w:rPr>
        </w:r>
        <w:r w:rsidR="00EA0883">
          <w:rPr>
            <w:noProof/>
            <w:webHidden/>
          </w:rPr>
          <w:fldChar w:fldCharType="separate"/>
        </w:r>
        <w:r w:rsidR="003A5E4B">
          <w:rPr>
            <w:noProof/>
            <w:webHidden/>
          </w:rPr>
          <w:t>7</w:t>
        </w:r>
        <w:r w:rsidR="00EA0883">
          <w:rPr>
            <w:noProof/>
            <w:webHidden/>
          </w:rPr>
          <w:fldChar w:fldCharType="end"/>
        </w:r>
      </w:hyperlink>
    </w:p>
    <w:p w:rsidR="00EA0883" w:rsidRDefault="00E21886" w:rsidP="00EA0883">
      <w:pPr>
        <w:pStyle w:val="TOC2"/>
        <w:numPr>
          <w:ilvl w:val="0"/>
          <w:numId w:val="0"/>
        </w:numPr>
        <w:tabs>
          <w:tab w:val="left" w:pos="1320"/>
        </w:tabs>
        <w:rPr>
          <w:rFonts w:asciiTheme="minorHAnsi" w:eastAsiaTheme="minorEastAsia" w:hAnsiTheme="minorHAnsi" w:cstheme="minorBidi"/>
          <w:noProof/>
          <w:sz w:val="22"/>
          <w:szCs w:val="22"/>
        </w:rPr>
      </w:pPr>
      <w:hyperlink w:anchor="_Toc504994043" w:history="1">
        <w:r w:rsidR="00EA0883" w:rsidRPr="0091296E">
          <w:rPr>
            <w:rStyle w:val="Hyperlink"/>
            <w:noProof/>
          </w:rPr>
          <w:t>4.1</w:t>
        </w:r>
        <w:r w:rsidR="00EA0883">
          <w:rPr>
            <w:rFonts w:asciiTheme="minorHAnsi" w:eastAsiaTheme="minorEastAsia" w:hAnsiTheme="minorHAnsi" w:cstheme="minorBidi"/>
            <w:noProof/>
            <w:sz w:val="22"/>
            <w:szCs w:val="22"/>
          </w:rPr>
          <w:tab/>
        </w:r>
        <w:r w:rsidR="00EA0883" w:rsidRPr="0091296E">
          <w:rPr>
            <w:rStyle w:val="Hyperlink"/>
            <w:noProof/>
          </w:rPr>
          <w:t>Governance structure and processes</w:t>
        </w:r>
        <w:r w:rsidR="00EA0883">
          <w:rPr>
            <w:noProof/>
            <w:webHidden/>
          </w:rPr>
          <w:tab/>
        </w:r>
        <w:r w:rsidR="00EA0883">
          <w:rPr>
            <w:noProof/>
            <w:webHidden/>
          </w:rPr>
          <w:fldChar w:fldCharType="begin"/>
        </w:r>
        <w:r w:rsidR="00EA0883">
          <w:rPr>
            <w:noProof/>
            <w:webHidden/>
          </w:rPr>
          <w:instrText xml:space="preserve"> PAGEREF _Toc504994043 \h </w:instrText>
        </w:r>
        <w:r w:rsidR="00EA0883">
          <w:rPr>
            <w:noProof/>
            <w:webHidden/>
          </w:rPr>
        </w:r>
        <w:r w:rsidR="00EA0883">
          <w:rPr>
            <w:noProof/>
            <w:webHidden/>
          </w:rPr>
          <w:fldChar w:fldCharType="separate"/>
        </w:r>
        <w:r w:rsidR="003A5E4B">
          <w:rPr>
            <w:noProof/>
            <w:webHidden/>
          </w:rPr>
          <w:t>8</w:t>
        </w:r>
        <w:r w:rsidR="00EA0883">
          <w:rPr>
            <w:noProof/>
            <w:webHidden/>
          </w:rPr>
          <w:fldChar w:fldCharType="end"/>
        </w:r>
      </w:hyperlink>
    </w:p>
    <w:p w:rsidR="00EA0883" w:rsidRDefault="00E21886" w:rsidP="00EA0883">
      <w:pPr>
        <w:pStyle w:val="TOC2"/>
        <w:numPr>
          <w:ilvl w:val="0"/>
          <w:numId w:val="0"/>
        </w:numPr>
        <w:tabs>
          <w:tab w:val="left" w:pos="1320"/>
        </w:tabs>
        <w:rPr>
          <w:rFonts w:asciiTheme="minorHAnsi" w:eastAsiaTheme="minorEastAsia" w:hAnsiTheme="minorHAnsi" w:cstheme="minorBidi"/>
          <w:noProof/>
          <w:sz w:val="22"/>
          <w:szCs w:val="22"/>
        </w:rPr>
      </w:pPr>
      <w:hyperlink w:anchor="_Toc504994044" w:history="1">
        <w:r w:rsidR="00EA0883" w:rsidRPr="0091296E">
          <w:rPr>
            <w:rStyle w:val="Hyperlink"/>
            <w:noProof/>
            <w:lang w:eastAsia="ja-JP"/>
          </w:rPr>
          <w:t>4.2</w:t>
        </w:r>
        <w:r w:rsidR="00EA0883">
          <w:rPr>
            <w:rFonts w:asciiTheme="minorHAnsi" w:eastAsiaTheme="minorEastAsia" w:hAnsiTheme="minorHAnsi" w:cstheme="minorBidi"/>
            <w:noProof/>
            <w:sz w:val="22"/>
            <w:szCs w:val="22"/>
          </w:rPr>
          <w:tab/>
        </w:r>
        <w:r w:rsidR="00EA0883" w:rsidRPr="0091296E">
          <w:rPr>
            <w:rStyle w:val="Hyperlink"/>
            <w:noProof/>
          </w:rPr>
          <w:t>Quality</w:t>
        </w:r>
        <w:r w:rsidR="00EA0883" w:rsidRPr="0091296E">
          <w:rPr>
            <w:rStyle w:val="Hyperlink"/>
            <w:noProof/>
            <w:lang w:eastAsia="ja-JP"/>
          </w:rPr>
          <w:t xml:space="preserve"> M</w:t>
        </w:r>
        <w:r w:rsidR="00EA0883" w:rsidRPr="0091296E">
          <w:rPr>
            <w:rStyle w:val="Hyperlink"/>
            <w:noProof/>
          </w:rPr>
          <w:t>anagement System</w:t>
        </w:r>
        <w:r w:rsidR="00EA0883">
          <w:rPr>
            <w:noProof/>
            <w:webHidden/>
          </w:rPr>
          <w:tab/>
        </w:r>
        <w:r w:rsidR="00EA0883">
          <w:rPr>
            <w:noProof/>
            <w:webHidden/>
          </w:rPr>
          <w:fldChar w:fldCharType="begin"/>
        </w:r>
        <w:r w:rsidR="00EA0883">
          <w:rPr>
            <w:noProof/>
            <w:webHidden/>
          </w:rPr>
          <w:instrText xml:space="preserve"> PAGEREF _Toc504994044 \h </w:instrText>
        </w:r>
        <w:r w:rsidR="00EA0883">
          <w:rPr>
            <w:noProof/>
            <w:webHidden/>
          </w:rPr>
        </w:r>
        <w:r w:rsidR="00EA0883">
          <w:rPr>
            <w:noProof/>
            <w:webHidden/>
          </w:rPr>
          <w:fldChar w:fldCharType="separate"/>
        </w:r>
        <w:r w:rsidR="003A5E4B">
          <w:rPr>
            <w:noProof/>
            <w:webHidden/>
          </w:rPr>
          <w:t>9</w:t>
        </w:r>
        <w:r w:rsidR="00EA0883">
          <w:rPr>
            <w:noProof/>
            <w:webHidden/>
          </w:rPr>
          <w:fldChar w:fldCharType="end"/>
        </w:r>
      </w:hyperlink>
    </w:p>
    <w:p w:rsidR="00EA0883" w:rsidRDefault="00E21886">
      <w:pPr>
        <w:pStyle w:val="TOC3"/>
        <w:rPr>
          <w:rFonts w:asciiTheme="minorHAnsi" w:eastAsiaTheme="minorEastAsia" w:hAnsiTheme="minorHAnsi" w:cstheme="minorBidi"/>
          <w:noProof/>
          <w:sz w:val="22"/>
          <w:szCs w:val="22"/>
        </w:rPr>
      </w:pPr>
      <w:hyperlink w:anchor="_Toc504994045" w:history="1">
        <w:r w:rsidR="00EA0883" w:rsidRPr="0091296E">
          <w:rPr>
            <w:rStyle w:val="Hyperlink"/>
            <w:noProof/>
            <w:lang w:eastAsia="ja-JP"/>
          </w:rPr>
          <w:t>4.2.1</w:t>
        </w:r>
        <w:r w:rsidR="00EA0883">
          <w:rPr>
            <w:rFonts w:asciiTheme="minorHAnsi" w:eastAsiaTheme="minorEastAsia" w:hAnsiTheme="minorHAnsi" w:cstheme="minorBidi"/>
            <w:noProof/>
            <w:sz w:val="22"/>
            <w:szCs w:val="22"/>
          </w:rPr>
          <w:tab/>
        </w:r>
        <w:r w:rsidR="00EA0883" w:rsidRPr="0091296E">
          <w:rPr>
            <w:rStyle w:val="Hyperlink"/>
            <w:noProof/>
            <w:lang w:eastAsia="ja-JP"/>
          </w:rPr>
          <w:t>Legal and Ethical Requirements for Data Collection and Handling</w:t>
        </w:r>
        <w:r w:rsidR="00EA0883">
          <w:rPr>
            <w:noProof/>
            <w:webHidden/>
          </w:rPr>
          <w:tab/>
        </w:r>
        <w:r w:rsidR="00EA0883">
          <w:rPr>
            <w:noProof/>
            <w:webHidden/>
          </w:rPr>
          <w:fldChar w:fldCharType="begin"/>
        </w:r>
        <w:r w:rsidR="00EA0883">
          <w:rPr>
            <w:noProof/>
            <w:webHidden/>
          </w:rPr>
          <w:instrText xml:space="preserve"> PAGEREF _Toc504994045 \h </w:instrText>
        </w:r>
        <w:r w:rsidR="00EA0883">
          <w:rPr>
            <w:noProof/>
            <w:webHidden/>
          </w:rPr>
        </w:r>
        <w:r w:rsidR="00EA0883">
          <w:rPr>
            <w:noProof/>
            <w:webHidden/>
          </w:rPr>
          <w:fldChar w:fldCharType="separate"/>
        </w:r>
        <w:r w:rsidR="003A5E4B">
          <w:rPr>
            <w:noProof/>
            <w:webHidden/>
          </w:rPr>
          <w:t>9</w:t>
        </w:r>
        <w:r w:rsidR="00EA0883">
          <w:rPr>
            <w:noProof/>
            <w:webHidden/>
          </w:rPr>
          <w:fldChar w:fldCharType="end"/>
        </w:r>
      </w:hyperlink>
    </w:p>
    <w:p w:rsidR="00EA0883" w:rsidRDefault="00E21886">
      <w:pPr>
        <w:pStyle w:val="TOC3"/>
        <w:rPr>
          <w:rFonts w:asciiTheme="minorHAnsi" w:eastAsiaTheme="minorEastAsia" w:hAnsiTheme="minorHAnsi" w:cstheme="minorBidi"/>
          <w:noProof/>
          <w:sz w:val="22"/>
          <w:szCs w:val="22"/>
        </w:rPr>
      </w:pPr>
      <w:hyperlink w:anchor="_Toc504994046" w:history="1">
        <w:r w:rsidR="00EA0883" w:rsidRPr="0091296E">
          <w:rPr>
            <w:rStyle w:val="Hyperlink"/>
            <w:noProof/>
            <w:lang w:eastAsia="ja-JP"/>
          </w:rPr>
          <w:t>4.2.2</w:t>
        </w:r>
        <w:r w:rsidR="00EA0883">
          <w:rPr>
            <w:rFonts w:asciiTheme="minorHAnsi" w:eastAsiaTheme="minorEastAsia" w:hAnsiTheme="minorHAnsi" w:cstheme="minorBidi"/>
            <w:noProof/>
            <w:sz w:val="22"/>
            <w:szCs w:val="22"/>
          </w:rPr>
          <w:tab/>
        </w:r>
        <w:r w:rsidR="00EA0883" w:rsidRPr="0091296E">
          <w:rPr>
            <w:rStyle w:val="Hyperlink"/>
            <w:noProof/>
            <w:lang w:eastAsia="ja-JP"/>
          </w:rPr>
          <w:t>Policy on Conflict of Interest</w:t>
        </w:r>
        <w:r w:rsidR="00EA0883">
          <w:rPr>
            <w:noProof/>
            <w:webHidden/>
          </w:rPr>
          <w:tab/>
        </w:r>
        <w:r w:rsidR="00EA0883">
          <w:rPr>
            <w:noProof/>
            <w:webHidden/>
          </w:rPr>
          <w:fldChar w:fldCharType="begin"/>
        </w:r>
        <w:r w:rsidR="00EA0883">
          <w:rPr>
            <w:noProof/>
            <w:webHidden/>
          </w:rPr>
          <w:instrText xml:space="preserve"> PAGEREF _Toc504994046 \h </w:instrText>
        </w:r>
        <w:r w:rsidR="00EA0883">
          <w:rPr>
            <w:noProof/>
            <w:webHidden/>
          </w:rPr>
        </w:r>
        <w:r w:rsidR="00EA0883">
          <w:rPr>
            <w:noProof/>
            <w:webHidden/>
          </w:rPr>
          <w:fldChar w:fldCharType="separate"/>
        </w:r>
        <w:r w:rsidR="003A5E4B">
          <w:rPr>
            <w:noProof/>
            <w:webHidden/>
          </w:rPr>
          <w:t>9</w:t>
        </w:r>
        <w:r w:rsidR="00EA0883">
          <w:rPr>
            <w:noProof/>
            <w:webHidden/>
          </w:rPr>
          <w:fldChar w:fldCharType="end"/>
        </w:r>
      </w:hyperlink>
    </w:p>
    <w:p w:rsidR="00EA0883" w:rsidRDefault="00E21886">
      <w:pPr>
        <w:pStyle w:val="TOC3"/>
        <w:rPr>
          <w:rFonts w:asciiTheme="minorHAnsi" w:eastAsiaTheme="minorEastAsia" w:hAnsiTheme="minorHAnsi" w:cstheme="minorBidi"/>
          <w:noProof/>
          <w:sz w:val="22"/>
          <w:szCs w:val="22"/>
        </w:rPr>
      </w:pPr>
      <w:hyperlink w:anchor="_Toc504994047" w:history="1">
        <w:r w:rsidR="00EA0883" w:rsidRPr="0091296E">
          <w:rPr>
            <w:rStyle w:val="Hyperlink"/>
            <w:noProof/>
            <w:lang w:eastAsia="ja-JP"/>
          </w:rPr>
          <w:t>4.2.3</w:t>
        </w:r>
        <w:r w:rsidR="00EA0883">
          <w:rPr>
            <w:rFonts w:asciiTheme="minorHAnsi" w:eastAsiaTheme="minorEastAsia" w:hAnsiTheme="minorHAnsi" w:cstheme="minorBidi"/>
            <w:noProof/>
            <w:sz w:val="22"/>
            <w:szCs w:val="22"/>
          </w:rPr>
          <w:tab/>
        </w:r>
        <w:r w:rsidR="00EA0883" w:rsidRPr="0091296E">
          <w:rPr>
            <w:rStyle w:val="Hyperlink"/>
            <w:noProof/>
            <w:lang w:eastAsia="ja-JP"/>
          </w:rPr>
          <w:t>Policy on Access to Data</w:t>
        </w:r>
        <w:r w:rsidR="00EA0883">
          <w:rPr>
            <w:noProof/>
            <w:webHidden/>
          </w:rPr>
          <w:tab/>
        </w:r>
        <w:r w:rsidR="00EA0883">
          <w:rPr>
            <w:noProof/>
            <w:webHidden/>
          </w:rPr>
          <w:fldChar w:fldCharType="begin"/>
        </w:r>
        <w:r w:rsidR="00EA0883">
          <w:rPr>
            <w:noProof/>
            <w:webHidden/>
          </w:rPr>
          <w:instrText xml:space="preserve"> PAGEREF _Toc504994047 \h </w:instrText>
        </w:r>
        <w:r w:rsidR="00EA0883">
          <w:rPr>
            <w:noProof/>
            <w:webHidden/>
          </w:rPr>
        </w:r>
        <w:r w:rsidR="00EA0883">
          <w:rPr>
            <w:noProof/>
            <w:webHidden/>
          </w:rPr>
          <w:fldChar w:fldCharType="separate"/>
        </w:r>
        <w:r w:rsidR="003A5E4B">
          <w:rPr>
            <w:noProof/>
            <w:webHidden/>
          </w:rPr>
          <w:t>10</w:t>
        </w:r>
        <w:r w:rsidR="00EA0883">
          <w:rPr>
            <w:noProof/>
            <w:webHidden/>
          </w:rPr>
          <w:fldChar w:fldCharType="end"/>
        </w:r>
      </w:hyperlink>
    </w:p>
    <w:p w:rsidR="00EA0883" w:rsidRDefault="00E21886">
      <w:pPr>
        <w:pStyle w:val="TOC3"/>
        <w:rPr>
          <w:rFonts w:asciiTheme="minorHAnsi" w:eastAsiaTheme="minorEastAsia" w:hAnsiTheme="minorHAnsi" w:cstheme="minorBidi"/>
          <w:noProof/>
          <w:sz w:val="22"/>
          <w:szCs w:val="22"/>
        </w:rPr>
      </w:pPr>
      <w:hyperlink w:anchor="_Toc504994048" w:history="1">
        <w:r w:rsidR="00EA0883" w:rsidRPr="0091296E">
          <w:rPr>
            <w:rStyle w:val="Hyperlink"/>
            <w:noProof/>
            <w:lang w:eastAsia="ja-JP"/>
          </w:rPr>
          <w:t>4.2.4</w:t>
        </w:r>
        <w:r w:rsidR="00EA0883">
          <w:rPr>
            <w:rFonts w:asciiTheme="minorHAnsi" w:eastAsiaTheme="minorEastAsia" w:hAnsiTheme="minorHAnsi" w:cstheme="minorBidi"/>
            <w:noProof/>
            <w:sz w:val="22"/>
            <w:szCs w:val="22"/>
          </w:rPr>
          <w:tab/>
        </w:r>
        <w:r w:rsidR="00EA0883" w:rsidRPr="0091296E">
          <w:rPr>
            <w:rStyle w:val="Hyperlink"/>
            <w:noProof/>
            <w:lang w:eastAsia="ja-JP"/>
          </w:rPr>
          <w:t>Essential Information Available for Verification by Relevant Authority</w:t>
        </w:r>
        <w:r w:rsidR="00EA0883">
          <w:rPr>
            <w:noProof/>
            <w:webHidden/>
          </w:rPr>
          <w:tab/>
        </w:r>
        <w:r w:rsidR="00EA0883">
          <w:rPr>
            <w:noProof/>
            <w:webHidden/>
          </w:rPr>
          <w:fldChar w:fldCharType="begin"/>
        </w:r>
        <w:r w:rsidR="00EA0883">
          <w:rPr>
            <w:noProof/>
            <w:webHidden/>
          </w:rPr>
          <w:instrText xml:space="preserve"> PAGEREF _Toc504994048 \h </w:instrText>
        </w:r>
        <w:r w:rsidR="00EA0883">
          <w:rPr>
            <w:noProof/>
            <w:webHidden/>
          </w:rPr>
        </w:r>
        <w:r w:rsidR="00EA0883">
          <w:rPr>
            <w:noProof/>
            <w:webHidden/>
          </w:rPr>
          <w:fldChar w:fldCharType="separate"/>
        </w:r>
        <w:r w:rsidR="003A5E4B">
          <w:rPr>
            <w:noProof/>
            <w:webHidden/>
          </w:rPr>
          <w:t>10</w:t>
        </w:r>
        <w:r w:rsidR="00EA0883">
          <w:rPr>
            <w:noProof/>
            <w:webHidden/>
          </w:rPr>
          <w:fldChar w:fldCharType="end"/>
        </w:r>
      </w:hyperlink>
    </w:p>
    <w:p w:rsidR="00EA0883" w:rsidRDefault="00E21886" w:rsidP="00EA0883">
      <w:pPr>
        <w:pStyle w:val="TOC2"/>
        <w:numPr>
          <w:ilvl w:val="0"/>
          <w:numId w:val="0"/>
        </w:numPr>
        <w:tabs>
          <w:tab w:val="left" w:pos="1320"/>
        </w:tabs>
        <w:rPr>
          <w:rFonts w:asciiTheme="minorHAnsi" w:eastAsiaTheme="minorEastAsia" w:hAnsiTheme="minorHAnsi" w:cstheme="minorBidi"/>
          <w:noProof/>
          <w:sz w:val="22"/>
          <w:szCs w:val="22"/>
        </w:rPr>
      </w:pPr>
      <w:hyperlink w:anchor="_Toc504994049" w:history="1">
        <w:r w:rsidR="00EA0883" w:rsidRPr="0091296E">
          <w:rPr>
            <w:rStyle w:val="Hyperlink"/>
            <w:noProof/>
          </w:rPr>
          <w:t>4.3</w:t>
        </w:r>
        <w:r w:rsidR="00EA0883">
          <w:rPr>
            <w:rFonts w:asciiTheme="minorHAnsi" w:eastAsiaTheme="minorEastAsia" w:hAnsiTheme="minorHAnsi" w:cstheme="minorBidi"/>
            <w:noProof/>
            <w:sz w:val="22"/>
            <w:szCs w:val="22"/>
          </w:rPr>
          <w:tab/>
        </w:r>
        <w:r w:rsidR="00EA0883" w:rsidRPr="0091296E">
          <w:rPr>
            <w:rStyle w:val="Hyperlink"/>
            <w:noProof/>
          </w:rPr>
          <w:t>Data gathering</w:t>
        </w:r>
        <w:r w:rsidR="00EA0883">
          <w:rPr>
            <w:noProof/>
            <w:webHidden/>
          </w:rPr>
          <w:tab/>
        </w:r>
        <w:r w:rsidR="00EA0883">
          <w:rPr>
            <w:noProof/>
            <w:webHidden/>
          </w:rPr>
          <w:fldChar w:fldCharType="begin"/>
        </w:r>
        <w:r w:rsidR="00EA0883">
          <w:rPr>
            <w:noProof/>
            <w:webHidden/>
          </w:rPr>
          <w:instrText xml:space="preserve"> PAGEREF _Toc504994049 \h </w:instrText>
        </w:r>
        <w:r w:rsidR="00EA0883">
          <w:rPr>
            <w:noProof/>
            <w:webHidden/>
          </w:rPr>
        </w:r>
        <w:r w:rsidR="00EA0883">
          <w:rPr>
            <w:noProof/>
            <w:webHidden/>
          </w:rPr>
          <w:fldChar w:fldCharType="separate"/>
        </w:r>
        <w:r w:rsidR="003A5E4B">
          <w:rPr>
            <w:noProof/>
            <w:webHidden/>
          </w:rPr>
          <w:t>10</w:t>
        </w:r>
        <w:r w:rsidR="00EA0883">
          <w:rPr>
            <w:noProof/>
            <w:webHidden/>
          </w:rPr>
          <w:fldChar w:fldCharType="end"/>
        </w:r>
      </w:hyperlink>
    </w:p>
    <w:p w:rsidR="00EA0883" w:rsidRDefault="00E21886">
      <w:pPr>
        <w:pStyle w:val="TOC3"/>
        <w:rPr>
          <w:rFonts w:asciiTheme="minorHAnsi" w:eastAsiaTheme="minorEastAsia" w:hAnsiTheme="minorHAnsi" w:cstheme="minorBidi"/>
          <w:noProof/>
          <w:sz w:val="22"/>
          <w:szCs w:val="22"/>
        </w:rPr>
      </w:pPr>
      <w:hyperlink w:anchor="_Toc504994050" w:history="1">
        <w:r w:rsidR="00EA0883" w:rsidRPr="0091296E">
          <w:rPr>
            <w:rStyle w:val="Hyperlink"/>
            <w:noProof/>
            <w:lang w:eastAsia="ja-JP"/>
          </w:rPr>
          <w:t>4.3.1</w:t>
        </w:r>
        <w:r w:rsidR="00EA0883">
          <w:rPr>
            <w:rFonts w:asciiTheme="minorHAnsi" w:eastAsiaTheme="minorEastAsia" w:hAnsiTheme="minorHAnsi" w:cstheme="minorBidi"/>
            <w:noProof/>
            <w:sz w:val="22"/>
            <w:szCs w:val="22"/>
          </w:rPr>
          <w:tab/>
        </w:r>
        <w:r w:rsidR="00EA0883" w:rsidRPr="0091296E">
          <w:rPr>
            <w:rStyle w:val="Hyperlink"/>
            <w:noProof/>
            <w:lang w:eastAsia="ja-JP"/>
          </w:rPr>
          <w:t>Relevant Variables</w:t>
        </w:r>
        <w:r w:rsidR="00EA0883">
          <w:rPr>
            <w:noProof/>
            <w:webHidden/>
          </w:rPr>
          <w:tab/>
        </w:r>
        <w:r w:rsidR="00EA0883">
          <w:rPr>
            <w:noProof/>
            <w:webHidden/>
          </w:rPr>
          <w:fldChar w:fldCharType="begin"/>
        </w:r>
        <w:r w:rsidR="00EA0883">
          <w:rPr>
            <w:noProof/>
            <w:webHidden/>
          </w:rPr>
          <w:instrText xml:space="preserve"> PAGEREF _Toc504994050 \h </w:instrText>
        </w:r>
        <w:r w:rsidR="00EA0883">
          <w:rPr>
            <w:noProof/>
            <w:webHidden/>
          </w:rPr>
        </w:r>
        <w:r w:rsidR="00EA0883">
          <w:rPr>
            <w:noProof/>
            <w:webHidden/>
          </w:rPr>
          <w:fldChar w:fldCharType="separate"/>
        </w:r>
        <w:r w:rsidR="003A5E4B">
          <w:rPr>
            <w:noProof/>
            <w:webHidden/>
          </w:rPr>
          <w:t>10</w:t>
        </w:r>
        <w:r w:rsidR="00EA0883">
          <w:rPr>
            <w:noProof/>
            <w:webHidden/>
          </w:rPr>
          <w:fldChar w:fldCharType="end"/>
        </w:r>
      </w:hyperlink>
    </w:p>
    <w:p w:rsidR="00EA0883" w:rsidRDefault="00E21886">
      <w:pPr>
        <w:pStyle w:val="TOC3"/>
        <w:rPr>
          <w:rFonts w:asciiTheme="minorHAnsi" w:eastAsiaTheme="minorEastAsia" w:hAnsiTheme="minorHAnsi" w:cstheme="minorBidi"/>
          <w:noProof/>
          <w:sz w:val="22"/>
          <w:szCs w:val="22"/>
        </w:rPr>
      </w:pPr>
      <w:hyperlink w:anchor="_Toc504994051" w:history="1">
        <w:r w:rsidR="00EA0883" w:rsidRPr="0091296E">
          <w:rPr>
            <w:rStyle w:val="Hyperlink"/>
            <w:noProof/>
            <w:lang w:eastAsia="ja-JP"/>
          </w:rPr>
          <w:t>4.3.2</w:t>
        </w:r>
        <w:r w:rsidR="00EA0883">
          <w:rPr>
            <w:rFonts w:asciiTheme="minorHAnsi" w:eastAsiaTheme="minorEastAsia" w:hAnsiTheme="minorHAnsi" w:cstheme="minorBidi"/>
            <w:noProof/>
            <w:sz w:val="22"/>
            <w:szCs w:val="22"/>
          </w:rPr>
          <w:tab/>
        </w:r>
        <w:r w:rsidR="00EA0883" w:rsidRPr="0091296E">
          <w:rPr>
            <w:rStyle w:val="Hyperlink"/>
            <w:noProof/>
            <w:lang w:eastAsia="ja-JP"/>
          </w:rPr>
          <w:t>Device Identification</w:t>
        </w:r>
        <w:r w:rsidR="00EA0883">
          <w:rPr>
            <w:noProof/>
            <w:webHidden/>
          </w:rPr>
          <w:tab/>
        </w:r>
        <w:r w:rsidR="00EA0883">
          <w:rPr>
            <w:noProof/>
            <w:webHidden/>
          </w:rPr>
          <w:fldChar w:fldCharType="begin"/>
        </w:r>
        <w:r w:rsidR="00EA0883">
          <w:rPr>
            <w:noProof/>
            <w:webHidden/>
          </w:rPr>
          <w:instrText xml:space="preserve"> PAGEREF _Toc504994051 \h </w:instrText>
        </w:r>
        <w:r w:rsidR="00EA0883">
          <w:rPr>
            <w:noProof/>
            <w:webHidden/>
          </w:rPr>
        </w:r>
        <w:r w:rsidR="00EA0883">
          <w:rPr>
            <w:noProof/>
            <w:webHidden/>
          </w:rPr>
          <w:fldChar w:fldCharType="separate"/>
        </w:r>
        <w:r w:rsidR="003A5E4B">
          <w:rPr>
            <w:noProof/>
            <w:webHidden/>
          </w:rPr>
          <w:t>11</w:t>
        </w:r>
        <w:r w:rsidR="00EA0883">
          <w:rPr>
            <w:noProof/>
            <w:webHidden/>
          </w:rPr>
          <w:fldChar w:fldCharType="end"/>
        </w:r>
      </w:hyperlink>
    </w:p>
    <w:p w:rsidR="00EA0883" w:rsidRDefault="00E21886">
      <w:pPr>
        <w:pStyle w:val="TOC3"/>
        <w:rPr>
          <w:rFonts w:asciiTheme="minorHAnsi" w:eastAsiaTheme="minorEastAsia" w:hAnsiTheme="minorHAnsi" w:cstheme="minorBidi"/>
          <w:noProof/>
          <w:sz w:val="22"/>
          <w:szCs w:val="22"/>
        </w:rPr>
      </w:pPr>
      <w:hyperlink w:anchor="_Toc504994052" w:history="1">
        <w:r w:rsidR="00EA0883" w:rsidRPr="0091296E">
          <w:rPr>
            <w:rStyle w:val="Hyperlink"/>
            <w:noProof/>
            <w:lang w:eastAsia="ja-JP"/>
          </w:rPr>
          <w:t>4.3.3</w:t>
        </w:r>
        <w:r w:rsidR="00EA0883">
          <w:rPr>
            <w:rFonts w:asciiTheme="minorHAnsi" w:eastAsiaTheme="minorEastAsia" w:hAnsiTheme="minorHAnsi" w:cstheme="minorBidi"/>
            <w:noProof/>
            <w:sz w:val="22"/>
            <w:szCs w:val="22"/>
          </w:rPr>
          <w:tab/>
        </w:r>
        <w:r w:rsidR="00EA0883" w:rsidRPr="0091296E">
          <w:rPr>
            <w:rStyle w:val="Hyperlink"/>
            <w:noProof/>
            <w:lang w:eastAsia="ja-JP"/>
          </w:rPr>
          <w:t>Internationally recognized standards</w:t>
        </w:r>
        <w:r w:rsidR="00EA0883">
          <w:rPr>
            <w:noProof/>
            <w:webHidden/>
          </w:rPr>
          <w:tab/>
        </w:r>
        <w:r w:rsidR="00EA0883">
          <w:rPr>
            <w:noProof/>
            <w:webHidden/>
          </w:rPr>
          <w:fldChar w:fldCharType="begin"/>
        </w:r>
        <w:r w:rsidR="00EA0883">
          <w:rPr>
            <w:noProof/>
            <w:webHidden/>
          </w:rPr>
          <w:instrText xml:space="preserve"> PAGEREF _Toc504994052 \h </w:instrText>
        </w:r>
        <w:r w:rsidR="00EA0883">
          <w:rPr>
            <w:noProof/>
            <w:webHidden/>
          </w:rPr>
        </w:r>
        <w:r w:rsidR="00EA0883">
          <w:rPr>
            <w:noProof/>
            <w:webHidden/>
          </w:rPr>
          <w:fldChar w:fldCharType="separate"/>
        </w:r>
        <w:r w:rsidR="003A5E4B">
          <w:rPr>
            <w:noProof/>
            <w:webHidden/>
          </w:rPr>
          <w:t>12</w:t>
        </w:r>
        <w:r w:rsidR="00EA0883">
          <w:rPr>
            <w:noProof/>
            <w:webHidden/>
          </w:rPr>
          <w:fldChar w:fldCharType="end"/>
        </w:r>
      </w:hyperlink>
    </w:p>
    <w:p w:rsidR="00EA0883" w:rsidRDefault="00E21886">
      <w:pPr>
        <w:pStyle w:val="TOC3"/>
        <w:rPr>
          <w:rFonts w:asciiTheme="minorHAnsi" w:eastAsiaTheme="minorEastAsia" w:hAnsiTheme="minorHAnsi" w:cstheme="minorBidi"/>
          <w:noProof/>
          <w:sz w:val="22"/>
          <w:szCs w:val="22"/>
        </w:rPr>
      </w:pPr>
      <w:hyperlink w:anchor="_Toc504994053" w:history="1">
        <w:r w:rsidR="00EA0883" w:rsidRPr="0091296E">
          <w:rPr>
            <w:rStyle w:val="Hyperlink"/>
            <w:noProof/>
            <w:lang w:eastAsia="ja-JP"/>
          </w:rPr>
          <w:t>4.3.4</w:t>
        </w:r>
        <w:r w:rsidR="00EA0883">
          <w:rPr>
            <w:rFonts w:asciiTheme="minorHAnsi" w:eastAsiaTheme="minorEastAsia" w:hAnsiTheme="minorHAnsi" w:cstheme="minorBidi"/>
            <w:noProof/>
            <w:sz w:val="22"/>
            <w:szCs w:val="22"/>
          </w:rPr>
          <w:tab/>
        </w:r>
        <w:r w:rsidR="00EA0883" w:rsidRPr="0091296E">
          <w:rPr>
            <w:rStyle w:val="Hyperlink"/>
            <w:noProof/>
            <w:lang w:eastAsia="ja-JP"/>
          </w:rPr>
          <w:t>Linkability</w:t>
        </w:r>
        <w:r w:rsidR="00EA0883">
          <w:rPr>
            <w:noProof/>
            <w:webHidden/>
          </w:rPr>
          <w:tab/>
        </w:r>
        <w:r w:rsidR="00EA0883">
          <w:rPr>
            <w:noProof/>
            <w:webHidden/>
          </w:rPr>
          <w:fldChar w:fldCharType="begin"/>
        </w:r>
        <w:r w:rsidR="00EA0883">
          <w:rPr>
            <w:noProof/>
            <w:webHidden/>
          </w:rPr>
          <w:instrText xml:space="preserve"> PAGEREF _Toc504994053 \h </w:instrText>
        </w:r>
        <w:r w:rsidR="00EA0883">
          <w:rPr>
            <w:noProof/>
            <w:webHidden/>
          </w:rPr>
        </w:r>
        <w:r w:rsidR="00EA0883">
          <w:rPr>
            <w:noProof/>
            <w:webHidden/>
          </w:rPr>
          <w:fldChar w:fldCharType="separate"/>
        </w:r>
        <w:r w:rsidR="003A5E4B">
          <w:rPr>
            <w:noProof/>
            <w:webHidden/>
          </w:rPr>
          <w:t>12</w:t>
        </w:r>
        <w:r w:rsidR="00EA0883">
          <w:rPr>
            <w:noProof/>
            <w:webHidden/>
          </w:rPr>
          <w:fldChar w:fldCharType="end"/>
        </w:r>
      </w:hyperlink>
    </w:p>
    <w:p w:rsidR="00EA0883" w:rsidRDefault="00E21886">
      <w:pPr>
        <w:pStyle w:val="TOC3"/>
        <w:rPr>
          <w:rFonts w:asciiTheme="minorHAnsi" w:eastAsiaTheme="minorEastAsia" w:hAnsiTheme="minorHAnsi" w:cstheme="minorBidi"/>
          <w:noProof/>
          <w:sz w:val="22"/>
          <w:szCs w:val="22"/>
        </w:rPr>
      </w:pPr>
      <w:hyperlink w:anchor="_Toc504994054" w:history="1">
        <w:r w:rsidR="00EA0883" w:rsidRPr="0091296E">
          <w:rPr>
            <w:rStyle w:val="Hyperlink"/>
            <w:noProof/>
          </w:rPr>
          <w:t>(a). Deterministic (direct</w:t>
        </w:r>
        <w:r w:rsidR="00EA0883" w:rsidRPr="0091296E">
          <w:rPr>
            <w:rStyle w:val="Hyperlink"/>
            <w:noProof/>
            <w:lang w:eastAsia="ja-JP"/>
          </w:rPr>
          <w:t>)</w:t>
        </w:r>
        <w:r w:rsidR="00EA0883">
          <w:rPr>
            <w:noProof/>
            <w:webHidden/>
          </w:rPr>
          <w:tab/>
        </w:r>
        <w:r w:rsidR="00EA0883">
          <w:rPr>
            <w:noProof/>
            <w:webHidden/>
          </w:rPr>
          <w:fldChar w:fldCharType="begin"/>
        </w:r>
        <w:r w:rsidR="00EA0883">
          <w:rPr>
            <w:noProof/>
            <w:webHidden/>
          </w:rPr>
          <w:instrText xml:space="preserve"> PAGEREF _Toc504994054 \h </w:instrText>
        </w:r>
        <w:r w:rsidR="00EA0883">
          <w:rPr>
            <w:noProof/>
            <w:webHidden/>
          </w:rPr>
        </w:r>
        <w:r w:rsidR="00EA0883">
          <w:rPr>
            <w:noProof/>
            <w:webHidden/>
          </w:rPr>
          <w:fldChar w:fldCharType="separate"/>
        </w:r>
        <w:r w:rsidR="003A5E4B">
          <w:rPr>
            <w:noProof/>
            <w:webHidden/>
          </w:rPr>
          <w:t>13</w:t>
        </w:r>
        <w:r w:rsidR="00EA0883">
          <w:rPr>
            <w:noProof/>
            <w:webHidden/>
          </w:rPr>
          <w:fldChar w:fldCharType="end"/>
        </w:r>
      </w:hyperlink>
    </w:p>
    <w:p w:rsidR="00EA0883" w:rsidRDefault="00E21886">
      <w:pPr>
        <w:pStyle w:val="TOC3"/>
        <w:rPr>
          <w:rFonts w:asciiTheme="minorHAnsi" w:eastAsiaTheme="minorEastAsia" w:hAnsiTheme="minorHAnsi" w:cstheme="minorBidi"/>
          <w:noProof/>
          <w:sz w:val="22"/>
          <w:szCs w:val="22"/>
        </w:rPr>
      </w:pPr>
      <w:hyperlink w:anchor="_Toc504994055" w:history="1">
        <w:r w:rsidR="00EA0883" w:rsidRPr="0091296E">
          <w:rPr>
            <w:rStyle w:val="Hyperlink"/>
            <w:noProof/>
          </w:rPr>
          <w:t>(b).  Probabilistic (indirect</w:t>
        </w:r>
        <w:r w:rsidR="00EA0883" w:rsidRPr="0091296E">
          <w:rPr>
            <w:rStyle w:val="Hyperlink"/>
            <w:noProof/>
            <w:lang w:eastAsia="ja-JP"/>
          </w:rPr>
          <w:t>)</w:t>
        </w:r>
        <w:r w:rsidR="00EA0883">
          <w:rPr>
            <w:noProof/>
            <w:webHidden/>
          </w:rPr>
          <w:tab/>
        </w:r>
        <w:r w:rsidR="00EA0883">
          <w:rPr>
            <w:noProof/>
            <w:webHidden/>
          </w:rPr>
          <w:fldChar w:fldCharType="begin"/>
        </w:r>
        <w:r w:rsidR="00EA0883">
          <w:rPr>
            <w:noProof/>
            <w:webHidden/>
          </w:rPr>
          <w:instrText xml:space="preserve"> PAGEREF _Toc504994055 \h </w:instrText>
        </w:r>
        <w:r w:rsidR="00EA0883">
          <w:rPr>
            <w:noProof/>
            <w:webHidden/>
          </w:rPr>
        </w:r>
        <w:r w:rsidR="00EA0883">
          <w:rPr>
            <w:noProof/>
            <w:webHidden/>
          </w:rPr>
          <w:fldChar w:fldCharType="separate"/>
        </w:r>
        <w:r w:rsidR="003A5E4B">
          <w:rPr>
            <w:noProof/>
            <w:webHidden/>
          </w:rPr>
          <w:t>13</w:t>
        </w:r>
        <w:r w:rsidR="00EA0883">
          <w:rPr>
            <w:noProof/>
            <w:webHidden/>
          </w:rPr>
          <w:fldChar w:fldCharType="end"/>
        </w:r>
      </w:hyperlink>
    </w:p>
    <w:p w:rsidR="00EA0883" w:rsidRDefault="00E21886">
      <w:pPr>
        <w:pStyle w:val="TOC3"/>
        <w:rPr>
          <w:rFonts w:asciiTheme="minorHAnsi" w:eastAsiaTheme="minorEastAsia" w:hAnsiTheme="minorHAnsi" w:cstheme="minorBidi"/>
          <w:noProof/>
          <w:sz w:val="22"/>
          <w:szCs w:val="22"/>
        </w:rPr>
      </w:pPr>
      <w:hyperlink w:anchor="_Toc504994056" w:history="1">
        <w:r w:rsidR="00EA0883" w:rsidRPr="0091296E">
          <w:rPr>
            <w:rStyle w:val="Hyperlink"/>
            <w:noProof/>
            <w:lang w:eastAsia="ja-JP"/>
          </w:rPr>
          <w:t>4.3.5</w:t>
        </w:r>
        <w:r w:rsidR="00EA0883">
          <w:rPr>
            <w:rFonts w:asciiTheme="minorHAnsi" w:eastAsiaTheme="minorEastAsia" w:hAnsiTheme="minorHAnsi" w:cstheme="minorBidi"/>
            <w:noProof/>
            <w:sz w:val="22"/>
            <w:szCs w:val="22"/>
          </w:rPr>
          <w:tab/>
        </w:r>
        <w:r w:rsidR="00EA0883" w:rsidRPr="0091296E">
          <w:rPr>
            <w:rStyle w:val="Hyperlink"/>
            <w:noProof/>
          </w:rPr>
          <w:t>Data Storage / Processing (Security Protection against hacking, altering, deleting or steeling data)</w:t>
        </w:r>
        <w:r w:rsidR="00EA0883">
          <w:rPr>
            <w:noProof/>
            <w:webHidden/>
          </w:rPr>
          <w:tab/>
        </w:r>
        <w:r w:rsidR="00EA0883">
          <w:rPr>
            <w:noProof/>
            <w:webHidden/>
          </w:rPr>
          <w:fldChar w:fldCharType="begin"/>
        </w:r>
        <w:r w:rsidR="00EA0883">
          <w:rPr>
            <w:noProof/>
            <w:webHidden/>
          </w:rPr>
          <w:instrText xml:space="preserve"> PAGEREF _Toc504994056 \h </w:instrText>
        </w:r>
        <w:r w:rsidR="00EA0883">
          <w:rPr>
            <w:noProof/>
            <w:webHidden/>
          </w:rPr>
        </w:r>
        <w:r w:rsidR="00EA0883">
          <w:rPr>
            <w:noProof/>
            <w:webHidden/>
          </w:rPr>
          <w:fldChar w:fldCharType="separate"/>
        </w:r>
        <w:r w:rsidR="003A5E4B">
          <w:rPr>
            <w:noProof/>
            <w:webHidden/>
          </w:rPr>
          <w:t>14</w:t>
        </w:r>
        <w:r w:rsidR="00EA0883">
          <w:rPr>
            <w:noProof/>
            <w:webHidden/>
          </w:rPr>
          <w:fldChar w:fldCharType="end"/>
        </w:r>
      </w:hyperlink>
    </w:p>
    <w:p w:rsidR="00EA0883" w:rsidRDefault="00E21886" w:rsidP="00EA0883">
      <w:pPr>
        <w:pStyle w:val="TOC2"/>
        <w:numPr>
          <w:ilvl w:val="0"/>
          <w:numId w:val="0"/>
        </w:numPr>
        <w:rPr>
          <w:rFonts w:asciiTheme="minorHAnsi" w:eastAsiaTheme="minorEastAsia" w:hAnsiTheme="minorHAnsi" w:cstheme="minorBidi"/>
          <w:noProof/>
          <w:sz w:val="22"/>
          <w:szCs w:val="22"/>
        </w:rPr>
      </w:pPr>
      <w:hyperlink w:anchor="_Toc504994057" w:history="1">
        <w:r w:rsidR="00EA0883" w:rsidRPr="0091296E">
          <w:rPr>
            <w:rStyle w:val="Hyperlink"/>
            <w:noProof/>
          </w:rPr>
          <w:t>4. 4.  Methodologies Leading to Actionable Data</w:t>
        </w:r>
        <w:r w:rsidR="00EA0883">
          <w:rPr>
            <w:noProof/>
            <w:webHidden/>
          </w:rPr>
          <w:tab/>
        </w:r>
        <w:r w:rsidR="00EA0883">
          <w:rPr>
            <w:noProof/>
            <w:webHidden/>
          </w:rPr>
          <w:fldChar w:fldCharType="begin"/>
        </w:r>
        <w:r w:rsidR="00EA0883">
          <w:rPr>
            <w:noProof/>
            <w:webHidden/>
          </w:rPr>
          <w:instrText xml:space="preserve"> PAGEREF _Toc504994057 \h </w:instrText>
        </w:r>
        <w:r w:rsidR="00EA0883">
          <w:rPr>
            <w:noProof/>
            <w:webHidden/>
          </w:rPr>
        </w:r>
        <w:r w:rsidR="00EA0883">
          <w:rPr>
            <w:noProof/>
            <w:webHidden/>
          </w:rPr>
          <w:fldChar w:fldCharType="separate"/>
        </w:r>
        <w:r w:rsidR="003A5E4B">
          <w:rPr>
            <w:noProof/>
            <w:webHidden/>
          </w:rPr>
          <w:t>14</w:t>
        </w:r>
        <w:r w:rsidR="00EA0883">
          <w:rPr>
            <w:noProof/>
            <w:webHidden/>
          </w:rPr>
          <w:fldChar w:fldCharType="end"/>
        </w:r>
      </w:hyperlink>
    </w:p>
    <w:p w:rsidR="00EA0883" w:rsidRDefault="00E21886" w:rsidP="00EA0883">
      <w:pPr>
        <w:pStyle w:val="TOC2"/>
        <w:numPr>
          <w:ilvl w:val="0"/>
          <w:numId w:val="0"/>
        </w:numPr>
        <w:tabs>
          <w:tab w:val="left" w:pos="1320"/>
        </w:tabs>
        <w:rPr>
          <w:rFonts w:asciiTheme="minorHAnsi" w:eastAsiaTheme="minorEastAsia" w:hAnsiTheme="minorHAnsi" w:cstheme="minorBidi"/>
          <w:noProof/>
          <w:sz w:val="22"/>
          <w:szCs w:val="22"/>
        </w:rPr>
      </w:pPr>
      <w:hyperlink w:anchor="_Toc504994058" w:history="1">
        <w:r w:rsidR="00EA0883" w:rsidRPr="0091296E">
          <w:rPr>
            <w:rStyle w:val="Hyperlink"/>
            <w:noProof/>
            <w:lang w:eastAsia="ja-JP"/>
          </w:rPr>
          <w:t>4.5</w:t>
        </w:r>
        <w:r w:rsidR="00EA0883">
          <w:rPr>
            <w:rFonts w:asciiTheme="minorHAnsi" w:eastAsiaTheme="minorEastAsia" w:hAnsiTheme="minorHAnsi" w:cstheme="minorBidi"/>
            <w:noProof/>
            <w:sz w:val="22"/>
            <w:szCs w:val="22"/>
          </w:rPr>
          <w:tab/>
        </w:r>
        <w:r w:rsidR="00EA0883" w:rsidRPr="0091296E">
          <w:rPr>
            <w:rStyle w:val="Hyperlink"/>
            <w:noProof/>
            <w:lang w:eastAsia="ja-JP"/>
          </w:rPr>
          <w:t>Interpretation</w:t>
        </w:r>
        <w:r w:rsidR="00EA0883">
          <w:rPr>
            <w:noProof/>
            <w:webHidden/>
          </w:rPr>
          <w:tab/>
        </w:r>
        <w:r w:rsidR="00EA0883">
          <w:rPr>
            <w:noProof/>
            <w:webHidden/>
          </w:rPr>
          <w:fldChar w:fldCharType="begin"/>
        </w:r>
        <w:r w:rsidR="00EA0883">
          <w:rPr>
            <w:noProof/>
            <w:webHidden/>
          </w:rPr>
          <w:instrText xml:space="preserve"> PAGEREF _Toc504994058 \h </w:instrText>
        </w:r>
        <w:r w:rsidR="00EA0883">
          <w:rPr>
            <w:noProof/>
            <w:webHidden/>
          </w:rPr>
        </w:r>
        <w:r w:rsidR="00EA0883">
          <w:rPr>
            <w:noProof/>
            <w:webHidden/>
          </w:rPr>
          <w:fldChar w:fldCharType="separate"/>
        </w:r>
        <w:r w:rsidR="003A5E4B">
          <w:rPr>
            <w:noProof/>
            <w:webHidden/>
          </w:rPr>
          <w:t>14</w:t>
        </w:r>
        <w:r w:rsidR="00EA0883">
          <w:rPr>
            <w:noProof/>
            <w:webHidden/>
          </w:rPr>
          <w:fldChar w:fldCharType="end"/>
        </w:r>
      </w:hyperlink>
    </w:p>
    <w:p w:rsidR="00EA0883" w:rsidRDefault="00E21886" w:rsidP="00EA0883">
      <w:pPr>
        <w:pStyle w:val="TOC2"/>
        <w:numPr>
          <w:ilvl w:val="0"/>
          <w:numId w:val="0"/>
        </w:numPr>
        <w:tabs>
          <w:tab w:val="left" w:pos="1320"/>
        </w:tabs>
        <w:rPr>
          <w:rFonts w:asciiTheme="minorHAnsi" w:eastAsiaTheme="minorEastAsia" w:hAnsiTheme="minorHAnsi" w:cstheme="minorBidi"/>
          <w:noProof/>
          <w:sz w:val="22"/>
          <w:szCs w:val="22"/>
        </w:rPr>
      </w:pPr>
      <w:hyperlink w:anchor="_Toc504994059" w:history="1">
        <w:r w:rsidR="00EA0883" w:rsidRPr="0091296E">
          <w:rPr>
            <w:rStyle w:val="Hyperlink"/>
            <w:noProof/>
            <w:lang w:eastAsia="ja-JP"/>
          </w:rPr>
          <w:t>4.6</w:t>
        </w:r>
        <w:r w:rsidR="00EA0883">
          <w:rPr>
            <w:rFonts w:asciiTheme="minorHAnsi" w:eastAsiaTheme="minorEastAsia" w:hAnsiTheme="minorHAnsi" w:cstheme="minorBidi"/>
            <w:noProof/>
            <w:sz w:val="22"/>
            <w:szCs w:val="22"/>
          </w:rPr>
          <w:tab/>
        </w:r>
        <w:r w:rsidR="00EA0883" w:rsidRPr="0091296E">
          <w:rPr>
            <w:rStyle w:val="Hyperlink"/>
            <w:noProof/>
            <w:lang w:eastAsia="ja-JP"/>
          </w:rPr>
          <w:t>Tra</w:t>
        </w:r>
        <w:r w:rsidR="00EA0883" w:rsidRPr="0091296E">
          <w:rPr>
            <w:rStyle w:val="Hyperlink"/>
            <w:noProof/>
          </w:rPr>
          <w:t>nsparency / Display/ Distribution</w:t>
        </w:r>
        <w:r w:rsidR="00EA0883">
          <w:rPr>
            <w:noProof/>
            <w:webHidden/>
          </w:rPr>
          <w:tab/>
        </w:r>
        <w:r w:rsidR="00EA0883">
          <w:rPr>
            <w:noProof/>
            <w:webHidden/>
          </w:rPr>
          <w:fldChar w:fldCharType="begin"/>
        </w:r>
        <w:r w:rsidR="00EA0883">
          <w:rPr>
            <w:noProof/>
            <w:webHidden/>
          </w:rPr>
          <w:instrText xml:space="preserve"> PAGEREF _Toc504994059 \h </w:instrText>
        </w:r>
        <w:r w:rsidR="00EA0883">
          <w:rPr>
            <w:noProof/>
            <w:webHidden/>
          </w:rPr>
        </w:r>
        <w:r w:rsidR="00EA0883">
          <w:rPr>
            <w:noProof/>
            <w:webHidden/>
          </w:rPr>
          <w:fldChar w:fldCharType="separate"/>
        </w:r>
        <w:r w:rsidR="003A5E4B">
          <w:rPr>
            <w:noProof/>
            <w:webHidden/>
          </w:rPr>
          <w:t>14</w:t>
        </w:r>
        <w:r w:rsidR="00EA0883">
          <w:rPr>
            <w:noProof/>
            <w:webHidden/>
          </w:rPr>
          <w:fldChar w:fldCharType="end"/>
        </w:r>
      </w:hyperlink>
    </w:p>
    <w:p w:rsidR="00EA0883" w:rsidRDefault="00E21886">
      <w:pPr>
        <w:pStyle w:val="TOC1"/>
        <w:tabs>
          <w:tab w:val="left" w:pos="960"/>
          <w:tab w:val="right" w:leader="dot" w:pos="9620"/>
        </w:tabs>
        <w:rPr>
          <w:rFonts w:asciiTheme="minorHAnsi" w:eastAsiaTheme="minorEastAsia" w:hAnsiTheme="minorHAnsi" w:cstheme="minorBidi"/>
          <w:noProof/>
          <w:sz w:val="22"/>
          <w:szCs w:val="22"/>
        </w:rPr>
      </w:pPr>
      <w:hyperlink w:anchor="_Toc504994060" w:history="1">
        <w:r w:rsidR="00EA0883" w:rsidRPr="0091296E">
          <w:rPr>
            <w:rStyle w:val="Hyperlink"/>
            <w:noProof/>
            <w:lang w:eastAsia="ja-JP"/>
          </w:rPr>
          <w:t>5.0</w:t>
        </w:r>
        <w:r w:rsidR="00EA0883">
          <w:rPr>
            <w:rFonts w:asciiTheme="minorHAnsi" w:eastAsiaTheme="minorEastAsia" w:hAnsiTheme="minorHAnsi" w:cstheme="minorBidi"/>
            <w:noProof/>
            <w:sz w:val="22"/>
            <w:szCs w:val="22"/>
          </w:rPr>
          <w:tab/>
        </w:r>
        <w:r w:rsidR="00EA0883" w:rsidRPr="0091296E">
          <w:rPr>
            <w:rStyle w:val="Hyperlink"/>
            <w:noProof/>
            <w:lang w:eastAsia="ja-JP"/>
          </w:rPr>
          <w:t>APPENDIX 1:  Proposed Areas of Emphasis for an Assessment of Regulatory Use</w:t>
        </w:r>
        <w:r w:rsidR="00EA0883">
          <w:rPr>
            <w:noProof/>
            <w:webHidden/>
          </w:rPr>
          <w:tab/>
        </w:r>
        <w:r w:rsidR="00EA0883">
          <w:rPr>
            <w:noProof/>
            <w:webHidden/>
          </w:rPr>
          <w:fldChar w:fldCharType="begin"/>
        </w:r>
        <w:r w:rsidR="00EA0883">
          <w:rPr>
            <w:noProof/>
            <w:webHidden/>
          </w:rPr>
          <w:instrText xml:space="preserve"> PAGEREF _Toc504994060 \h </w:instrText>
        </w:r>
        <w:r w:rsidR="00EA0883">
          <w:rPr>
            <w:noProof/>
            <w:webHidden/>
          </w:rPr>
        </w:r>
        <w:r w:rsidR="00EA0883">
          <w:rPr>
            <w:noProof/>
            <w:webHidden/>
          </w:rPr>
          <w:fldChar w:fldCharType="separate"/>
        </w:r>
        <w:r w:rsidR="003A5E4B">
          <w:rPr>
            <w:noProof/>
            <w:webHidden/>
          </w:rPr>
          <w:t>16</w:t>
        </w:r>
        <w:r w:rsidR="00EA0883">
          <w:rPr>
            <w:noProof/>
            <w:webHidden/>
          </w:rPr>
          <w:fldChar w:fldCharType="end"/>
        </w:r>
      </w:hyperlink>
    </w:p>
    <w:p w:rsidR="005219B9" w:rsidRPr="00B774CB" w:rsidRDefault="00776A88" w:rsidP="00613399">
      <w:pPr>
        <w:rPr>
          <w:b/>
          <w:sz w:val="28"/>
        </w:rPr>
      </w:pPr>
      <w:r w:rsidRPr="00B774CB">
        <w:rPr>
          <w:b/>
          <w:sz w:val="28"/>
        </w:rPr>
        <w:fldChar w:fldCharType="end"/>
      </w:r>
    </w:p>
    <w:p w:rsidR="005219B9" w:rsidRPr="00B774CB" w:rsidRDefault="00825ACA">
      <w:pPr>
        <w:pStyle w:val="Heading4"/>
      </w:pPr>
      <w:r w:rsidRPr="00B774CB">
        <w:br w:type="page"/>
      </w:r>
      <w:r w:rsidRPr="00B774CB">
        <w:lastRenderedPageBreak/>
        <w:t>Preface</w:t>
      </w:r>
    </w:p>
    <w:p w:rsidR="005219B9" w:rsidRPr="00B774CB" w:rsidRDefault="005219B9">
      <w:pPr>
        <w:rPr>
          <w:b/>
          <w:sz w:val="28"/>
        </w:rPr>
      </w:pPr>
    </w:p>
    <w:p w:rsidR="005219B9" w:rsidRPr="00B774CB" w:rsidRDefault="009935C1">
      <w:r w:rsidRPr="00B774CB">
        <w:t xml:space="preserve">The document herein was produced by the International Medical Device Regulators Forum (IMDRF), a voluntary group of medical device regulators </w:t>
      </w:r>
      <w:r w:rsidR="00863F55" w:rsidRPr="00B774CB">
        <w:t xml:space="preserve">and </w:t>
      </w:r>
      <w:r w:rsidR="00F02B8B" w:rsidRPr="00B774CB">
        <w:t xml:space="preserve">experts from other sectors of </w:t>
      </w:r>
      <w:r w:rsidR="002A3401" w:rsidRPr="00B774CB">
        <w:t xml:space="preserve">the </w:t>
      </w:r>
      <w:r w:rsidR="00F02B8B" w:rsidRPr="00B774CB">
        <w:t>medical device ecosystem</w:t>
      </w:r>
      <w:r w:rsidR="00863F55" w:rsidRPr="00B774CB">
        <w:t xml:space="preserve"> </w:t>
      </w:r>
      <w:r w:rsidR="00BE389F">
        <w:t xml:space="preserve">from around the world. </w:t>
      </w:r>
      <w:r w:rsidR="00825ACA" w:rsidRPr="00B774CB">
        <w:t xml:space="preserve">The </w:t>
      </w:r>
      <w:r w:rsidRPr="00B774CB">
        <w:t>document has</w:t>
      </w:r>
      <w:r w:rsidR="00825ACA" w:rsidRPr="00B774CB">
        <w:t xml:space="preserve"> been subject to consultation throughout its development.</w:t>
      </w:r>
    </w:p>
    <w:p w:rsidR="005219B9" w:rsidRPr="00B774CB" w:rsidRDefault="005219B9"/>
    <w:p w:rsidR="009935C1" w:rsidRPr="00B774CB" w:rsidRDefault="009935C1" w:rsidP="009935C1">
      <w:r w:rsidRPr="00B774CB">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Pr="00B774CB" w:rsidRDefault="00825ACA" w:rsidP="005B14BD">
      <w:pPr>
        <w:pStyle w:val="Heading1"/>
      </w:pPr>
      <w:r w:rsidRPr="00B774CB">
        <w:br w:type="page"/>
      </w:r>
      <w:bookmarkStart w:id="1" w:name="_Toc485898595"/>
      <w:bookmarkStart w:id="2" w:name="_Toc504994039"/>
      <w:r w:rsidRPr="00B774CB">
        <w:lastRenderedPageBreak/>
        <w:t>Introduction</w:t>
      </w:r>
      <w:bookmarkEnd w:id="1"/>
      <w:bookmarkEnd w:id="2"/>
    </w:p>
    <w:p w:rsidR="004F01F1" w:rsidRPr="00B774CB" w:rsidRDefault="001A67B5" w:rsidP="00FC4DE8">
      <w:pPr>
        <w:jc w:val="both"/>
      </w:pPr>
      <w:r w:rsidRPr="00B774CB">
        <w:rPr>
          <w:noProof/>
          <w:lang w:val="en-AU" w:eastAsia="en-AU"/>
        </w:rPr>
        <w:drawing>
          <wp:anchor distT="0" distB="0" distL="114300" distR="114300" simplePos="0" relativeHeight="251654144" behindDoc="1" locked="0" layoutInCell="1" allowOverlap="1" wp14:anchorId="5C178508" wp14:editId="0D5768FD">
            <wp:simplePos x="0" y="0"/>
            <wp:positionH relativeFrom="column">
              <wp:posOffset>3638550</wp:posOffset>
            </wp:positionH>
            <wp:positionV relativeFrom="paragraph">
              <wp:posOffset>366395</wp:posOffset>
            </wp:positionV>
            <wp:extent cx="2442210" cy="3245485"/>
            <wp:effectExtent l="0" t="0" r="0" b="0"/>
            <wp:wrapTight wrapText="bothSides">
              <wp:wrapPolygon edited="0">
                <wp:start x="3707" y="0"/>
                <wp:lineTo x="1011" y="1141"/>
                <wp:lineTo x="0" y="1775"/>
                <wp:lineTo x="0" y="9382"/>
                <wp:lineTo x="9098" y="10143"/>
                <wp:lineTo x="0" y="10523"/>
                <wp:lineTo x="0" y="12552"/>
                <wp:lineTo x="9604" y="14200"/>
                <wp:lineTo x="4381" y="14580"/>
                <wp:lineTo x="0" y="15595"/>
                <wp:lineTo x="0" y="21173"/>
                <wp:lineTo x="337" y="21427"/>
                <wp:lineTo x="21061" y="21427"/>
                <wp:lineTo x="21398" y="21173"/>
                <wp:lineTo x="21398" y="15595"/>
                <wp:lineTo x="17017" y="14580"/>
                <wp:lineTo x="11794" y="14200"/>
                <wp:lineTo x="21398" y="12552"/>
                <wp:lineTo x="21398" y="10523"/>
                <wp:lineTo x="12300" y="10143"/>
                <wp:lineTo x="21398" y="9382"/>
                <wp:lineTo x="21398" y="1775"/>
                <wp:lineTo x="20387" y="1141"/>
                <wp:lineTo x="17691" y="0"/>
                <wp:lineTo x="3707" y="0"/>
              </wp:wrapPolygon>
            </wp:wrapTight>
            <wp:docPr id="8"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42210" cy="3245485"/>
                    </a:xfrm>
                    <a:prstGeom prst="rect">
                      <a:avLst/>
                    </a:prstGeom>
                    <a:noFill/>
                    <a:ln>
                      <a:noFill/>
                    </a:ln>
                  </pic:spPr>
                </pic:pic>
              </a:graphicData>
            </a:graphic>
          </wp:anchor>
        </w:drawing>
      </w:r>
      <w:r w:rsidR="000A2933" w:rsidRPr="00B774CB">
        <w:rPr>
          <w:color w:val="000000"/>
          <w:lang w:val="en-AU"/>
        </w:rPr>
        <w:t>R</w:t>
      </w:r>
      <w:r w:rsidR="004F01F1" w:rsidRPr="00B774CB">
        <w:rPr>
          <w:color w:val="000000"/>
          <w:lang w:val="en-AU"/>
        </w:rPr>
        <w:t xml:space="preserve">egistries </w:t>
      </w:r>
      <w:r w:rsidR="00CE1D24" w:rsidRPr="00B774CB">
        <w:rPr>
          <w:color w:val="000000"/>
          <w:lang w:val="en-AU"/>
        </w:rPr>
        <w:t>(including registry consortia and strategically coordi</w:t>
      </w:r>
      <w:r w:rsidR="002A3401" w:rsidRPr="00B774CB">
        <w:rPr>
          <w:color w:val="000000"/>
          <w:lang w:val="en-AU"/>
        </w:rPr>
        <w:t xml:space="preserve">nated registry networks </w:t>
      </w:r>
      <w:r w:rsidR="00C401BD" w:rsidRPr="00B774CB">
        <w:rPr>
          <w:color w:val="000000"/>
          <w:lang w:val="en-AU"/>
        </w:rPr>
        <w:t>-</w:t>
      </w:r>
      <w:r w:rsidR="002A3401" w:rsidRPr="00B774CB">
        <w:rPr>
          <w:color w:val="000000"/>
          <w:lang w:val="en-AU"/>
        </w:rPr>
        <w:t xml:space="preserve">CRNs) </w:t>
      </w:r>
      <w:r w:rsidR="004F01F1" w:rsidRPr="00B774CB">
        <w:rPr>
          <w:color w:val="000000"/>
          <w:lang w:val="en-AU"/>
        </w:rPr>
        <w:t xml:space="preserve">are critical </w:t>
      </w:r>
      <w:r w:rsidR="006319AE" w:rsidRPr="00B774CB">
        <w:rPr>
          <w:color w:val="000000"/>
          <w:lang w:val="en-AU"/>
        </w:rPr>
        <w:t xml:space="preserve">data </w:t>
      </w:r>
      <w:r w:rsidR="004F01F1" w:rsidRPr="00B774CB">
        <w:rPr>
          <w:color w:val="000000"/>
          <w:lang w:val="en-AU"/>
        </w:rPr>
        <w:t>infrastructure for capturing outcomes associated with medical device use</w:t>
      </w:r>
      <w:r w:rsidR="0062762A" w:rsidRPr="00B774CB">
        <w:rPr>
          <w:color w:val="000000"/>
          <w:lang w:val="en-AU"/>
        </w:rPr>
        <w:t>, and</w:t>
      </w:r>
      <w:r w:rsidR="004F01F1" w:rsidRPr="00B774CB">
        <w:rPr>
          <w:color w:val="000000"/>
          <w:lang w:val="en-AU"/>
        </w:rPr>
        <w:t xml:space="preserve"> as such continue to demonstrate an impact on the quality of clinical care worldwide. In 2014 </w:t>
      </w:r>
      <w:r w:rsidR="002A3401" w:rsidRPr="00B774CB">
        <w:rPr>
          <w:color w:val="000000"/>
          <w:lang w:val="en-AU"/>
        </w:rPr>
        <w:t xml:space="preserve">the </w:t>
      </w:r>
      <w:r w:rsidR="00172579" w:rsidRPr="00B774CB">
        <w:rPr>
          <w:color w:val="000000"/>
          <w:lang w:val="en-AU"/>
        </w:rPr>
        <w:t>International Medical Device Regulators Forum (</w:t>
      </w:r>
      <w:r w:rsidR="004F01F1" w:rsidRPr="00B774CB">
        <w:rPr>
          <w:color w:val="000000"/>
          <w:lang w:val="en-AU"/>
        </w:rPr>
        <w:t>IMDRF</w:t>
      </w:r>
      <w:r w:rsidR="00172579" w:rsidRPr="00B774CB">
        <w:rPr>
          <w:color w:val="000000"/>
          <w:lang w:val="en-AU"/>
        </w:rPr>
        <w:t>)</w:t>
      </w:r>
      <w:r w:rsidR="004F01F1" w:rsidRPr="00B774CB">
        <w:rPr>
          <w:color w:val="000000"/>
          <w:lang w:val="en-AU"/>
        </w:rPr>
        <w:t xml:space="preserve"> identified a significant gap in optimal use of registries for regulatory decision making. </w:t>
      </w:r>
      <w:r w:rsidR="008029AB" w:rsidRPr="00B774CB">
        <w:rPr>
          <w:color w:val="000000"/>
          <w:lang w:val="en-AU"/>
        </w:rPr>
        <w:t xml:space="preserve"> </w:t>
      </w:r>
      <w:r w:rsidR="004F01F1" w:rsidRPr="00B774CB">
        <w:rPr>
          <w:color w:val="000000"/>
          <w:lang w:val="en-AU"/>
        </w:rPr>
        <w:t>This led to the creation of IMDRF Registry</w:t>
      </w:r>
      <w:r w:rsidR="001659B7" w:rsidRPr="00B774CB">
        <w:rPr>
          <w:color w:val="000000"/>
          <w:lang w:val="en-AU"/>
        </w:rPr>
        <w:t xml:space="preserve"> Working Group that produced</w:t>
      </w:r>
      <w:r w:rsidR="004F01F1" w:rsidRPr="00B774CB">
        <w:rPr>
          <w:color w:val="000000"/>
          <w:lang w:val="en-AU"/>
        </w:rPr>
        <w:t xml:space="preserve"> </w:t>
      </w:r>
      <w:r w:rsidR="006319AE" w:rsidRPr="00B774CB">
        <w:rPr>
          <w:color w:val="000000"/>
          <w:lang w:val="en-AU"/>
        </w:rPr>
        <w:t xml:space="preserve">two </w:t>
      </w:r>
      <w:r w:rsidR="004F01F1" w:rsidRPr="00B774CB">
        <w:rPr>
          <w:color w:val="000000"/>
          <w:lang w:val="en-AU"/>
        </w:rPr>
        <w:t xml:space="preserve">documents to guide alignment </w:t>
      </w:r>
      <w:r w:rsidR="006319AE" w:rsidRPr="00B774CB">
        <w:rPr>
          <w:color w:val="000000"/>
          <w:lang w:val="en-AU"/>
        </w:rPr>
        <w:t>and use</w:t>
      </w:r>
      <w:r w:rsidR="004F01F1" w:rsidRPr="00B774CB">
        <w:rPr>
          <w:color w:val="000000"/>
          <w:lang w:val="en-AU"/>
        </w:rPr>
        <w:t xml:space="preserve"> of r</w:t>
      </w:r>
      <w:r w:rsidR="001659B7" w:rsidRPr="00B774CB">
        <w:rPr>
          <w:color w:val="000000"/>
          <w:lang w:val="en-AU"/>
        </w:rPr>
        <w:t>egistries</w:t>
      </w:r>
      <w:r w:rsidR="001F659B" w:rsidRPr="00B774CB">
        <w:rPr>
          <w:color w:val="000000"/>
          <w:lang w:val="en-AU"/>
        </w:rPr>
        <w:t xml:space="preserve"> generated data </w:t>
      </w:r>
      <w:r w:rsidR="001659B7" w:rsidRPr="00B774CB">
        <w:rPr>
          <w:color w:val="000000"/>
          <w:lang w:val="en-AU"/>
        </w:rPr>
        <w:t xml:space="preserve">with regulatory </w:t>
      </w:r>
      <w:r w:rsidR="006319AE" w:rsidRPr="00B774CB">
        <w:rPr>
          <w:color w:val="000000"/>
          <w:lang w:val="en-AU"/>
        </w:rPr>
        <w:t>decision making</w:t>
      </w:r>
      <w:r w:rsidR="001659B7" w:rsidRPr="00B774CB">
        <w:rPr>
          <w:color w:val="000000"/>
          <w:lang w:val="en-AU"/>
        </w:rPr>
        <w:t xml:space="preserve"> needs;</w:t>
      </w:r>
      <w:r w:rsidR="004F01F1" w:rsidRPr="00B774CB">
        <w:rPr>
          <w:color w:val="000000"/>
          <w:lang w:val="en-AU"/>
        </w:rPr>
        <w:t xml:space="preserve"> (1) </w:t>
      </w:r>
      <w:r w:rsidR="004F01F1" w:rsidRPr="00B774CB">
        <w:rPr>
          <w:bCs/>
        </w:rPr>
        <w:t xml:space="preserve">Principles of International System of Registries Linked </w:t>
      </w:r>
      <w:r w:rsidR="001659B7" w:rsidRPr="00B774CB">
        <w:rPr>
          <w:bCs/>
        </w:rPr>
        <w:t>to Other Data Sources and Tools,</w:t>
      </w:r>
      <w:r w:rsidR="004F01F1" w:rsidRPr="00B774CB">
        <w:t xml:space="preserve"> (2) </w:t>
      </w:r>
      <w:r w:rsidR="004F01F1" w:rsidRPr="00B774CB">
        <w:rPr>
          <w:color w:val="000000"/>
        </w:rPr>
        <w:t>Methodological Principles in the Use of International Medical Device Registry Data</w:t>
      </w:r>
      <w:r w:rsidR="008F671E" w:rsidRPr="00B774CB">
        <w:rPr>
          <w:color w:val="000000"/>
        </w:rPr>
        <w:t xml:space="preserve">. </w:t>
      </w:r>
    </w:p>
    <w:p w:rsidR="00386550" w:rsidRPr="00B774CB" w:rsidRDefault="00386550" w:rsidP="00FC4DE8">
      <w:pPr>
        <w:jc w:val="both"/>
      </w:pPr>
    </w:p>
    <w:p w:rsidR="00C627CC" w:rsidRPr="00B774CB" w:rsidRDefault="00796510" w:rsidP="00C627CC">
      <w:pPr>
        <w:jc w:val="both"/>
        <w:rPr>
          <w:lang w:eastAsia="ja-JP"/>
        </w:rPr>
      </w:pPr>
      <w:r w:rsidRPr="00B774CB">
        <w:rPr>
          <w:noProof/>
          <w:lang w:val="en-AU" w:eastAsia="en-AU"/>
        </w:rPr>
        <mc:AlternateContent>
          <mc:Choice Requires="wps">
            <w:drawing>
              <wp:anchor distT="0" distB="0" distL="114300" distR="114300" simplePos="0" relativeHeight="251657216" behindDoc="0" locked="0" layoutInCell="1" allowOverlap="1" wp14:anchorId="6D6366A8" wp14:editId="19663671">
                <wp:simplePos x="0" y="0"/>
                <wp:positionH relativeFrom="column">
                  <wp:posOffset>3662680</wp:posOffset>
                </wp:positionH>
                <wp:positionV relativeFrom="paragraph">
                  <wp:posOffset>1245235</wp:posOffset>
                </wp:positionV>
                <wp:extent cx="2504661" cy="4000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504661" cy="400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37D3" w:rsidRDefault="000037D3">
                            <w:pPr>
                              <w:rPr>
                                <w:sz w:val="20"/>
                              </w:rPr>
                            </w:pPr>
                            <w:proofErr w:type="gramStart"/>
                            <w:r>
                              <w:rPr>
                                <w:b/>
                                <w:sz w:val="20"/>
                              </w:rPr>
                              <w:t xml:space="preserve">Figure </w:t>
                            </w:r>
                            <w:r w:rsidRPr="0062762A">
                              <w:rPr>
                                <w:b/>
                                <w:sz w:val="20"/>
                              </w:rPr>
                              <w:t>1.</w:t>
                            </w:r>
                            <w:proofErr w:type="gramEnd"/>
                            <w:r w:rsidRPr="0062762A">
                              <w:rPr>
                                <w:b/>
                                <w:sz w:val="20"/>
                              </w:rPr>
                              <w:t xml:space="preserve"> </w:t>
                            </w:r>
                            <w:r>
                              <w:rPr>
                                <w:b/>
                                <w:sz w:val="20"/>
                              </w:rPr>
                              <w:t xml:space="preserve"> </w:t>
                            </w:r>
                            <w:r w:rsidRPr="00A77269">
                              <w:rPr>
                                <w:sz w:val="20"/>
                              </w:rPr>
                              <w:t>IM</w:t>
                            </w:r>
                            <w:r>
                              <w:rPr>
                                <w:sz w:val="20"/>
                              </w:rPr>
                              <w:t xml:space="preserve">DRF Context: Relationship  </w:t>
                            </w:r>
                          </w:p>
                          <w:p w:rsidR="000037D3" w:rsidRPr="00A77269" w:rsidRDefault="000037D3">
                            <w:pPr>
                              <w:rPr>
                                <w:b/>
                                <w:sz w:val="20"/>
                              </w:rPr>
                            </w:pPr>
                            <w:r>
                              <w:rPr>
                                <w:sz w:val="20"/>
                              </w:rPr>
                              <w:t xml:space="preserve">                Between the </w:t>
                            </w:r>
                            <w:r w:rsidRPr="00A77269">
                              <w:rPr>
                                <w:sz w:val="20"/>
                              </w:rPr>
                              <w:t>Registry Documents</w:t>
                            </w:r>
                            <w:r>
                              <w:rPr>
                                <w:b/>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6D6366A8" id="_x0000_t202" coordsize="21600,21600" o:spt="202" path="m,l,21600r21600,l21600,xe">
                <v:stroke joinstyle="miter"/>
                <v:path gradientshapeok="t" o:connecttype="rect"/>
              </v:shapetype>
              <v:shape id="Text Box 11" o:spid="_x0000_s1026" type="#_x0000_t202" style="position:absolute;left:0;text-align:left;margin-left:288.4pt;margin-top:98.05pt;width:197.2pt;height: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" fillcolor="white [3201]" stroked="f" strokeweight=".5pt">
                <v:textbox>
                  <w:txbxContent>
                    <w:p w:rsidR="000037D3" w:rsidRDefault="000037D3">
                      <w:pPr>
                        <w:rPr>
                          <w:sz w:val="20"/>
                        </w:rPr>
                      </w:pPr>
                      <w:r>
                        <w:rPr>
                          <w:b/>
                          <w:sz w:val="20"/>
                        </w:rPr>
                        <w:t xml:space="preserve">Figure </w:t>
                      </w:r>
                      <w:r w:rsidRPr="0062762A">
                        <w:rPr>
                          <w:b/>
                          <w:sz w:val="20"/>
                        </w:rPr>
                        <w:t xml:space="preserve">1. </w:t>
                      </w:r>
                      <w:r>
                        <w:rPr>
                          <w:b/>
                          <w:sz w:val="20"/>
                        </w:rPr>
                        <w:t xml:space="preserve"> </w:t>
                      </w:r>
                      <w:r w:rsidRPr="00A77269">
                        <w:rPr>
                          <w:sz w:val="20"/>
                        </w:rPr>
                        <w:t>IM</w:t>
                      </w:r>
                      <w:r>
                        <w:rPr>
                          <w:sz w:val="20"/>
                        </w:rPr>
                        <w:t xml:space="preserve">DRF Context: Relationship  </w:t>
                      </w:r>
                    </w:p>
                    <w:p w:rsidR="000037D3" w:rsidRPr="00A77269" w:rsidRDefault="000037D3">
                      <w:pPr>
                        <w:rPr>
                          <w:b/>
                          <w:sz w:val="20"/>
                        </w:rPr>
                      </w:pPr>
                      <w:r>
                        <w:rPr>
                          <w:sz w:val="20"/>
                        </w:rPr>
                        <w:t xml:space="preserve">                Between the </w:t>
                      </w:r>
                      <w:r w:rsidRPr="00A77269">
                        <w:rPr>
                          <w:sz w:val="20"/>
                        </w:rPr>
                        <w:t>Registry Documents</w:t>
                      </w:r>
                      <w:r>
                        <w:rPr>
                          <w:b/>
                          <w:sz w:val="20"/>
                        </w:rPr>
                        <w:t xml:space="preserve">   </w:t>
                      </w:r>
                    </w:p>
                  </w:txbxContent>
                </v:textbox>
              </v:shape>
            </w:pict>
          </mc:Fallback>
        </mc:AlternateContent>
      </w:r>
      <w:r w:rsidR="001659B7" w:rsidRPr="00B774CB">
        <w:rPr>
          <w:lang w:eastAsia="ja-JP"/>
        </w:rPr>
        <w:t xml:space="preserve">In the </w:t>
      </w:r>
      <w:r w:rsidR="00C401BD" w:rsidRPr="00B774CB">
        <w:rPr>
          <w:lang w:eastAsia="ja-JP"/>
        </w:rPr>
        <w:t xml:space="preserve">first document </w:t>
      </w:r>
      <w:r w:rsidR="008F671E" w:rsidRPr="00B774CB">
        <w:rPr>
          <w:lang w:eastAsia="ja-JP"/>
        </w:rPr>
        <w:t xml:space="preserve">on </w:t>
      </w:r>
      <w:r w:rsidR="002E5150" w:rsidRPr="00B774CB">
        <w:rPr>
          <w:bCs/>
        </w:rPr>
        <w:t xml:space="preserve">Principles of International System of Registries Linked to Other Data Sources and </w:t>
      </w:r>
      <w:r w:rsidR="00904F70" w:rsidRPr="00B774CB">
        <w:rPr>
          <w:bCs/>
        </w:rPr>
        <w:t>Tools, the</w:t>
      </w:r>
      <w:r w:rsidR="000652CA" w:rsidRPr="00B774CB">
        <w:rPr>
          <w:lang w:eastAsia="ja-JP"/>
        </w:rPr>
        <w:t xml:space="preserve"> registry system was defined and </w:t>
      </w:r>
      <w:r w:rsidR="00122D40" w:rsidRPr="00B774CB">
        <w:rPr>
          <w:lang w:eastAsia="ja-JP"/>
        </w:rPr>
        <w:t>eight</w:t>
      </w:r>
      <w:r w:rsidR="001659B7" w:rsidRPr="00B774CB">
        <w:rPr>
          <w:lang w:eastAsia="ja-JP"/>
        </w:rPr>
        <w:t xml:space="preserve"> </w:t>
      </w:r>
      <w:r w:rsidR="001F659B" w:rsidRPr="00B774CB">
        <w:rPr>
          <w:lang w:eastAsia="ja-JP"/>
        </w:rPr>
        <w:t xml:space="preserve">registry qualifiers </w:t>
      </w:r>
      <w:r w:rsidR="000652CA" w:rsidRPr="00B774CB">
        <w:rPr>
          <w:lang w:eastAsia="ja-JP"/>
        </w:rPr>
        <w:t xml:space="preserve">were identified to enhance its </w:t>
      </w:r>
      <w:r w:rsidR="001659B7" w:rsidRPr="00B774CB">
        <w:rPr>
          <w:lang w:eastAsia="ja-JP"/>
        </w:rPr>
        <w:t xml:space="preserve">impact and sustainability </w:t>
      </w:r>
      <w:r w:rsidR="00B41DBD" w:rsidRPr="00B774CB">
        <w:rPr>
          <w:lang w:eastAsia="ja-JP"/>
        </w:rPr>
        <w:t>(</w:t>
      </w:r>
      <w:r w:rsidR="00B41351" w:rsidRPr="00B774CB">
        <w:rPr>
          <w:lang w:eastAsia="ja-JP"/>
        </w:rPr>
        <w:t xml:space="preserve">Figure </w:t>
      </w:r>
      <w:r w:rsidR="005A2A08" w:rsidRPr="00B774CB">
        <w:rPr>
          <w:lang w:eastAsia="ja-JP"/>
        </w:rPr>
        <w:t>1).</w:t>
      </w:r>
      <w:r w:rsidR="00C627CC" w:rsidRPr="00B774CB">
        <w:rPr>
          <w:lang w:eastAsia="ja-JP"/>
        </w:rPr>
        <w:t xml:space="preserve"> </w:t>
      </w:r>
      <w:r w:rsidR="00B556FD" w:rsidRPr="00B774CB">
        <w:rPr>
          <w:lang w:eastAsia="ja-JP"/>
        </w:rPr>
        <w:t xml:space="preserve">  </w:t>
      </w:r>
      <w:bookmarkStart w:id="3" w:name="_Toc485898596"/>
      <w:r w:rsidR="00C627CC" w:rsidRPr="00B774CB">
        <w:rPr>
          <w:lang w:eastAsia="ja-JP"/>
        </w:rPr>
        <w:t>The Second document provides guidance on Methodological principles in the clinical evaluation of performance/effectiveness and safety across the device lifecycle using international Coordinated Registry Networks (</w:t>
      </w:r>
      <w:proofErr w:type="spellStart"/>
      <w:r w:rsidR="00C627CC" w:rsidRPr="00B774CB">
        <w:rPr>
          <w:lang w:eastAsia="ja-JP"/>
        </w:rPr>
        <w:t>iCRNs</w:t>
      </w:r>
      <w:proofErr w:type="spellEnd"/>
      <w:r w:rsidR="00C627CC" w:rsidRPr="00B774CB">
        <w:rPr>
          <w:lang w:eastAsia="ja-JP"/>
        </w:rPr>
        <w:t xml:space="preserve">) as well as in signal detection via </w:t>
      </w:r>
      <w:proofErr w:type="spellStart"/>
      <w:r w:rsidR="00C627CC" w:rsidRPr="00B774CB">
        <w:rPr>
          <w:lang w:eastAsia="ja-JP"/>
        </w:rPr>
        <w:t>iCRNs</w:t>
      </w:r>
      <w:proofErr w:type="spellEnd"/>
      <w:r w:rsidR="00C627CC" w:rsidRPr="00B774CB">
        <w:rPr>
          <w:lang w:eastAsia="ja-JP"/>
        </w:rPr>
        <w:t>.</w:t>
      </w:r>
    </w:p>
    <w:p w:rsidR="00C627CC" w:rsidRPr="00B774CB" w:rsidRDefault="00C627CC" w:rsidP="00C627CC">
      <w:pPr>
        <w:jc w:val="both"/>
        <w:rPr>
          <w:lang w:eastAsia="ja-JP"/>
        </w:rPr>
      </w:pPr>
      <w:r w:rsidRPr="00B774CB">
        <w:rPr>
          <w:lang w:eastAsia="ja-JP"/>
        </w:rPr>
        <w:t xml:space="preserve"> </w:t>
      </w:r>
    </w:p>
    <w:p w:rsidR="005219B9" w:rsidRPr="00B774CB" w:rsidRDefault="00C627CC" w:rsidP="00C627CC">
      <w:pPr>
        <w:pStyle w:val="Heading4"/>
      </w:pPr>
      <w:r w:rsidRPr="00B774CB">
        <w:t xml:space="preserve">2.0 </w:t>
      </w:r>
      <w:r w:rsidR="005C02D7" w:rsidRPr="00B774CB">
        <w:t>S</w:t>
      </w:r>
      <w:r w:rsidR="00825ACA" w:rsidRPr="00B774CB">
        <w:t>cope</w:t>
      </w:r>
      <w:bookmarkEnd w:id="3"/>
    </w:p>
    <w:p w:rsidR="00B7545E" w:rsidRPr="00B774CB" w:rsidRDefault="00B7545E" w:rsidP="0062762A">
      <w:pPr>
        <w:pStyle w:val="NormalWeb"/>
        <w:jc w:val="both"/>
      </w:pPr>
      <w:r w:rsidRPr="00B774CB">
        <w:rPr>
          <w:color w:val="000000"/>
        </w:rPr>
        <w:t xml:space="preserve">The purpose of this </w:t>
      </w:r>
      <w:r w:rsidR="002E5150" w:rsidRPr="00B774CB">
        <w:rPr>
          <w:color w:val="000000"/>
        </w:rPr>
        <w:t xml:space="preserve">document </w:t>
      </w:r>
      <w:r w:rsidRPr="00B774CB">
        <w:rPr>
          <w:color w:val="000000"/>
        </w:rPr>
        <w:t xml:space="preserve">is to provide </w:t>
      </w:r>
      <w:r w:rsidR="002E5150" w:rsidRPr="00B774CB">
        <w:rPr>
          <w:color w:val="000000"/>
        </w:rPr>
        <w:t xml:space="preserve">guidance </w:t>
      </w:r>
      <w:r w:rsidRPr="00B774CB">
        <w:rPr>
          <w:color w:val="000000"/>
        </w:rPr>
        <w:t>to regulators of medical devices</w:t>
      </w:r>
      <w:r w:rsidR="008F671E" w:rsidRPr="00B774CB">
        <w:rPr>
          <w:color w:val="000000"/>
        </w:rPr>
        <w:t xml:space="preserve">, </w:t>
      </w:r>
      <w:r w:rsidR="000652CA" w:rsidRPr="00B774CB">
        <w:rPr>
          <w:color w:val="000000"/>
        </w:rPr>
        <w:t>registry organizations</w:t>
      </w:r>
      <w:r w:rsidR="007E2738" w:rsidRPr="00B774CB">
        <w:rPr>
          <w:color w:val="000000"/>
        </w:rPr>
        <w:t xml:space="preserve"> and other interested parties</w:t>
      </w:r>
      <w:r w:rsidR="000652CA" w:rsidRPr="00B774CB">
        <w:rPr>
          <w:color w:val="000000"/>
        </w:rPr>
        <w:t xml:space="preserve"> </w:t>
      </w:r>
      <w:r w:rsidRPr="00B774CB">
        <w:rPr>
          <w:color w:val="000000"/>
        </w:rPr>
        <w:t xml:space="preserve">on the use of registry-generated data in support of regulatory decisions. Such decisions include (a) </w:t>
      </w:r>
      <w:r w:rsidR="002E5150" w:rsidRPr="00B774CB">
        <w:rPr>
          <w:color w:val="000000"/>
        </w:rPr>
        <w:t xml:space="preserve">initial </w:t>
      </w:r>
      <w:r w:rsidRPr="00B774CB">
        <w:rPr>
          <w:color w:val="000000"/>
        </w:rPr>
        <w:t>device approval</w:t>
      </w:r>
      <w:r w:rsidR="008F671E" w:rsidRPr="00B774CB">
        <w:rPr>
          <w:color w:val="000000"/>
        </w:rPr>
        <w:t xml:space="preserve"> (when applicable)</w:t>
      </w:r>
      <w:r w:rsidRPr="00B774CB">
        <w:rPr>
          <w:color w:val="000000"/>
        </w:rPr>
        <w:t>, (b) expanded</w:t>
      </w:r>
      <w:r w:rsidR="00BF0F0A" w:rsidRPr="00B774CB">
        <w:rPr>
          <w:color w:val="000000"/>
        </w:rPr>
        <w:t xml:space="preserve">/broadened </w:t>
      </w:r>
      <w:r w:rsidRPr="00B774CB">
        <w:rPr>
          <w:color w:val="000000"/>
        </w:rPr>
        <w:t>indications, (c) post-market studies, (d) post-market surveillance, (e) development of objective performance criteria (OPCs)/performance goals (PGs) and (f) device tracking</w:t>
      </w:r>
      <w:r w:rsidR="0009173C" w:rsidRPr="00B774CB">
        <w:rPr>
          <w:color w:val="000000"/>
        </w:rPr>
        <w:t xml:space="preserve">; and (g) </w:t>
      </w:r>
      <w:r w:rsidRPr="00B774CB">
        <w:rPr>
          <w:color w:val="000000"/>
        </w:rPr>
        <w:t>field safety correction actions.</w:t>
      </w:r>
    </w:p>
    <w:p w:rsidR="00B7545E" w:rsidRPr="00B774CB" w:rsidRDefault="00B7545E" w:rsidP="0062762A">
      <w:pPr>
        <w:pStyle w:val="NormalWeb"/>
        <w:jc w:val="both"/>
      </w:pPr>
      <w:r w:rsidRPr="00B774CB">
        <w:t xml:space="preserve">This document identifies </w:t>
      </w:r>
      <w:r w:rsidR="000652CA" w:rsidRPr="00B774CB">
        <w:t xml:space="preserve">key processes and features </w:t>
      </w:r>
      <w:r w:rsidRPr="00B774CB">
        <w:t xml:space="preserve">to be considered in assessing the usability of registry data for regulatory purposes, encompassing both (a) data produced by registries and (b) </w:t>
      </w:r>
      <w:r w:rsidR="005C02D7" w:rsidRPr="00B774CB">
        <w:t xml:space="preserve">data produced by </w:t>
      </w:r>
      <w:r w:rsidR="0009173C" w:rsidRPr="00B774CB">
        <w:t xml:space="preserve">registry </w:t>
      </w:r>
      <w:proofErr w:type="spellStart"/>
      <w:r w:rsidRPr="00B774CB">
        <w:t>linkability</w:t>
      </w:r>
      <w:proofErr w:type="spellEnd"/>
      <w:r w:rsidRPr="00B774CB">
        <w:t xml:space="preserve"> to other sources </w:t>
      </w:r>
      <w:r w:rsidR="005C02D7" w:rsidRPr="00B774CB">
        <w:t xml:space="preserve">(including other registries) </w:t>
      </w:r>
      <w:r w:rsidRPr="00B774CB">
        <w:t>to enrich the evidence available for regulatory decision-making. These assessment elements are intended to apply to both (a) purpose-built medical device registries (including those sponsored by manufacturers) and (b) other types of patient registries</w:t>
      </w:r>
      <w:r w:rsidR="000652CA" w:rsidRPr="00B774CB">
        <w:t xml:space="preserve"> (e.g. quality registries)</w:t>
      </w:r>
      <w:r w:rsidRPr="00B774CB">
        <w:t xml:space="preserve">, such as those that assemble data on surgical procedures that </w:t>
      </w:r>
      <w:r w:rsidR="000652CA" w:rsidRPr="00B774CB">
        <w:t xml:space="preserve">have a potential to </w:t>
      </w:r>
      <w:r w:rsidRPr="00B774CB">
        <w:t xml:space="preserve">generate data about medical devices. </w:t>
      </w:r>
    </w:p>
    <w:p w:rsidR="00B7545E" w:rsidRPr="00B774CB" w:rsidRDefault="00B7545E" w:rsidP="0062762A">
      <w:pPr>
        <w:pStyle w:val="NormalWeb"/>
        <w:jc w:val="both"/>
      </w:pPr>
      <w:r w:rsidRPr="00B774CB">
        <w:t>Th</w:t>
      </w:r>
      <w:r w:rsidR="000652CA" w:rsidRPr="00B774CB">
        <w:t xml:space="preserve">e authors of this </w:t>
      </w:r>
      <w:r w:rsidRPr="00B774CB">
        <w:t xml:space="preserve">document recognize that data produced by a registry may be suitable for making one type of regulatory decision but not others. Individual country regulators are expected </w:t>
      </w:r>
      <w:r w:rsidR="000675C3" w:rsidRPr="00B774CB">
        <w:t xml:space="preserve">to </w:t>
      </w:r>
      <w:r w:rsidRPr="00B774CB">
        <w:t>both (a</w:t>
      </w:r>
      <w:r w:rsidR="00EA3938" w:rsidRPr="00B774CB">
        <w:t>) assess</w:t>
      </w:r>
      <w:r w:rsidRPr="00B774CB">
        <w:t xml:space="preserve"> independently the suitability of registry-generated data for regulatory purposes and (b) </w:t>
      </w:r>
      <w:r w:rsidRPr="00B774CB">
        <w:lastRenderedPageBreak/>
        <w:t xml:space="preserve">decide what actions to take based on applicable national and regional regulations. The assessment elements identified in this document do not constitute a checklist of requirements to certify registry organizations or to assign numerical quality ratings to registry-produced data. If, based on use of the assessment elements contained in this document, regulators </w:t>
      </w:r>
      <w:r w:rsidR="000675C3" w:rsidRPr="00B774CB">
        <w:t xml:space="preserve">find that </w:t>
      </w:r>
      <w:r w:rsidRPr="00B774CB">
        <w:t>checklist may be useful, additional work will be required to produce a</w:t>
      </w:r>
      <w:r w:rsidR="000675C3" w:rsidRPr="00B774CB">
        <w:t xml:space="preserve"> robust</w:t>
      </w:r>
      <w:r w:rsidRPr="00B774CB">
        <w:t xml:space="preserve"> assessment tool.</w:t>
      </w:r>
    </w:p>
    <w:p w:rsidR="0009173C" w:rsidRPr="00B774CB" w:rsidRDefault="00B7545E" w:rsidP="00FC4DE8">
      <w:pPr>
        <w:jc w:val="both"/>
      </w:pPr>
      <w:r w:rsidRPr="00B774CB">
        <w:t>This document is intended (a) to promote convergence of regulatory approaches, (b) to enhance the technical capabilities of medical device regulators and other ecosystem stakeholders, and (c) to accelerate evidence generation. It may be useful to registry organizations that want their data to be considered in regulatory decision-making. The</w:t>
      </w:r>
      <w:r w:rsidR="008F4EEF" w:rsidRPr="00B774CB">
        <w:t xml:space="preserve"> stakeholders are encouraged to c</w:t>
      </w:r>
      <w:r w:rsidRPr="00B774CB">
        <w:t xml:space="preserve">ompare </w:t>
      </w:r>
      <w:r w:rsidR="000675C3" w:rsidRPr="00B774CB">
        <w:t xml:space="preserve">elements discussed in this document </w:t>
      </w:r>
      <w:r w:rsidRPr="00B774CB">
        <w:t xml:space="preserve">to their current </w:t>
      </w:r>
      <w:r w:rsidR="000675C3" w:rsidRPr="00B774CB">
        <w:t xml:space="preserve">processes </w:t>
      </w:r>
      <w:r w:rsidRPr="00B774CB">
        <w:t xml:space="preserve">and </w:t>
      </w:r>
      <w:r w:rsidR="000675C3" w:rsidRPr="00B774CB">
        <w:t xml:space="preserve">consider </w:t>
      </w:r>
      <w:r w:rsidRPr="00B774CB">
        <w:t>clos</w:t>
      </w:r>
      <w:r w:rsidR="000675C3" w:rsidRPr="00B774CB">
        <w:t>ing</w:t>
      </w:r>
      <w:r w:rsidRPr="00B774CB">
        <w:t xml:space="preserve"> any eviden</w:t>
      </w:r>
      <w:r w:rsidR="000675C3" w:rsidRPr="00B774CB">
        <w:t>ce</w:t>
      </w:r>
      <w:r w:rsidRPr="00B774CB">
        <w:t xml:space="preserve"> gap</w:t>
      </w:r>
      <w:r w:rsidR="000675C3" w:rsidRPr="00B774CB">
        <w:t>s that are found</w:t>
      </w:r>
      <w:r w:rsidRPr="00B774CB">
        <w:t xml:space="preserve">. This document may also be helpful to manufacturers of medical devices that want to include registry-generated data in their regulatory applications. </w:t>
      </w:r>
    </w:p>
    <w:p w:rsidR="0009173C" w:rsidRPr="00B774CB" w:rsidRDefault="0009173C" w:rsidP="00FC4DE8">
      <w:pPr>
        <w:jc w:val="both"/>
      </w:pPr>
    </w:p>
    <w:p w:rsidR="00F15F07" w:rsidRPr="00B774CB" w:rsidRDefault="00B7545E" w:rsidP="00FC4DE8">
      <w:pPr>
        <w:jc w:val="both"/>
      </w:pPr>
      <w:r w:rsidRPr="00B774CB">
        <w:t>In summary, the use of the assessment elements described in this document is expected to promote consistency, predictability, and transparency in maximizing the utility of real</w:t>
      </w:r>
      <w:r w:rsidR="008F4EEF" w:rsidRPr="00B774CB">
        <w:t>-</w:t>
      </w:r>
      <w:r w:rsidRPr="00B774CB">
        <w:t>world data in the evaluatio</w:t>
      </w:r>
      <w:r w:rsidR="004831AA" w:rsidRPr="00B774CB">
        <w:t xml:space="preserve">n of (a) medical device safety, </w:t>
      </w:r>
      <w:r w:rsidRPr="00B774CB">
        <w:t>effectiveness, and reliability and (b) patients' acceptance of and satisfaction with medical devices</w:t>
      </w:r>
      <w:r w:rsidR="00602829" w:rsidRPr="00B774CB">
        <w:t xml:space="preserve">. </w:t>
      </w:r>
      <w:r w:rsidR="00A530BB" w:rsidRPr="00B774CB">
        <w:t xml:space="preserve">We anticipate that such increased acceptance and satisfaction will primarily be driven by two factors.  These are the additional transparency achieved via implementation of the objective assessment tool, and the additional incorporation of patient reported information captured in many registries that would now have an easier path towards use in regulatory decisions.  </w:t>
      </w:r>
    </w:p>
    <w:p w:rsidR="00F15F07" w:rsidRPr="00B774CB" w:rsidRDefault="00F15F07" w:rsidP="00FC4DE8">
      <w:pPr>
        <w:jc w:val="both"/>
      </w:pPr>
    </w:p>
    <w:p w:rsidR="00602829" w:rsidRPr="00B774CB" w:rsidRDefault="00A530BB" w:rsidP="00FC4DE8">
      <w:pPr>
        <w:jc w:val="both"/>
      </w:pPr>
      <w:r w:rsidRPr="00B774CB">
        <w:t>A clear process for further leveraging of patient relevant information in a transparent fashion can reasonably be expected to increase acceptance and satisfaction with medical devices by patient</w:t>
      </w:r>
      <w:r w:rsidR="00904F70" w:rsidRPr="00B774CB">
        <w:t xml:space="preserve">. </w:t>
      </w:r>
    </w:p>
    <w:p w:rsidR="00613399" w:rsidRPr="00B774CB" w:rsidRDefault="00613399" w:rsidP="0062762A">
      <w:pPr>
        <w:jc w:val="both"/>
      </w:pPr>
      <w:bookmarkStart w:id="4" w:name="_Toc485898597"/>
      <w:r w:rsidRPr="00B774CB">
        <w:t>The proposed area of emphasis for the assessment in the Appendix 1 is intended to provide expectations of the acceptable levels of key registry attributes/elements for various regulatory uses.</w:t>
      </w:r>
    </w:p>
    <w:p w:rsidR="005219B9" w:rsidRPr="00B774CB" w:rsidRDefault="00825ACA">
      <w:pPr>
        <w:pStyle w:val="Heading1"/>
      </w:pPr>
      <w:bookmarkStart w:id="5" w:name="_Toc504994040"/>
      <w:r w:rsidRPr="00B774CB">
        <w:t>References</w:t>
      </w:r>
      <w:bookmarkEnd w:id="4"/>
      <w:bookmarkEnd w:id="5"/>
      <w:r w:rsidR="00F26C7D" w:rsidRPr="00B774CB">
        <w:t xml:space="preserve"> </w:t>
      </w:r>
    </w:p>
    <w:p w:rsidR="00E639FA" w:rsidRPr="00122820" w:rsidRDefault="003B4A09" w:rsidP="00122820">
      <w:pPr>
        <w:pStyle w:val="ListParagraph"/>
        <w:numPr>
          <w:ilvl w:val="0"/>
          <w:numId w:val="7"/>
        </w:numPr>
        <w:ind w:leftChars="0"/>
        <w:jc w:val="both"/>
        <w:rPr>
          <w:szCs w:val="24"/>
        </w:rPr>
      </w:pPr>
      <w:r w:rsidRPr="00122820">
        <w:rPr>
          <w:szCs w:val="24"/>
        </w:rPr>
        <w:t xml:space="preserve">A Report from the Medical Device Registry Task Force &amp; the Medical Devices Epidemiology Network. Recommendations for a National Medical Device Evaluation System. Strategically Coordinated Registry Networks to Bridge Clinical Care and Research, August 2015. Available at: </w:t>
      </w:r>
      <w:r w:rsidR="00E639FA" w:rsidRPr="00122820">
        <w:rPr>
          <w:szCs w:val="24"/>
        </w:rPr>
        <w:t xml:space="preserve">Available at: </w:t>
      </w:r>
      <w:r w:rsidR="00E639FA" w:rsidRPr="00122820">
        <w:rPr>
          <w:rStyle w:val="Hyperlink"/>
          <w:color w:val="auto"/>
          <w:szCs w:val="24"/>
          <w:u w:val="none"/>
        </w:rPr>
        <w:t>(</w:t>
      </w:r>
      <w:hyperlink r:id="rId15" w:history="1">
        <w:r w:rsidR="00E639FA" w:rsidRPr="00122820">
          <w:rPr>
            <w:rStyle w:val="Hyperlink"/>
            <w:szCs w:val="24"/>
          </w:rPr>
          <w:t>http://www.fda.gov/downloads/AboutFDA/CentersOffices/OfficeofMedicalProductsandTobacco/CDRH/CDRHReports/UCM459368.pdf</w:t>
        </w:r>
      </w:hyperlink>
      <w:r w:rsidR="00E639FA" w:rsidRPr="00122820">
        <w:rPr>
          <w:rStyle w:val="Hyperlink"/>
          <w:color w:val="auto"/>
          <w:szCs w:val="24"/>
          <w:u w:val="none"/>
        </w:rPr>
        <w:t>); Accessed August 10, 2017</w:t>
      </w:r>
    </w:p>
    <w:p w:rsidR="00341862" w:rsidRPr="00122820" w:rsidRDefault="00341862" w:rsidP="00122820">
      <w:pPr>
        <w:pStyle w:val="HTMLPreformatted"/>
        <w:numPr>
          <w:ilvl w:val="0"/>
          <w:numId w:val="7"/>
        </w:numPr>
        <w:shd w:val="clear" w:color="auto" w:fill="FFFFFF"/>
        <w:jc w:val="both"/>
        <w:rPr>
          <w:rFonts w:ascii="Times New Roman" w:hAnsi="Times New Roman" w:cs="Times New Roman"/>
          <w:color w:val="212121"/>
          <w:sz w:val="24"/>
          <w:szCs w:val="24"/>
          <w:lang w:val="en"/>
        </w:rPr>
      </w:pPr>
      <w:r w:rsidRPr="00122820">
        <w:rPr>
          <w:rFonts w:ascii="Times New Roman" w:hAnsi="Times New Roman" w:cs="Times New Roman"/>
          <w:color w:val="212121"/>
          <w:sz w:val="24"/>
          <w:szCs w:val="24"/>
          <w:lang w:val="en"/>
        </w:rPr>
        <w:t xml:space="preserve">Australian Government, National Statistical Service, Data Linking. Available at: </w:t>
      </w:r>
    </w:p>
    <w:p w:rsidR="00341862" w:rsidRPr="00122820" w:rsidRDefault="00E21886" w:rsidP="00122820">
      <w:pPr>
        <w:pStyle w:val="HTMLPreformatted"/>
        <w:shd w:val="clear" w:color="auto" w:fill="FFFFFF"/>
        <w:ind w:left="360"/>
        <w:jc w:val="both"/>
        <w:rPr>
          <w:rStyle w:val="Hyperlink"/>
          <w:rFonts w:ascii="Times New Roman" w:hAnsi="Times New Roman" w:cs="Times New Roman"/>
          <w:color w:val="212121"/>
          <w:sz w:val="24"/>
          <w:szCs w:val="24"/>
          <w:u w:val="none"/>
          <w:lang w:val="en-US"/>
        </w:rPr>
      </w:pPr>
      <w:hyperlink r:id="rId16" w:history="1">
        <w:r w:rsidR="00341862" w:rsidRPr="00122820">
          <w:rPr>
            <w:rStyle w:val="Hyperlink"/>
            <w:rFonts w:ascii="Times New Roman" w:hAnsi="Times New Roman" w:cs="Times New Roman"/>
            <w:sz w:val="24"/>
            <w:szCs w:val="24"/>
          </w:rPr>
          <w:t>http://www.nss.gov.au/nss/home.nsf/533222ebfd5ac03aca25711000044c9e/91242a5a14b12e26ca257ba8007b0819/$FILE/probabilistic%20datalink%204p%20w.pdf</w:t>
        </w:r>
      </w:hyperlink>
      <w:r w:rsidR="00341862" w:rsidRPr="00122820">
        <w:rPr>
          <w:rStyle w:val="Hyperlink"/>
          <w:rFonts w:ascii="Times New Roman" w:hAnsi="Times New Roman" w:cs="Times New Roman"/>
          <w:sz w:val="24"/>
          <w:szCs w:val="24"/>
        </w:rPr>
        <w:t xml:space="preserve">) </w:t>
      </w:r>
      <w:r w:rsidR="00341862" w:rsidRPr="00122820">
        <w:rPr>
          <w:rFonts w:ascii="Times New Roman" w:hAnsi="Times New Roman" w:cs="Times New Roman"/>
          <w:sz w:val="24"/>
          <w:szCs w:val="24"/>
        </w:rPr>
        <w:t>Accessed August 10, 2017;</w:t>
      </w:r>
    </w:p>
    <w:p w:rsidR="003B4A09" w:rsidRPr="00122820" w:rsidRDefault="003B4A09" w:rsidP="00122820">
      <w:pPr>
        <w:pStyle w:val="ListParagraph"/>
        <w:numPr>
          <w:ilvl w:val="0"/>
          <w:numId w:val="7"/>
        </w:numPr>
        <w:ind w:leftChars="0"/>
        <w:jc w:val="both"/>
        <w:rPr>
          <w:szCs w:val="24"/>
        </w:rPr>
      </w:pPr>
      <w:r w:rsidRPr="00122820">
        <w:rPr>
          <w:rStyle w:val="Hyperlink"/>
          <w:color w:val="auto"/>
          <w:szCs w:val="24"/>
          <w:u w:val="none"/>
        </w:rPr>
        <w:t xml:space="preserve">Balancing Premarket and </w:t>
      </w:r>
      <w:proofErr w:type="spellStart"/>
      <w:r w:rsidRPr="00122820">
        <w:rPr>
          <w:rStyle w:val="Hyperlink"/>
          <w:color w:val="auto"/>
          <w:szCs w:val="24"/>
          <w:u w:val="none"/>
        </w:rPr>
        <w:t>Postmarket</w:t>
      </w:r>
      <w:proofErr w:type="spellEnd"/>
      <w:r w:rsidRPr="00122820">
        <w:rPr>
          <w:rStyle w:val="Hyperlink"/>
          <w:color w:val="auto"/>
          <w:szCs w:val="24"/>
          <w:u w:val="none"/>
        </w:rPr>
        <w:t xml:space="preserve"> Data Collection for Devices Subject to Premarket Approval; Available at: (</w:t>
      </w:r>
      <w:hyperlink r:id="rId17" w:history="1">
        <w:r w:rsidRPr="00122820">
          <w:rPr>
            <w:rStyle w:val="Hyperlink"/>
            <w:szCs w:val="24"/>
          </w:rPr>
          <w:t>http://www.fda.gov/ucm/groups/fdagov-public/@fdagov-meddev-gen/documents/document/ucm393994.pdf</w:t>
        </w:r>
      </w:hyperlink>
      <w:r w:rsidRPr="00122820">
        <w:rPr>
          <w:rStyle w:val="Hyperlink"/>
          <w:color w:val="auto"/>
          <w:szCs w:val="24"/>
          <w:u w:val="none"/>
        </w:rPr>
        <w:t xml:space="preserve">); </w:t>
      </w:r>
      <w:r w:rsidRPr="00122820">
        <w:rPr>
          <w:szCs w:val="24"/>
        </w:rPr>
        <w:t>Accessed August 10, 2017;</w:t>
      </w:r>
    </w:p>
    <w:p w:rsidR="003B4A09" w:rsidRPr="00122820" w:rsidRDefault="003B4A09" w:rsidP="00122820">
      <w:pPr>
        <w:pStyle w:val="ListParagraph"/>
        <w:numPr>
          <w:ilvl w:val="0"/>
          <w:numId w:val="7"/>
        </w:numPr>
        <w:ind w:leftChars="0"/>
        <w:jc w:val="both"/>
        <w:rPr>
          <w:szCs w:val="24"/>
        </w:rPr>
      </w:pPr>
      <w:r w:rsidRPr="00122820">
        <w:rPr>
          <w:szCs w:val="24"/>
        </w:rPr>
        <w:t>CITI Recommendations: Registry Trials: Accessed (</w:t>
      </w:r>
      <w:hyperlink r:id="rId18" w:history="1">
        <w:r w:rsidRPr="00122820">
          <w:rPr>
            <w:rStyle w:val="Hyperlink"/>
            <w:szCs w:val="24"/>
          </w:rPr>
          <w:t>https://www.ctti-clinicaltrials.org/sites/www.ctti-clinicaltrials.org/files/recommendations/registrytrials-recs.pdf</w:t>
        </w:r>
      </w:hyperlink>
      <w:r w:rsidRPr="00122820">
        <w:rPr>
          <w:rStyle w:val="Hyperlink"/>
          <w:color w:val="auto"/>
          <w:szCs w:val="24"/>
        </w:rPr>
        <w:t>);</w:t>
      </w:r>
      <w:r w:rsidRPr="00122820">
        <w:rPr>
          <w:rStyle w:val="Hyperlink"/>
          <w:szCs w:val="24"/>
        </w:rPr>
        <w:t xml:space="preserve"> </w:t>
      </w:r>
      <w:proofErr w:type="spellStart"/>
      <w:r w:rsidRPr="00122820">
        <w:rPr>
          <w:szCs w:val="24"/>
        </w:rPr>
        <w:t>Accessed</w:t>
      </w:r>
      <w:proofErr w:type="spellEnd"/>
      <w:r w:rsidRPr="00122820">
        <w:rPr>
          <w:szCs w:val="24"/>
        </w:rPr>
        <w:t xml:space="preserve"> August 10, 2017;</w:t>
      </w:r>
    </w:p>
    <w:p w:rsidR="003B4A09" w:rsidRPr="00122820" w:rsidRDefault="003B4A09" w:rsidP="00122820">
      <w:pPr>
        <w:pStyle w:val="ListParagraph"/>
        <w:numPr>
          <w:ilvl w:val="0"/>
          <w:numId w:val="7"/>
        </w:numPr>
        <w:ind w:leftChars="0"/>
        <w:jc w:val="both"/>
        <w:rPr>
          <w:szCs w:val="24"/>
        </w:rPr>
      </w:pPr>
      <w:proofErr w:type="spellStart"/>
      <w:r w:rsidRPr="00122820">
        <w:rPr>
          <w:rFonts w:eastAsia="Times New Roman"/>
          <w:szCs w:val="24"/>
        </w:rPr>
        <w:t>Dusetzina</w:t>
      </w:r>
      <w:proofErr w:type="spellEnd"/>
      <w:r w:rsidRPr="00122820">
        <w:rPr>
          <w:rFonts w:eastAsia="Times New Roman"/>
          <w:szCs w:val="24"/>
        </w:rPr>
        <w:t xml:space="preserve"> SB, Tyree S, Meyer AM, et al. Linking Data </w:t>
      </w:r>
      <w:r w:rsidRPr="00122820">
        <w:rPr>
          <w:rFonts w:eastAsia="Times New Roman"/>
          <w:szCs w:val="24"/>
        </w:rPr>
        <w:tab/>
        <w:t xml:space="preserve">for Health Services Research: A Framework and Instructional Guide [Internet]. </w:t>
      </w:r>
      <w:r w:rsidRPr="00122820">
        <w:rPr>
          <w:rFonts w:eastAsia="Times New Roman"/>
          <w:szCs w:val="24"/>
        </w:rPr>
        <w:tab/>
        <w:t xml:space="preserve">Rockville (MD): Agency for Healthcare </w:t>
      </w:r>
      <w:r w:rsidRPr="00122820">
        <w:rPr>
          <w:rFonts w:eastAsia="Times New Roman"/>
          <w:szCs w:val="24"/>
        </w:rPr>
        <w:lastRenderedPageBreak/>
        <w:t xml:space="preserve">Research and Quality (US); 2014 Sep. 4, </w:t>
      </w:r>
      <w:proofErr w:type="gramStart"/>
      <w:r w:rsidRPr="00122820">
        <w:rPr>
          <w:rFonts w:eastAsia="Times New Roman"/>
          <w:szCs w:val="24"/>
        </w:rPr>
        <w:t>An</w:t>
      </w:r>
      <w:proofErr w:type="gramEnd"/>
      <w:r w:rsidRPr="00122820">
        <w:rPr>
          <w:rFonts w:eastAsia="Times New Roman"/>
          <w:szCs w:val="24"/>
        </w:rPr>
        <w:t xml:space="preserve"> Overview of Record Linkage Methods. Available from: </w:t>
      </w:r>
      <w:hyperlink r:id="rId19" w:history="1">
        <w:r w:rsidRPr="00122820">
          <w:rPr>
            <w:rStyle w:val="Hyperlink"/>
            <w:rFonts w:eastAsia="Times New Roman"/>
            <w:szCs w:val="24"/>
          </w:rPr>
          <w:t>https://www.ncbi.nlm.nih.gov/books/NBK253312/</w:t>
        </w:r>
      </w:hyperlink>
      <w:r w:rsidRPr="00122820">
        <w:rPr>
          <w:rFonts w:eastAsia="Times New Roman"/>
          <w:szCs w:val="24"/>
        </w:rPr>
        <w:t>);</w:t>
      </w:r>
      <w:r w:rsidRPr="00122820">
        <w:rPr>
          <w:szCs w:val="24"/>
        </w:rPr>
        <w:t xml:space="preserve"> Accessed  August 10, 2017;</w:t>
      </w:r>
    </w:p>
    <w:p w:rsidR="003B4A09" w:rsidRPr="00122820" w:rsidRDefault="003B4A09" w:rsidP="00122820">
      <w:pPr>
        <w:pStyle w:val="ListParagraph"/>
        <w:numPr>
          <w:ilvl w:val="0"/>
          <w:numId w:val="7"/>
        </w:numPr>
        <w:ind w:leftChars="0"/>
        <w:jc w:val="both"/>
        <w:rPr>
          <w:szCs w:val="24"/>
        </w:rPr>
      </w:pPr>
      <w:r w:rsidRPr="00122820">
        <w:rPr>
          <w:rStyle w:val="Hyperlink"/>
          <w:color w:val="auto"/>
          <w:szCs w:val="24"/>
          <w:u w:val="none"/>
        </w:rPr>
        <w:t>Factors to Consider When Making Benefit-Risk Determinations in Medical Device Premarket Approval and De Novo Classifications; Available at: (</w:t>
      </w:r>
      <w:hyperlink r:id="rId20" w:history="1">
        <w:r w:rsidRPr="00122820">
          <w:rPr>
            <w:rStyle w:val="Hyperlink"/>
            <w:szCs w:val="24"/>
          </w:rPr>
          <w:t>http://www.fda.gov/ucm/groups/fdagov-public/@fdagov-meddev-gen/documents/document/ucm517504.pdf</w:t>
        </w:r>
      </w:hyperlink>
      <w:r w:rsidRPr="00122820">
        <w:rPr>
          <w:rStyle w:val="Hyperlink"/>
          <w:color w:val="auto"/>
          <w:szCs w:val="24"/>
          <w:u w:val="none"/>
        </w:rPr>
        <w:t xml:space="preserve">); </w:t>
      </w:r>
      <w:r w:rsidRPr="00122820">
        <w:rPr>
          <w:szCs w:val="24"/>
        </w:rPr>
        <w:t>Accessed August 10, 2017;</w:t>
      </w:r>
    </w:p>
    <w:p w:rsidR="003B4A09" w:rsidRPr="00122820" w:rsidRDefault="003B4A09" w:rsidP="00122820">
      <w:pPr>
        <w:pStyle w:val="ListParagraph"/>
        <w:numPr>
          <w:ilvl w:val="0"/>
          <w:numId w:val="7"/>
        </w:numPr>
        <w:ind w:leftChars="0"/>
        <w:jc w:val="both"/>
        <w:rPr>
          <w:szCs w:val="24"/>
          <w:u w:val="single"/>
        </w:rPr>
      </w:pPr>
      <w:r w:rsidRPr="00122820">
        <w:rPr>
          <w:szCs w:val="24"/>
          <w:lang w:eastAsia="ja-JP"/>
        </w:rPr>
        <w:t xml:space="preserve">Final Report PARENT Joint Action (2015); Available at: </w:t>
      </w:r>
      <w:r w:rsidRPr="00122820">
        <w:rPr>
          <w:szCs w:val="24"/>
          <w:lang w:eastAsia="ja-JP"/>
        </w:rPr>
        <w:br/>
      </w:r>
      <w:r w:rsidRPr="00122820">
        <w:rPr>
          <w:szCs w:val="24"/>
        </w:rPr>
        <w:t>(</w:t>
      </w:r>
      <w:hyperlink r:id="rId21" w:tgtFrame="_blank" w:tooltip="Link to the EC document" w:history="1">
        <w:r w:rsidRPr="00122820">
          <w:rPr>
            <w:rStyle w:val="Hyperlink"/>
            <w:color w:val="auto"/>
            <w:szCs w:val="24"/>
          </w:rPr>
          <w:t>http://ec.europa.eu/health/ehealth/docs/ev_20151123_co05_en.pdf</w:t>
        </w:r>
      </w:hyperlink>
      <w:hyperlink r:id="rId22" w:tgtFrame="_blank" w:tooltip="Link to the EC document" w:history="1">
        <w:r w:rsidRPr="00122820">
          <w:rPr>
            <w:rStyle w:val="Hyperlink"/>
            <w:color w:val="auto"/>
            <w:szCs w:val="24"/>
          </w:rPr>
          <w:t>http://ec.europa.eu/health/ehealth/docs/ev_20151123_co05_en.pdf</w:t>
        </w:r>
      </w:hyperlink>
      <w:r w:rsidRPr="00122820">
        <w:rPr>
          <w:szCs w:val="24"/>
        </w:rPr>
        <w:t xml:space="preserve"> ); Accessed August 10, 2017;</w:t>
      </w:r>
    </w:p>
    <w:p w:rsidR="003B4A09" w:rsidRPr="00122820" w:rsidRDefault="003B4A09" w:rsidP="00122820">
      <w:pPr>
        <w:pStyle w:val="ListParagraph"/>
        <w:numPr>
          <w:ilvl w:val="0"/>
          <w:numId w:val="7"/>
        </w:numPr>
        <w:spacing w:after="160" w:line="259" w:lineRule="auto"/>
        <w:ind w:leftChars="0"/>
        <w:contextualSpacing/>
        <w:jc w:val="both"/>
        <w:rPr>
          <w:szCs w:val="24"/>
        </w:rPr>
      </w:pPr>
      <w:proofErr w:type="spellStart"/>
      <w:r w:rsidRPr="00122820">
        <w:rPr>
          <w:szCs w:val="24"/>
        </w:rPr>
        <w:t>Jaro</w:t>
      </w:r>
      <w:proofErr w:type="spellEnd"/>
      <w:r w:rsidRPr="00122820">
        <w:rPr>
          <w:szCs w:val="24"/>
        </w:rPr>
        <w:t xml:space="preserve"> MA. Probabilistic linkage of large public health data files. </w:t>
      </w:r>
      <w:r w:rsidRPr="00122820">
        <w:rPr>
          <w:i/>
          <w:szCs w:val="24"/>
        </w:rPr>
        <w:t>Stat Med</w:t>
      </w:r>
      <w:r w:rsidRPr="00122820">
        <w:rPr>
          <w:szCs w:val="24"/>
        </w:rPr>
        <w:t xml:space="preserve"> 1995; 14(5-7): 491-8).</w:t>
      </w:r>
    </w:p>
    <w:p w:rsidR="003B4A09" w:rsidRPr="00122820" w:rsidRDefault="003B4A09" w:rsidP="00122820">
      <w:pPr>
        <w:pStyle w:val="ListParagraph"/>
        <w:numPr>
          <w:ilvl w:val="0"/>
          <w:numId w:val="7"/>
        </w:numPr>
        <w:ind w:leftChars="0"/>
        <w:jc w:val="both"/>
        <w:rPr>
          <w:szCs w:val="24"/>
        </w:rPr>
      </w:pPr>
      <w:r w:rsidRPr="00122820">
        <w:rPr>
          <w:szCs w:val="24"/>
          <w:lang w:eastAsia="ja-JP"/>
        </w:rPr>
        <w:t>MEDDEV 2.7.1. rev. 4 (EU)</w:t>
      </w:r>
      <w:r w:rsidR="00E639FA" w:rsidRPr="00122820">
        <w:rPr>
          <w:szCs w:val="24"/>
          <w:lang w:eastAsia="ja-JP"/>
        </w:rPr>
        <w:t xml:space="preserve">. Available at: </w:t>
      </w:r>
      <w:hyperlink r:id="rId23" w:history="1">
        <w:r w:rsidR="00E639FA" w:rsidRPr="00122820">
          <w:rPr>
            <w:rStyle w:val="Hyperlink"/>
            <w:szCs w:val="24"/>
            <w:lang w:eastAsia="ja-JP"/>
          </w:rPr>
          <w:t>http://ec.europa.eu/consumers/sectors/medical-devices/files/meddev/2_4_1_rev_9_classification_en.pdf</w:t>
        </w:r>
      </w:hyperlink>
    </w:p>
    <w:p w:rsidR="003B4A09" w:rsidRPr="00122820" w:rsidRDefault="003B4A09" w:rsidP="00122820">
      <w:pPr>
        <w:pStyle w:val="ListParagraph"/>
        <w:numPr>
          <w:ilvl w:val="0"/>
          <w:numId w:val="7"/>
        </w:numPr>
        <w:ind w:leftChars="0"/>
        <w:jc w:val="both"/>
        <w:rPr>
          <w:szCs w:val="24"/>
        </w:rPr>
      </w:pPr>
      <w:r w:rsidRPr="00122820">
        <w:rPr>
          <w:szCs w:val="24"/>
          <w:lang w:eastAsia="ja-JP"/>
        </w:rPr>
        <w:t>Methodological Principles in the Use of International Medical Device Registry Data, IMDRF/Registry WG/N42FINAAL: 2017</w:t>
      </w:r>
    </w:p>
    <w:p w:rsidR="00E562BA" w:rsidRPr="00122820" w:rsidRDefault="00E562BA" w:rsidP="00122820">
      <w:pPr>
        <w:pStyle w:val="ListParagraph"/>
        <w:numPr>
          <w:ilvl w:val="0"/>
          <w:numId w:val="7"/>
        </w:numPr>
        <w:ind w:leftChars="0"/>
        <w:jc w:val="both"/>
        <w:rPr>
          <w:szCs w:val="24"/>
        </w:rPr>
      </w:pPr>
      <w:r w:rsidRPr="00122820">
        <w:rPr>
          <w:szCs w:val="24"/>
        </w:rPr>
        <w:t>Oversight of Clinical Investigations: A Risk-Based Approach to Monitoring (PCORI Conduct of Registry Studies; (</w:t>
      </w:r>
      <w:hyperlink r:id="rId24" w:history="1">
        <w:r w:rsidRPr="00122820">
          <w:rPr>
            <w:rStyle w:val="Hyperlink"/>
            <w:szCs w:val="24"/>
          </w:rPr>
          <w:t>http://www.pcori.org/sites/default/files/Standards-in-the-Conduct-of-Registry-Studies-for-Patient-Centered-Outcomes-Research1.pdf</w:t>
        </w:r>
      </w:hyperlink>
      <w:r w:rsidRPr="00122820">
        <w:rPr>
          <w:szCs w:val="24"/>
        </w:rPr>
        <w:t>); Accessed August 6, 2017</w:t>
      </w:r>
    </w:p>
    <w:p w:rsidR="003B4A09" w:rsidRPr="00122820" w:rsidRDefault="00E562BA" w:rsidP="00122820">
      <w:pPr>
        <w:pStyle w:val="ListParagraph"/>
        <w:numPr>
          <w:ilvl w:val="0"/>
          <w:numId w:val="7"/>
        </w:numPr>
        <w:ind w:leftChars="0"/>
        <w:jc w:val="both"/>
        <w:rPr>
          <w:szCs w:val="24"/>
        </w:rPr>
      </w:pPr>
      <w:r w:rsidRPr="00122820">
        <w:rPr>
          <w:rStyle w:val="Hyperlink"/>
          <w:color w:val="auto"/>
          <w:szCs w:val="24"/>
          <w:u w:val="none"/>
        </w:rPr>
        <w:t xml:space="preserve">Patient Preference Information – Voluntary Submission, Review in Premarket Approval Applications, Humanitarian Device Exemption Applications, and De Novo Requests, and Inclusion in Decision Summaries and Device Labeling  (Patient Preference Information – Voluntary Submission, Review in Premarket Approval Applications, Humanitarian Device Exemption Applications, and De Novo Requests, and Inclusion in Decision Summaries and Device Labeling; Available at:  </w:t>
      </w:r>
      <w:hyperlink r:id="rId25" w:history="1">
        <w:r w:rsidRPr="00122820">
          <w:rPr>
            <w:rStyle w:val="Hyperlink"/>
            <w:szCs w:val="24"/>
          </w:rPr>
          <w:t>http://www.fda.gov/downloads/medicaldevices/deviceregulationandguidance/guidancedocuments/ucm446680.pdf</w:t>
        </w:r>
      </w:hyperlink>
      <w:r w:rsidRPr="00122820">
        <w:rPr>
          <w:rStyle w:val="Hyperlink"/>
          <w:color w:val="auto"/>
          <w:szCs w:val="24"/>
          <w:u w:val="none"/>
        </w:rPr>
        <w:t xml:space="preserve">); </w:t>
      </w:r>
      <w:r w:rsidRPr="00122820">
        <w:rPr>
          <w:szCs w:val="24"/>
        </w:rPr>
        <w:t>Accessed August 10, 2017;</w:t>
      </w:r>
    </w:p>
    <w:p w:rsidR="005219B9" w:rsidRPr="00122820" w:rsidRDefault="00EA6D08" w:rsidP="00122820">
      <w:pPr>
        <w:pStyle w:val="ListParagraph"/>
        <w:numPr>
          <w:ilvl w:val="0"/>
          <w:numId w:val="7"/>
        </w:numPr>
        <w:ind w:leftChars="0"/>
        <w:jc w:val="both"/>
        <w:rPr>
          <w:szCs w:val="24"/>
        </w:rPr>
      </w:pPr>
      <w:r w:rsidRPr="00122820">
        <w:rPr>
          <w:szCs w:val="24"/>
          <w:lang w:eastAsia="ja-JP"/>
        </w:rPr>
        <w:t>Principles of International System of Registries Linked to Other Data Sources and Tools, IMDRF/Registry WG/N33FINAL: 2016</w:t>
      </w:r>
      <w:r w:rsidR="008F4EEF" w:rsidRPr="00122820">
        <w:rPr>
          <w:szCs w:val="24"/>
          <w:lang w:eastAsia="ja-JP"/>
        </w:rPr>
        <w:t xml:space="preserve">;  </w:t>
      </w:r>
    </w:p>
    <w:p w:rsidR="00E639FA" w:rsidRPr="00122820" w:rsidRDefault="00BE6A44" w:rsidP="00122820">
      <w:pPr>
        <w:pStyle w:val="ListParagraph"/>
        <w:numPr>
          <w:ilvl w:val="0"/>
          <w:numId w:val="7"/>
        </w:numPr>
        <w:ind w:leftChars="0"/>
        <w:jc w:val="both"/>
        <w:rPr>
          <w:szCs w:val="24"/>
        </w:rPr>
      </w:pPr>
      <w:r w:rsidRPr="00122820">
        <w:rPr>
          <w:szCs w:val="24"/>
          <w:lang w:eastAsia="ja-JP"/>
        </w:rPr>
        <w:t>Registry-Based Prospective, Active Surveillance of Medical-Device Safety</w:t>
      </w:r>
      <w:r w:rsidR="00E639FA" w:rsidRPr="00122820">
        <w:rPr>
          <w:szCs w:val="24"/>
          <w:lang w:eastAsia="ja-JP"/>
        </w:rPr>
        <w:t xml:space="preserve">. Available at: </w:t>
      </w:r>
      <w:hyperlink r:id="rId26" w:history="1">
        <w:r w:rsidR="00E639FA" w:rsidRPr="00122820">
          <w:rPr>
            <w:rStyle w:val="Hyperlink"/>
            <w:szCs w:val="24"/>
            <w:lang w:eastAsia="ja-JP"/>
          </w:rPr>
          <w:t>http://www.nejm.org/doi/full/10.1056/NEJMoa1516333</w:t>
        </w:r>
      </w:hyperlink>
    </w:p>
    <w:p w:rsidR="00E562BA" w:rsidRPr="00122820" w:rsidRDefault="00E562BA" w:rsidP="00122820">
      <w:pPr>
        <w:pStyle w:val="ListParagraph"/>
        <w:numPr>
          <w:ilvl w:val="0"/>
          <w:numId w:val="7"/>
        </w:numPr>
        <w:ind w:leftChars="0"/>
        <w:jc w:val="both"/>
        <w:rPr>
          <w:szCs w:val="24"/>
        </w:rPr>
      </w:pPr>
      <w:r w:rsidRPr="00122820">
        <w:rPr>
          <w:szCs w:val="24"/>
        </w:rPr>
        <w:t xml:space="preserve">Registry Assessment of Peripheral Interventional Devices (RAPID) J. Pablo Morales, Robert J. Thatcher, MBA; Jack L. </w:t>
      </w:r>
      <w:proofErr w:type="spellStart"/>
      <w:r w:rsidRPr="00122820">
        <w:rPr>
          <w:szCs w:val="24"/>
        </w:rPr>
        <w:t>Cronenwett</w:t>
      </w:r>
      <w:proofErr w:type="spellEnd"/>
      <w:r w:rsidRPr="00122820">
        <w:rPr>
          <w:szCs w:val="24"/>
        </w:rPr>
        <w:t xml:space="preserve">. </w:t>
      </w:r>
      <w:proofErr w:type="spellStart"/>
      <w:r w:rsidRPr="00122820">
        <w:rPr>
          <w:szCs w:val="24"/>
        </w:rPr>
        <w:t>Retrived</w:t>
      </w:r>
      <w:proofErr w:type="spellEnd"/>
      <w:r w:rsidRPr="00122820">
        <w:rPr>
          <w:szCs w:val="24"/>
        </w:rPr>
        <w:t xml:space="preserve"> from: </w:t>
      </w:r>
      <w:hyperlink r:id="rId27" w:history="1">
        <w:r w:rsidRPr="00122820">
          <w:rPr>
            <w:rStyle w:val="Hyperlink"/>
            <w:szCs w:val="24"/>
          </w:rPr>
          <w:t>http://evtoday.com/pdfs/et0816_RU_FDA.pdf</w:t>
        </w:r>
      </w:hyperlink>
      <w:r w:rsidRPr="00122820">
        <w:rPr>
          <w:szCs w:val="24"/>
        </w:rPr>
        <w:t xml:space="preserve">. Accessed  August 10, 2017; </w:t>
      </w:r>
    </w:p>
    <w:p w:rsidR="0037308F" w:rsidRPr="00122820" w:rsidRDefault="00E071CE" w:rsidP="00122820">
      <w:pPr>
        <w:pStyle w:val="ListParagraph"/>
        <w:numPr>
          <w:ilvl w:val="0"/>
          <w:numId w:val="7"/>
        </w:numPr>
        <w:ind w:leftChars="0"/>
        <w:jc w:val="both"/>
        <w:rPr>
          <w:szCs w:val="24"/>
        </w:rPr>
      </w:pPr>
      <w:r w:rsidRPr="00122820">
        <w:rPr>
          <w:bCs/>
          <w:szCs w:val="24"/>
          <w:lang w:eastAsia="ja-JP"/>
        </w:rPr>
        <w:t>REGULATION (EU) 2017/745 OF THE EUROPEAN PARLIAMENT AND OF THE COUNCIL of 5 April 2017 on medical devices, amending Directive 2001/83/EC, Regulation (EC) No 178/2002 and Regulation (EC) No 1223/2009 and repealing Council Directives 90/385/EEC and 93/42/EEC</w:t>
      </w:r>
      <w:r w:rsidR="0037308F" w:rsidRPr="00122820">
        <w:rPr>
          <w:szCs w:val="24"/>
          <w:lang w:eastAsia="ja-JP"/>
        </w:rPr>
        <w:t>EU MDR</w:t>
      </w:r>
      <w:r w:rsidR="008F4EEF" w:rsidRPr="00122820">
        <w:rPr>
          <w:szCs w:val="24"/>
          <w:lang w:eastAsia="ja-JP"/>
        </w:rPr>
        <w:t xml:space="preserve">; </w:t>
      </w:r>
    </w:p>
    <w:p w:rsidR="00DE082C" w:rsidRPr="00122820" w:rsidRDefault="00DE082C" w:rsidP="00122820">
      <w:pPr>
        <w:pStyle w:val="ListParagraph"/>
        <w:numPr>
          <w:ilvl w:val="0"/>
          <w:numId w:val="7"/>
        </w:numPr>
        <w:ind w:leftChars="0"/>
        <w:jc w:val="both"/>
        <w:rPr>
          <w:rStyle w:val="Hyperlink"/>
          <w:color w:val="auto"/>
          <w:szCs w:val="24"/>
          <w:u w:val="none"/>
        </w:rPr>
      </w:pPr>
      <w:r w:rsidRPr="00122820">
        <w:rPr>
          <w:rStyle w:val="Hyperlink"/>
          <w:color w:val="auto"/>
          <w:szCs w:val="24"/>
          <w:u w:val="none"/>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0877F8" w:rsidRPr="00122820">
        <w:rPr>
          <w:rStyle w:val="Hyperlink"/>
          <w:color w:val="auto"/>
          <w:szCs w:val="24"/>
          <w:u w:val="none"/>
        </w:rPr>
        <w:t xml:space="preserve">; </w:t>
      </w:r>
    </w:p>
    <w:p w:rsidR="00227C7B" w:rsidRPr="00122820" w:rsidRDefault="00227C7B" w:rsidP="00122820">
      <w:pPr>
        <w:pStyle w:val="ListParagraph"/>
        <w:numPr>
          <w:ilvl w:val="0"/>
          <w:numId w:val="7"/>
        </w:numPr>
        <w:ind w:leftChars="0"/>
        <w:jc w:val="both"/>
        <w:rPr>
          <w:szCs w:val="24"/>
        </w:rPr>
      </w:pPr>
      <w:proofErr w:type="spellStart"/>
      <w:r w:rsidRPr="00122820">
        <w:rPr>
          <w:szCs w:val="24"/>
        </w:rPr>
        <w:t>Sedrakyan</w:t>
      </w:r>
      <w:proofErr w:type="spellEnd"/>
      <w:r w:rsidRPr="00122820">
        <w:rPr>
          <w:szCs w:val="24"/>
        </w:rPr>
        <w:t xml:space="preserve">, A., Paxton, E. W., &amp; </w:t>
      </w:r>
      <w:proofErr w:type="spellStart"/>
      <w:r w:rsidRPr="00122820">
        <w:rPr>
          <w:szCs w:val="24"/>
        </w:rPr>
        <w:t>Marinac-Dabic</w:t>
      </w:r>
      <w:proofErr w:type="spellEnd"/>
      <w:r w:rsidRPr="00122820">
        <w:rPr>
          <w:szCs w:val="24"/>
        </w:rPr>
        <w:t xml:space="preserve">, D. Stages and Tools for     </w:t>
      </w:r>
    </w:p>
    <w:p w:rsidR="00227C7B" w:rsidRPr="00122820" w:rsidRDefault="00227C7B" w:rsidP="00122820">
      <w:pPr>
        <w:ind w:firstLine="360"/>
        <w:jc w:val="both"/>
        <w:rPr>
          <w:szCs w:val="24"/>
        </w:rPr>
      </w:pPr>
      <w:r w:rsidRPr="00122820">
        <w:rPr>
          <w:szCs w:val="24"/>
        </w:rPr>
        <w:t xml:space="preserve">Multinational Collaboration: The Perspective from the Coordinating Center of the </w:t>
      </w:r>
    </w:p>
    <w:p w:rsidR="00227C7B" w:rsidRPr="00122820" w:rsidRDefault="00227C7B" w:rsidP="00122820">
      <w:pPr>
        <w:ind w:firstLine="360"/>
        <w:jc w:val="both"/>
        <w:rPr>
          <w:i/>
          <w:szCs w:val="24"/>
        </w:rPr>
      </w:pPr>
      <w:proofErr w:type="gramStart"/>
      <w:r w:rsidRPr="00122820">
        <w:rPr>
          <w:szCs w:val="24"/>
        </w:rPr>
        <w:t xml:space="preserve">International Consortium of </w:t>
      </w:r>
      <w:proofErr w:type="spellStart"/>
      <w:r w:rsidRPr="00122820">
        <w:rPr>
          <w:szCs w:val="24"/>
        </w:rPr>
        <w:t>Orthopaedic</w:t>
      </w:r>
      <w:proofErr w:type="spellEnd"/>
      <w:r w:rsidRPr="00122820">
        <w:rPr>
          <w:szCs w:val="24"/>
        </w:rPr>
        <w:t xml:space="preserve"> Registries (ICOR).”</w:t>
      </w:r>
      <w:proofErr w:type="gramEnd"/>
      <w:r w:rsidRPr="00122820">
        <w:rPr>
          <w:szCs w:val="24"/>
        </w:rPr>
        <w:t xml:space="preserve"> </w:t>
      </w:r>
      <w:r w:rsidRPr="00122820">
        <w:rPr>
          <w:i/>
          <w:szCs w:val="24"/>
        </w:rPr>
        <w:t xml:space="preserve">The Journal </w:t>
      </w:r>
      <w:proofErr w:type="gramStart"/>
      <w:r w:rsidRPr="00122820">
        <w:rPr>
          <w:i/>
          <w:szCs w:val="24"/>
        </w:rPr>
        <w:t>Of</w:t>
      </w:r>
      <w:proofErr w:type="gramEnd"/>
      <w:r w:rsidRPr="00122820">
        <w:rPr>
          <w:i/>
          <w:szCs w:val="24"/>
        </w:rPr>
        <w:t xml:space="preserve"> Bone &amp; Joint </w:t>
      </w:r>
    </w:p>
    <w:p w:rsidR="00227C7B" w:rsidRPr="00122820" w:rsidRDefault="00227C7B" w:rsidP="00122820">
      <w:pPr>
        <w:ind w:firstLine="360"/>
        <w:jc w:val="both"/>
        <w:rPr>
          <w:szCs w:val="24"/>
        </w:rPr>
      </w:pPr>
      <w:r w:rsidRPr="00122820">
        <w:rPr>
          <w:i/>
          <w:szCs w:val="24"/>
        </w:rPr>
        <w:t>Surgery</w:t>
      </w:r>
      <w:r w:rsidRPr="00122820">
        <w:rPr>
          <w:szCs w:val="24"/>
        </w:rPr>
        <w:t>, 93(Supplement 3), 76-80. (2011): DOI: 10.2106/Jbjs.K.01141</w:t>
      </w:r>
    </w:p>
    <w:p w:rsidR="00227C7B" w:rsidRPr="00122820" w:rsidRDefault="00227C7B" w:rsidP="00122820">
      <w:pPr>
        <w:pStyle w:val="ListParagraph"/>
        <w:numPr>
          <w:ilvl w:val="0"/>
          <w:numId w:val="7"/>
        </w:numPr>
        <w:ind w:leftChars="0"/>
        <w:jc w:val="both"/>
        <w:rPr>
          <w:rStyle w:val="Hyperlink"/>
          <w:color w:val="auto"/>
          <w:szCs w:val="24"/>
          <w:u w:val="none"/>
        </w:rPr>
      </w:pPr>
      <w:r w:rsidRPr="00122820">
        <w:rPr>
          <w:szCs w:val="24"/>
          <w:lang w:val="es-PR"/>
        </w:rPr>
        <w:t xml:space="preserve">Sedrakyan, A., Marinac-Dabic, D., Holmes, D. R., &amp; Jr. </w:t>
      </w:r>
      <w:r w:rsidRPr="00122820">
        <w:rPr>
          <w:szCs w:val="24"/>
        </w:rPr>
        <w:t xml:space="preserve">“The International Registry Infrastructure for Cardiovascular Device Evaluation and Surveillance.” </w:t>
      </w:r>
      <w:r w:rsidRPr="00122820">
        <w:rPr>
          <w:i/>
          <w:szCs w:val="24"/>
        </w:rPr>
        <w:t>JAMA</w:t>
      </w:r>
      <w:r w:rsidRPr="00122820">
        <w:rPr>
          <w:szCs w:val="24"/>
        </w:rPr>
        <w:t>, 310(3), 257</w:t>
      </w:r>
      <w:proofErr w:type="gramStart"/>
      <w:r w:rsidRPr="00122820">
        <w:rPr>
          <w:szCs w:val="24"/>
        </w:rPr>
        <w:t>-  259</w:t>
      </w:r>
      <w:proofErr w:type="gramEnd"/>
      <w:r w:rsidRPr="00122820">
        <w:rPr>
          <w:szCs w:val="24"/>
        </w:rPr>
        <w:t>. (2013): DOI: 10.1001/jama.2013.7133</w:t>
      </w:r>
    </w:p>
    <w:p w:rsidR="00046135" w:rsidRPr="00122820" w:rsidRDefault="00046135" w:rsidP="00122820">
      <w:pPr>
        <w:pStyle w:val="ListParagraph"/>
        <w:numPr>
          <w:ilvl w:val="0"/>
          <w:numId w:val="7"/>
        </w:numPr>
        <w:ind w:leftChars="0"/>
        <w:jc w:val="both"/>
        <w:rPr>
          <w:rStyle w:val="Hyperlink"/>
          <w:color w:val="auto"/>
          <w:szCs w:val="24"/>
          <w:u w:val="none"/>
        </w:rPr>
      </w:pPr>
      <w:r w:rsidRPr="00122820">
        <w:rPr>
          <w:rStyle w:val="Hyperlink"/>
          <w:color w:val="auto"/>
          <w:szCs w:val="24"/>
          <w:u w:val="none"/>
        </w:rPr>
        <w:lastRenderedPageBreak/>
        <w:t>Strengthening Our National System for Medical</w:t>
      </w:r>
      <w:r w:rsidR="000877F8" w:rsidRPr="00122820">
        <w:rPr>
          <w:rStyle w:val="Hyperlink"/>
          <w:color w:val="auto"/>
          <w:szCs w:val="24"/>
          <w:u w:val="none"/>
        </w:rPr>
        <w:t xml:space="preserve"> Device </w:t>
      </w:r>
      <w:proofErr w:type="spellStart"/>
      <w:r w:rsidR="000877F8" w:rsidRPr="00122820">
        <w:rPr>
          <w:rStyle w:val="Hyperlink"/>
          <w:color w:val="auto"/>
          <w:szCs w:val="24"/>
          <w:u w:val="none"/>
        </w:rPr>
        <w:t>Postmarket</w:t>
      </w:r>
      <w:proofErr w:type="spellEnd"/>
      <w:r w:rsidR="000877F8" w:rsidRPr="00122820">
        <w:rPr>
          <w:rStyle w:val="Hyperlink"/>
          <w:color w:val="auto"/>
          <w:szCs w:val="24"/>
          <w:u w:val="none"/>
        </w:rPr>
        <w:t xml:space="preserve"> Surveillance; Available at:</w:t>
      </w:r>
      <w:r w:rsidRPr="00122820">
        <w:rPr>
          <w:rStyle w:val="Hyperlink"/>
          <w:color w:val="auto"/>
          <w:szCs w:val="24"/>
          <w:u w:val="none"/>
        </w:rPr>
        <w:t>(</w:t>
      </w:r>
      <w:hyperlink r:id="rId28" w:history="1">
        <w:r w:rsidR="005A2A08" w:rsidRPr="00122820">
          <w:rPr>
            <w:rStyle w:val="Hyperlink"/>
            <w:szCs w:val="24"/>
          </w:rPr>
          <w:t>http://www.fda.gov/downloads/AboutFDA/CentersOffices/OfficeofMedicalProductsandTobacco/CDRH/CDRHReports/UCM301924.pdf</w:t>
        </w:r>
      </w:hyperlink>
      <w:r w:rsidRPr="00122820">
        <w:rPr>
          <w:rStyle w:val="Hyperlink"/>
          <w:color w:val="auto"/>
          <w:szCs w:val="24"/>
          <w:u w:val="none"/>
        </w:rPr>
        <w:t>)</w:t>
      </w:r>
      <w:r w:rsidR="005A2A08" w:rsidRPr="00122820">
        <w:rPr>
          <w:rStyle w:val="Hyperlink"/>
          <w:color w:val="auto"/>
          <w:szCs w:val="24"/>
          <w:u w:val="none"/>
        </w:rPr>
        <w:t>;</w:t>
      </w:r>
      <w:r w:rsidR="000877F8" w:rsidRPr="00122820">
        <w:rPr>
          <w:szCs w:val="24"/>
        </w:rPr>
        <w:t xml:space="preserve"> Accessed August 10, 2017;</w:t>
      </w:r>
    </w:p>
    <w:p w:rsidR="00046135" w:rsidRPr="00122820" w:rsidRDefault="00046135" w:rsidP="00122820">
      <w:pPr>
        <w:pStyle w:val="ListParagraph"/>
        <w:numPr>
          <w:ilvl w:val="0"/>
          <w:numId w:val="7"/>
        </w:numPr>
        <w:ind w:leftChars="0"/>
        <w:jc w:val="both"/>
        <w:rPr>
          <w:rStyle w:val="Hyperlink"/>
          <w:color w:val="auto"/>
          <w:szCs w:val="24"/>
          <w:u w:val="none"/>
        </w:rPr>
      </w:pPr>
      <w:r w:rsidRPr="00122820">
        <w:rPr>
          <w:rStyle w:val="Hyperlink"/>
          <w:color w:val="auto"/>
          <w:szCs w:val="24"/>
          <w:u w:val="none"/>
        </w:rPr>
        <w:t xml:space="preserve">Strengthening Our National System for Medical Device </w:t>
      </w:r>
      <w:proofErr w:type="spellStart"/>
      <w:r w:rsidRPr="00122820">
        <w:rPr>
          <w:rStyle w:val="Hyperlink"/>
          <w:color w:val="auto"/>
          <w:szCs w:val="24"/>
          <w:u w:val="none"/>
        </w:rPr>
        <w:t>Postmarket</w:t>
      </w:r>
      <w:proofErr w:type="spellEnd"/>
      <w:r w:rsidRPr="00122820">
        <w:rPr>
          <w:rStyle w:val="Hyperlink"/>
          <w:color w:val="auto"/>
          <w:szCs w:val="24"/>
          <w:u w:val="none"/>
        </w:rPr>
        <w:t xml:space="preserve"> Surveillance: Update and Next Steps - April 2013</w:t>
      </w:r>
      <w:r w:rsidR="005A2A08" w:rsidRPr="00122820">
        <w:rPr>
          <w:rStyle w:val="Hyperlink"/>
          <w:color w:val="auto"/>
          <w:szCs w:val="24"/>
          <w:u w:val="none"/>
        </w:rPr>
        <w:t>;</w:t>
      </w:r>
      <w:r w:rsidRPr="00122820">
        <w:rPr>
          <w:rStyle w:val="Hyperlink"/>
          <w:color w:val="auto"/>
          <w:szCs w:val="24"/>
          <w:u w:val="none"/>
        </w:rPr>
        <w:t xml:space="preserve"> </w:t>
      </w:r>
      <w:r w:rsidR="000877F8" w:rsidRPr="00122820">
        <w:rPr>
          <w:rStyle w:val="Hyperlink"/>
          <w:color w:val="auto"/>
          <w:szCs w:val="24"/>
          <w:u w:val="none"/>
        </w:rPr>
        <w:t xml:space="preserve">Available at: </w:t>
      </w:r>
      <w:r w:rsidRPr="00122820">
        <w:rPr>
          <w:rStyle w:val="Hyperlink"/>
          <w:color w:val="auto"/>
          <w:szCs w:val="24"/>
          <w:u w:val="none"/>
        </w:rPr>
        <w:t>(</w:t>
      </w:r>
      <w:hyperlink r:id="rId29" w:history="1">
        <w:r w:rsidR="00F37C36" w:rsidRPr="00122820">
          <w:rPr>
            <w:rStyle w:val="Hyperlink"/>
            <w:szCs w:val="24"/>
          </w:rPr>
          <w:t>https://www.fda.gov/downloads/AboutFDA/CentersOffices/CDRH/CDRHReports/UCM301924.pdf</w:t>
        </w:r>
      </w:hyperlink>
      <w:r w:rsidR="00F37C36" w:rsidRPr="00122820">
        <w:rPr>
          <w:szCs w:val="24"/>
        </w:rPr>
        <w:t>)</w:t>
      </w:r>
      <w:r w:rsidR="000877F8" w:rsidRPr="00122820">
        <w:rPr>
          <w:rStyle w:val="Hyperlink"/>
          <w:color w:val="auto"/>
          <w:szCs w:val="24"/>
          <w:u w:val="none"/>
        </w:rPr>
        <w:t xml:space="preserve">; </w:t>
      </w:r>
      <w:r w:rsidR="000877F8" w:rsidRPr="00122820">
        <w:rPr>
          <w:szCs w:val="24"/>
        </w:rPr>
        <w:t>Accessed August 10, 2017;</w:t>
      </w:r>
    </w:p>
    <w:p w:rsidR="00046135" w:rsidRPr="00122820" w:rsidRDefault="00046135" w:rsidP="00122820">
      <w:pPr>
        <w:pStyle w:val="ListParagraph"/>
        <w:numPr>
          <w:ilvl w:val="0"/>
          <w:numId w:val="7"/>
        </w:numPr>
        <w:ind w:leftChars="0"/>
        <w:jc w:val="both"/>
        <w:rPr>
          <w:rStyle w:val="Hyperlink"/>
          <w:color w:val="auto"/>
          <w:szCs w:val="24"/>
          <w:u w:val="none"/>
        </w:rPr>
      </w:pPr>
      <w:r w:rsidRPr="00122820">
        <w:rPr>
          <w:rStyle w:val="Hyperlink"/>
          <w:color w:val="auto"/>
          <w:szCs w:val="24"/>
          <w:u w:val="none"/>
        </w:rPr>
        <w:t xml:space="preserve">Strengthening Patient Care: Building a National </w:t>
      </w:r>
      <w:proofErr w:type="spellStart"/>
      <w:r w:rsidRPr="00122820">
        <w:rPr>
          <w:rStyle w:val="Hyperlink"/>
          <w:color w:val="auto"/>
          <w:szCs w:val="24"/>
          <w:u w:val="none"/>
        </w:rPr>
        <w:t>Postmarket</w:t>
      </w:r>
      <w:proofErr w:type="spellEnd"/>
      <w:r w:rsidRPr="00122820">
        <w:rPr>
          <w:rStyle w:val="Hyperlink"/>
          <w:color w:val="auto"/>
          <w:szCs w:val="24"/>
          <w:u w:val="none"/>
        </w:rPr>
        <w:t xml:space="preserve"> Med</w:t>
      </w:r>
      <w:r w:rsidR="000877F8" w:rsidRPr="00122820">
        <w:rPr>
          <w:rStyle w:val="Hyperlink"/>
          <w:color w:val="auto"/>
          <w:szCs w:val="24"/>
          <w:u w:val="none"/>
        </w:rPr>
        <w:t xml:space="preserve">ical Device Surveillance System, </w:t>
      </w:r>
      <w:r w:rsidR="000877F8" w:rsidRPr="00122820">
        <w:rPr>
          <w:szCs w:val="24"/>
        </w:rPr>
        <w:t xml:space="preserve">Available at: </w:t>
      </w:r>
      <w:r w:rsidR="000877F8" w:rsidRPr="00122820">
        <w:rPr>
          <w:rStyle w:val="Hyperlink"/>
          <w:color w:val="auto"/>
          <w:szCs w:val="24"/>
          <w:u w:val="none"/>
        </w:rPr>
        <w:t xml:space="preserve"> </w:t>
      </w:r>
      <w:r w:rsidRPr="00122820">
        <w:rPr>
          <w:rStyle w:val="Hyperlink"/>
          <w:color w:val="auto"/>
          <w:szCs w:val="24"/>
          <w:u w:val="none"/>
        </w:rPr>
        <w:t>(</w:t>
      </w:r>
      <w:hyperlink r:id="rId30" w:history="1">
        <w:r w:rsidR="00A74C9E" w:rsidRPr="00122820">
          <w:rPr>
            <w:rStyle w:val="Hyperlink"/>
            <w:szCs w:val="24"/>
          </w:rPr>
          <w:t>http://www.fda.gov/downloads/AboutFDA/CentersOffices/OfficeofMedicalProductsandTobacco/CDRH/CDRHReports/UCM435112.pdf</w:t>
        </w:r>
      </w:hyperlink>
      <w:r w:rsidRPr="00122820">
        <w:rPr>
          <w:rStyle w:val="Hyperlink"/>
          <w:color w:val="auto"/>
          <w:szCs w:val="24"/>
          <w:u w:val="none"/>
        </w:rPr>
        <w:t xml:space="preserve">). </w:t>
      </w:r>
      <w:r w:rsidR="000877F8" w:rsidRPr="00122820">
        <w:rPr>
          <w:szCs w:val="24"/>
        </w:rPr>
        <w:t>Accessed August 10, 2017;</w:t>
      </w:r>
    </w:p>
    <w:p w:rsidR="00F518AE" w:rsidRPr="00122820" w:rsidRDefault="00E33B13" w:rsidP="00122820">
      <w:pPr>
        <w:pStyle w:val="ListParagraph"/>
        <w:numPr>
          <w:ilvl w:val="0"/>
          <w:numId w:val="7"/>
        </w:numPr>
        <w:spacing w:after="160" w:line="259" w:lineRule="auto"/>
        <w:ind w:leftChars="0"/>
        <w:contextualSpacing/>
        <w:jc w:val="both"/>
        <w:rPr>
          <w:szCs w:val="24"/>
        </w:rPr>
      </w:pPr>
      <w:r w:rsidRPr="00122820">
        <w:rPr>
          <w:bCs/>
          <w:szCs w:val="24"/>
        </w:rPr>
        <w:t xml:space="preserve">Unique Device Identification System: Form and Content of the Unique Device Identifier (UDI). </w:t>
      </w:r>
      <w:r w:rsidRPr="00122820">
        <w:rPr>
          <w:szCs w:val="24"/>
        </w:rPr>
        <w:t xml:space="preserve"> </w:t>
      </w:r>
      <w:r w:rsidRPr="00122820">
        <w:rPr>
          <w:bCs/>
          <w:szCs w:val="24"/>
        </w:rPr>
        <w:t>Draft Guidance for Industry and Food and Drug Administration Staff</w:t>
      </w:r>
      <w:r w:rsidR="00E562BA" w:rsidRPr="00122820">
        <w:rPr>
          <w:bCs/>
          <w:szCs w:val="24"/>
        </w:rPr>
        <w:t xml:space="preserve">; Available at: </w:t>
      </w:r>
      <w:r w:rsidRPr="00122820">
        <w:rPr>
          <w:szCs w:val="24"/>
        </w:rPr>
        <w:t xml:space="preserve"> </w:t>
      </w:r>
      <w:r w:rsidR="00E562BA" w:rsidRPr="00122820">
        <w:rPr>
          <w:szCs w:val="24"/>
        </w:rPr>
        <w:t>(</w:t>
      </w:r>
      <w:hyperlink r:id="rId31" w:history="1">
        <w:r w:rsidRPr="00122820">
          <w:rPr>
            <w:rStyle w:val="Hyperlink"/>
            <w:szCs w:val="24"/>
          </w:rPr>
          <w:t>https://www.fda.gov/downloads/MedicalDevices/DeviceRegulationandGuidance/GuidanceDocuments/UCM512648.pdf</w:t>
        </w:r>
      </w:hyperlink>
      <w:r w:rsidR="00E562BA" w:rsidRPr="00122820">
        <w:rPr>
          <w:szCs w:val="24"/>
        </w:rPr>
        <w:t xml:space="preserve">); </w:t>
      </w:r>
      <w:r w:rsidR="00E562BA" w:rsidRPr="00122820">
        <w:rPr>
          <w:szCs w:val="24"/>
          <w:lang w:eastAsia="ja-JP"/>
        </w:rPr>
        <w:t>Accessed August 10, 2017;</w:t>
      </w:r>
    </w:p>
    <w:p w:rsidR="00E562BA" w:rsidRPr="00122820" w:rsidRDefault="00E562BA" w:rsidP="00122820">
      <w:pPr>
        <w:pStyle w:val="ListParagraph"/>
        <w:numPr>
          <w:ilvl w:val="0"/>
          <w:numId w:val="7"/>
        </w:numPr>
        <w:ind w:leftChars="0"/>
        <w:jc w:val="both"/>
        <w:rPr>
          <w:szCs w:val="24"/>
        </w:rPr>
      </w:pPr>
      <w:r w:rsidRPr="00122820">
        <w:rPr>
          <w:szCs w:val="24"/>
          <w:lang w:eastAsia="ja-JP"/>
        </w:rPr>
        <w:t xml:space="preserve">Use of Real-World Evidence to Support Regulatory Decision-Making for Medical Devices (US FDA CDRH Draft Guidance; 2016); </w:t>
      </w:r>
    </w:p>
    <w:p w:rsidR="008F4EEF" w:rsidRPr="00B774CB" w:rsidRDefault="00825ACA" w:rsidP="00122820">
      <w:pPr>
        <w:pStyle w:val="Heading1"/>
        <w:tabs>
          <w:tab w:val="clear" w:pos="510"/>
          <w:tab w:val="num" w:pos="522"/>
        </w:tabs>
        <w:jc w:val="both"/>
      </w:pPr>
      <w:bookmarkStart w:id="6" w:name="_Toc485898598"/>
      <w:bookmarkStart w:id="7" w:name="_Toc504994041"/>
      <w:r w:rsidRPr="00B774CB">
        <w:t>Definitions</w:t>
      </w:r>
      <w:bookmarkEnd w:id="6"/>
      <w:bookmarkEnd w:id="7"/>
    </w:p>
    <w:p w:rsidR="00A13770" w:rsidRPr="00B774CB" w:rsidRDefault="00A13770" w:rsidP="00122820">
      <w:pPr>
        <w:jc w:val="both"/>
      </w:pPr>
    </w:p>
    <w:p w:rsidR="005B626B" w:rsidRPr="00B774CB" w:rsidRDefault="00BE6A44" w:rsidP="00122820">
      <w:pPr>
        <w:jc w:val="both"/>
      </w:pPr>
      <w:r w:rsidRPr="00B774CB">
        <w:rPr>
          <w:b/>
          <w:i/>
        </w:rPr>
        <w:t>Lifecycle</w:t>
      </w:r>
      <w:r w:rsidR="00666A7A" w:rsidRPr="00B774CB">
        <w:rPr>
          <w:b/>
          <w:i/>
        </w:rPr>
        <w:t>:</w:t>
      </w:r>
      <w:r w:rsidR="00666A7A" w:rsidRPr="00B774CB">
        <w:t xml:space="preserve"> </w:t>
      </w:r>
      <w:r w:rsidR="007406B8" w:rsidRPr="00B774CB">
        <w:rPr>
          <w:lang w:eastAsia="ja-JP"/>
        </w:rPr>
        <w:t>A</w:t>
      </w:r>
      <w:r w:rsidR="007406B8" w:rsidRPr="00B774CB">
        <w:t>ll phases in the life of a medical device, from the initial conception to final decommissioning and disposal (ISO 14971:2007).</w:t>
      </w:r>
    </w:p>
    <w:p w:rsidR="00A13770" w:rsidRPr="00B774CB" w:rsidRDefault="00A13770" w:rsidP="00122820">
      <w:pPr>
        <w:jc w:val="both"/>
      </w:pPr>
    </w:p>
    <w:p w:rsidR="00BF0F0A" w:rsidRPr="00B774CB" w:rsidRDefault="00513421" w:rsidP="00122820">
      <w:pPr>
        <w:jc w:val="both"/>
      </w:pPr>
      <w:r w:rsidRPr="00B774CB">
        <w:rPr>
          <w:b/>
          <w:i/>
        </w:rPr>
        <w:t>Medical Device Registry:</w:t>
      </w:r>
      <w:r w:rsidRPr="00B774CB">
        <w:t xml:space="preserve"> An organized system that continuously and consistently collects relevant data in conjunction with routine clinical care, evaluates meaningful outcomes, and comprehensively covers the population defined by exposure to particular device(s) at a reasonably generalizable scale (e.g. international, national, regional, and health system) with a primary aim to improve the quality of patient care (</w:t>
      </w:r>
      <w:r w:rsidR="00BF0F0A" w:rsidRPr="00B774CB">
        <w:rPr>
          <w:lang w:eastAsia="ja-JP"/>
        </w:rPr>
        <w:t xml:space="preserve">Principles of International System of Registries Linked to Other Data Sources and Tools, IMDRF/Registry WG/N33FINAL: 2016;  </w:t>
      </w:r>
    </w:p>
    <w:p w:rsidR="00716AAE" w:rsidRPr="00B774CB" w:rsidRDefault="00716AAE" w:rsidP="00122820">
      <w:pPr>
        <w:jc w:val="both"/>
        <w:rPr>
          <w:lang w:eastAsia="ja-JP"/>
        </w:rPr>
      </w:pPr>
    </w:p>
    <w:p w:rsidR="00BF0F0A" w:rsidRPr="00B774CB" w:rsidRDefault="009D514D" w:rsidP="00122820">
      <w:pPr>
        <w:jc w:val="both"/>
        <w:rPr>
          <w:szCs w:val="24"/>
        </w:rPr>
      </w:pPr>
      <w:r w:rsidRPr="00B774CB">
        <w:rPr>
          <w:b/>
          <w:i/>
          <w:color w:val="000000"/>
          <w:szCs w:val="24"/>
          <w:lang w:eastAsia="ja-JP"/>
        </w:rPr>
        <w:t>Signal detection:</w:t>
      </w:r>
      <w:r w:rsidRPr="00B774CB">
        <w:rPr>
          <w:b/>
          <w:color w:val="000000"/>
          <w:szCs w:val="24"/>
          <w:lang w:eastAsia="ja-JP"/>
        </w:rPr>
        <w:t xml:space="preserve"> </w:t>
      </w:r>
      <w:r w:rsidR="007406B8" w:rsidRPr="00B774CB">
        <w:rPr>
          <w:szCs w:val="24"/>
        </w:rPr>
        <w:t>The process of determining patterns of association or unexpected occurrences that have the potential to impact patient management decisions and/or alter the known b</w:t>
      </w:r>
      <w:r w:rsidR="0045498F" w:rsidRPr="00B774CB">
        <w:rPr>
          <w:szCs w:val="24"/>
        </w:rPr>
        <w:t xml:space="preserve">enefit-risk profile of a device </w:t>
      </w:r>
      <w:r w:rsidR="008518ED" w:rsidRPr="00B774CB">
        <w:rPr>
          <w:szCs w:val="24"/>
        </w:rPr>
        <w:t>(</w:t>
      </w:r>
      <w:r w:rsidR="00BF0F0A" w:rsidRPr="00B774CB">
        <w:rPr>
          <w:szCs w:val="24"/>
          <w:lang w:eastAsia="ja-JP"/>
        </w:rPr>
        <w:t>Methodological Principles in the Use of International Medical Device Registry</w:t>
      </w:r>
      <w:r w:rsidR="0093171B">
        <w:rPr>
          <w:szCs w:val="24"/>
          <w:lang w:eastAsia="ja-JP"/>
        </w:rPr>
        <w:t xml:space="preserve"> Data, IMDRF/Registry WG/N42FIN</w:t>
      </w:r>
      <w:r w:rsidR="00BF0F0A" w:rsidRPr="00B774CB">
        <w:rPr>
          <w:szCs w:val="24"/>
          <w:lang w:eastAsia="ja-JP"/>
        </w:rPr>
        <w:t>AL: 2017</w:t>
      </w:r>
      <w:r w:rsidR="00AB7D67" w:rsidRPr="00B774CB">
        <w:rPr>
          <w:szCs w:val="24"/>
          <w:lang w:eastAsia="ja-JP"/>
        </w:rPr>
        <w:t>).</w:t>
      </w:r>
    </w:p>
    <w:p w:rsidR="004D3D89" w:rsidRPr="00B774CB" w:rsidRDefault="004D3D89" w:rsidP="00122820">
      <w:pPr>
        <w:pStyle w:val="Heading1"/>
        <w:jc w:val="both"/>
        <w:rPr>
          <w:color w:val="000000"/>
        </w:rPr>
      </w:pPr>
      <w:bookmarkStart w:id="8" w:name="_Toc485898599"/>
      <w:bookmarkStart w:id="9" w:name="_Toc504994042"/>
      <w:r w:rsidRPr="00B774CB">
        <w:rPr>
          <w:color w:val="000000"/>
        </w:rPr>
        <w:t xml:space="preserve">Elements for Assessment of Registry for Regulatory </w:t>
      </w:r>
      <w:bookmarkEnd w:id="8"/>
      <w:r w:rsidR="009451AF" w:rsidRPr="00B774CB">
        <w:rPr>
          <w:color w:val="000000"/>
        </w:rPr>
        <w:t>Uses</w:t>
      </w:r>
      <w:bookmarkEnd w:id="9"/>
      <w:r w:rsidR="009451AF" w:rsidRPr="00B774CB">
        <w:rPr>
          <w:color w:val="000000"/>
        </w:rPr>
        <w:t xml:space="preserve"> </w:t>
      </w:r>
    </w:p>
    <w:p w:rsidR="004F0F2C" w:rsidRPr="00B774CB" w:rsidRDefault="00641DCC" w:rsidP="00122820">
      <w:pPr>
        <w:spacing w:before="100" w:beforeAutospacing="1" w:after="100" w:afterAutospacing="1"/>
        <w:jc w:val="both"/>
        <w:rPr>
          <w:lang w:eastAsia="ja-JP"/>
        </w:rPr>
      </w:pPr>
      <w:r w:rsidRPr="00B774CB">
        <w:rPr>
          <w:lang w:eastAsia="ja-JP"/>
        </w:rPr>
        <w:t>There are multiple</w:t>
      </w:r>
      <w:r w:rsidR="00E62D8C" w:rsidRPr="00B774CB">
        <w:rPr>
          <w:lang w:eastAsia="ja-JP"/>
        </w:rPr>
        <w:t xml:space="preserve"> and often mutually exclusive</w:t>
      </w:r>
      <w:r w:rsidRPr="00B774CB">
        <w:rPr>
          <w:lang w:eastAsia="ja-JP"/>
        </w:rPr>
        <w:t xml:space="preserve"> domains of registries that contribute to </w:t>
      </w:r>
      <w:r w:rsidR="002A3401" w:rsidRPr="00B774CB">
        <w:rPr>
          <w:lang w:eastAsia="ja-JP"/>
        </w:rPr>
        <w:t xml:space="preserve">their suitability for regulatory decision making including (a) registry organization </w:t>
      </w:r>
      <w:r w:rsidRPr="00B774CB">
        <w:rPr>
          <w:lang w:eastAsia="ja-JP"/>
        </w:rPr>
        <w:t>(that owns</w:t>
      </w:r>
      <w:r w:rsidR="00AB7D67" w:rsidRPr="00B774CB">
        <w:rPr>
          <w:lang w:eastAsia="ja-JP"/>
        </w:rPr>
        <w:t xml:space="preserve"> or controls the system), (b) </w:t>
      </w:r>
      <w:r w:rsidRPr="00B774CB">
        <w:rPr>
          <w:lang w:eastAsia="ja-JP"/>
        </w:rPr>
        <w:t>registry data management system (the mechanisms that collects and processes data), (c) registry data qual</w:t>
      </w:r>
      <w:r w:rsidR="00B4757B" w:rsidRPr="00B774CB">
        <w:rPr>
          <w:lang w:eastAsia="ja-JP"/>
        </w:rPr>
        <w:t>ity program and registry outputs</w:t>
      </w:r>
      <w:r w:rsidRPr="00B774CB">
        <w:rPr>
          <w:lang w:eastAsia="ja-JP"/>
        </w:rPr>
        <w:t xml:space="preserve"> (e.g. data available to send to regulators). </w:t>
      </w:r>
      <w:r w:rsidR="00E62D8C" w:rsidRPr="00B774CB">
        <w:rPr>
          <w:lang w:eastAsia="ja-JP"/>
        </w:rPr>
        <w:t>I</w:t>
      </w:r>
      <w:r w:rsidRPr="00B774CB">
        <w:rPr>
          <w:lang w:eastAsia="ja-JP"/>
        </w:rPr>
        <w:t xml:space="preserve">t is possible </w:t>
      </w:r>
      <w:r w:rsidR="00E62D8C" w:rsidRPr="00B774CB">
        <w:rPr>
          <w:lang w:eastAsia="ja-JP"/>
        </w:rPr>
        <w:t xml:space="preserve">that specific </w:t>
      </w:r>
      <w:r w:rsidRPr="00B774CB">
        <w:rPr>
          <w:lang w:eastAsia="ja-JP"/>
        </w:rPr>
        <w:t>registry organization</w:t>
      </w:r>
      <w:r w:rsidR="00E62D8C" w:rsidRPr="00B774CB">
        <w:rPr>
          <w:lang w:eastAsia="ja-JP"/>
        </w:rPr>
        <w:t xml:space="preserve"> will have processes aligned with elements of suggested</w:t>
      </w:r>
      <w:r w:rsidR="008029AB" w:rsidRPr="00B774CB">
        <w:rPr>
          <w:lang w:eastAsia="ja-JP"/>
        </w:rPr>
        <w:t xml:space="preserve"> </w:t>
      </w:r>
      <w:r w:rsidRPr="00B774CB">
        <w:rPr>
          <w:lang w:eastAsia="ja-JP"/>
        </w:rPr>
        <w:t>governance, but the data generated</w:t>
      </w:r>
      <w:r w:rsidR="00E62D8C" w:rsidRPr="00B774CB">
        <w:rPr>
          <w:lang w:eastAsia="ja-JP"/>
        </w:rPr>
        <w:t xml:space="preserve"> by registry will not be </w:t>
      </w:r>
      <w:r w:rsidRPr="00B774CB">
        <w:rPr>
          <w:lang w:eastAsia="ja-JP"/>
        </w:rPr>
        <w:t>relevant for specific regulatory decision</w:t>
      </w:r>
      <w:r w:rsidR="004F0F2C" w:rsidRPr="00B774CB">
        <w:rPr>
          <w:lang w:eastAsia="ja-JP"/>
        </w:rPr>
        <w:t>.</w:t>
      </w:r>
      <w:r w:rsidR="003040CC" w:rsidRPr="00B774CB">
        <w:rPr>
          <w:lang w:eastAsia="ja-JP"/>
        </w:rPr>
        <w:t xml:space="preserve"> </w:t>
      </w:r>
    </w:p>
    <w:p w:rsidR="00F15F07" w:rsidRPr="00B774CB" w:rsidRDefault="00F15F07" w:rsidP="00122820">
      <w:pPr>
        <w:jc w:val="both"/>
        <w:rPr>
          <w:rFonts w:eastAsia="Times New Roman"/>
          <w:szCs w:val="24"/>
        </w:rPr>
      </w:pPr>
    </w:p>
    <w:p w:rsidR="00F15F07" w:rsidRPr="00B774CB" w:rsidRDefault="00F15F07" w:rsidP="00F15F07">
      <w:pPr>
        <w:pStyle w:val="ListParagraph"/>
        <w:numPr>
          <w:ilvl w:val="0"/>
          <w:numId w:val="46"/>
        </w:numPr>
        <w:spacing w:after="160" w:line="256" w:lineRule="auto"/>
        <w:ind w:leftChars="0"/>
        <w:contextualSpacing/>
        <w:jc w:val="both"/>
        <w:rPr>
          <w:szCs w:val="24"/>
        </w:rPr>
      </w:pPr>
      <w:r w:rsidRPr="00B774CB">
        <w:rPr>
          <w:i/>
          <w:szCs w:val="24"/>
        </w:rPr>
        <w:t>Initial approval</w:t>
      </w:r>
      <w:r w:rsidRPr="00B774CB">
        <w:rPr>
          <w:szCs w:val="24"/>
        </w:rPr>
        <w:t xml:space="preserve">  (when applicable)*</w:t>
      </w:r>
    </w:p>
    <w:p w:rsidR="00F15F07" w:rsidRPr="00B774CB" w:rsidRDefault="00F15F07" w:rsidP="00F15F07">
      <w:pPr>
        <w:pStyle w:val="ListParagraph"/>
        <w:numPr>
          <w:ilvl w:val="0"/>
          <w:numId w:val="46"/>
        </w:numPr>
        <w:spacing w:after="160" w:line="256" w:lineRule="auto"/>
        <w:ind w:leftChars="0"/>
        <w:contextualSpacing/>
        <w:jc w:val="both"/>
        <w:rPr>
          <w:szCs w:val="24"/>
        </w:rPr>
      </w:pPr>
      <w:r w:rsidRPr="00B774CB">
        <w:rPr>
          <w:i/>
          <w:szCs w:val="24"/>
        </w:rPr>
        <w:lastRenderedPageBreak/>
        <w:t>Expanded/Broadened  indication</w:t>
      </w:r>
      <w:r w:rsidRPr="00B774CB">
        <w:rPr>
          <w:szCs w:val="24"/>
        </w:rPr>
        <w:t>**</w:t>
      </w:r>
    </w:p>
    <w:p w:rsidR="00F15F07" w:rsidRPr="00B774CB" w:rsidRDefault="00F15F07" w:rsidP="00F15F07">
      <w:pPr>
        <w:pStyle w:val="ListParagraph"/>
        <w:numPr>
          <w:ilvl w:val="0"/>
          <w:numId w:val="46"/>
        </w:numPr>
        <w:spacing w:after="160" w:line="256" w:lineRule="auto"/>
        <w:ind w:leftChars="0"/>
        <w:contextualSpacing/>
        <w:jc w:val="both"/>
        <w:rPr>
          <w:szCs w:val="24"/>
        </w:rPr>
      </w:pPr>
      <w:r w:rsidRPr="00B774CB">
        <w:rPr>
          <w:i/>
          <w:szCs w:val="24"/>
        </w:rPr>
        <w:t xml:space="preserve">Post-market study </w:t>
      </w:r>
    </w:p>
    <w:p w:rsidR="00F15F07" w:rsidRPr="00B774CB" w:rsidRDefault="00F15F07" w:rsidP="00F15F07">
      <w:pPr>
        <w:pStyle w:val="ListParagraph"/>
        <w:numPr>
          <w:ilvl w:val="0"/>
          <w:numId w:val="46"/>
        </w:numPr>
        <w:spacing w:after="160" w:line="256" w:lineRule="auto"/>
        <w:ind w:leftChars="0"/>
        <w:contextualSpacing/>
        <w:jc w:val="both"/>
        <w:rPr>
          <w:szCs w:val="24"/>
        </w:rPr>
      </w:pPr>
      <w:r w:rsidRPr="00B774CB">
        <w:rPr>
          <w:i/>
          <w:szCs w:val="24"/>
        </w:rPr>
        <w:t xml:space="preserve">Post-market surveillance </w:t>
      </w:r>
    </w:p>
    <w:p w:rsidR="00F15F07" w:rsidRPr="00B774CB" w:rsidRDefault="00F15F07" w:rsidP="00F15F07">
      <w:pPr>
        <w:pStyle w:val="ListParagraph"/>
        <w:numPr>
          <w:ilvl w:val="0"/>
          <w:numId w:val="46"/>
        </w:numPr>
        <w:spacing w:after="160" w:line="256" w:lineRule="auto"/>
        <w:ind w:leftChars="0"/>
        <w:contextualSpacing/>
        <w:jc w:val="both"/>
        <w:rPr>
          <w:szCs w:val="24"/>
        </w:rPr>
      </w:pPr>
      <w:r w:rsidRPr="00B774CB">
        <w:rPr>
          <w:i/>
          <w:szCs w:val="24"/>
        </w:rPr>
        <w:t xml:space="preserve">Objective Performance Criteria/ Performance Goals - OPCs/PGs </w:t>
      </w:r>
    </w:p>
    <w:p w:rsidR="00F15F07" w:rsidRPr="00B774CB" w:rsidRDefault="00F15F07" w:rsidP="00F15F07">
      <w:pPr>
        <w:pStyle w:val="ListParagraph"/>
        <w:numPr>
          <w:ilvl w:val="0"/>
          <w:numId w:val="46"/>
        </w:numPr>
        <w:spacing w:after="160" w:line="256" w:lineRule="auto"/>
        <w:ind w:leftChars="0"/>
        <w:contextualSpacing/>
        <w:jc w:val="both"/>
        <w:rPr>
          <w:lang w:eastAsia="ja-JP"/>
        </w:rPr>
      </w:pPr>
      <w:r w:rsidRPr="00B774CB">
        <w:rPr>
          <w:i/>
          <w:szCs w:val="24"/>
        </w:rPr>
        <w:t xml:space="preserve">Device tracking </w:t>
      </w:r>
    </w:p>
    <w:p w:rsidR="00F15F07" w:rsidRPr="00B774CB" w:rsidRDefault="00F15F07" w:rsidP="00EA0883">
      <w:pPr>
        <w:pStyle w:val="ListParagraph"/>
        <w:numPr>
          <w:ilvl w:val="0"/>
          <w:numId w:val="46"/>
        </w:numPr>
        <w:spacing w:after="160" w:line="256" w:lineRule="auto"/>
        <w:ind w:leftChars="0"/>
        <w:contextualSpacing/>
        <w:jc w:val="both"/>
        <w:rPr>
          <w:lang w:eastAsia="ja-JP"/>
        </w:rPr>
      </w:pPr>
      <w:r w:rsidRPr="00B774CB">
        <w:rPr>
          <w:i/>
          <w:szCs w:val="24"/>
        </w:rPr>
        <w:t>Field safety corrective actions</w:t>
      </w:r>
      <w:r w:rsidRPr="00B774CB">
        <w:rPr>
          <w:szCs w:val="24"/>
        </w:rPr>
        <w:t xml:space="preserve"> </w:t>
      </w:r>
    </w:p>
    <w:p w:rsidR="00F15F07" w:rsidRPr="00B774CB" w:rsidRDefault="00F15F07" w:rsidP="00F15F07">
      <w:pPr>
        <w:ind w:leftChars="150" w:left="709" w:hangingChars="166" w:hanging="349"/>
        <w:rPr>
          <w:sz w:val="21"/>
          <w:szCs w:val="21"/>
        </w:rPr>
      </w:pPr>
      <w:r w:rsidRPr="00B774CB">
        <w:rPr>
          <w:sz w:val="21"/>
          <w:szCs w:val="21"/>
        </w:rPr>
        <w:t>*:</w:t>
      </w:r>
      <w:r w:rsidRPr="00B774CB">
        <w:rPr>
          <w:sz w:val="21"/>
          <w:szCs w:val="21"/>
        </w:rPr>
        <w:tab/>
      </w:r>
      <w:r w:rsidRPr="00B774CB">
        <w:rPr>
          <w:color w:val="000000"/>
          <w:sz w:val="21"/>
          <w:szCs w:val="21"/>
        </w:rPr>
        <w:t xml:space="preserve"> Situations where registry data are used for purposes of initial approval are likely to be narrow at present, and include use as a concurrent control group for a clinical trial or for an orphan disease or device.</w:t>
      </w:r>
    </w:p>
    <w:p w:rsidR="00F15F07" w:rsidRPr="00B774CB" w:rsidRDefault="00F15F07" w:rsidP="00F15F07">
      <w:pPr>
        <w:ind w:leftChars="150" w:left="709" w:hangingChars="166" w:hanging="349"/>
        <w:rPr>
          <w:sz w:val="21"/>
          <w:szCs w:val="21"/>
        </w:rPr>
      </w:pPr>
      <w:r w:rsidRPr="00B774CB">
        <w:rPr>
          <w:sz w:val="21"/>
          <w:szCs w:val="21"/>
        </w:rPr>
        <w:t xml:space="preserve">**: </w:t>
      </w:r>
      <w:r w:rsidRPr="00B774CB">
        <w:rPr>
          <w:sz w:val="21"/>
          <w:szCs w:val="21"/>
        </w:rPr>
        <w:tab/>
        <w:t>While the clinical data collected in registries can involve unapproved uses of marketed devices (“off-label use”), this document does not explicitly encourage such off-label use beyond that which would occur as part of standard clinical practice.  Systematic collection of clinical data involving off-label use should comply with any relevant regulations in a given jurisdiction.</w:t>
      </w:r>
    </w:p>
    <w:p w:rsidR="00F15F07" w:rsidRPr="00B774CB" w:rsidRDefault="00F15F07" w:rsidP="00FC4DE8">
      <w:pPr>
        <w:jc w:val="both"/>
        <w:rPr>
          <w:rFonts w:eastAsia="Times New Roman"/>
          <w:szCs w:val="24"/>
        </w:rPr>
      </w:pPr>
    </w:p>
    <w:p w:rsidR="00F15F07" w:rsidRPr="00B774CB" w:rsidRDefault="00F15F07" w:rsidP="00F15F07">
      <w:r w:rsidRPr="00B774CB">
        <w:t>The categories listed above may be partially overlapping, such as with post-market studies and post-market surveillance.  Further, the general categories may have variations in definition across disparate regulatory bodies.</w:t>
      </w:r>
    </w:p>
    <w:p w:rsidR="00F15F07" w:rsidRPr="00B774CB" w:rsidRDefault="00F15F07" w:rsidP="00F15F07">
      <w:pPr>
        <w:ind w:left="360"/>
      </w:pPr>
    </w:p>
    <w:p w:rsidR="004658BA" w:rsidRPr="00B774CB" w:rsidRDefault="00B738D5" w:rsidP="00FC4DE8">
      <w:pPr>
        <w:jc w:val="both"/>
        <w:rPr>
          <w:rFonts w:eastAsia="Times New Roman"/>
          <w:szCs w:val="24"/>
        </w:rPr>
      </w:pPr>
      <w:r w:rsidRPr="00B774CB">
        <w:rPr>
          <w:rFonts w:eastAsia="Times New Roman"/>
          <w:szCs w:val="24"/>
        </w:rPr>
        <w:t xml:space="preserve">These </w:t>
      </w:r>
      <w:r w:rsidR="00A530BB" w:rsidRPr="00B774CB">
        <w:rPr>
          <w:rFonts w:eastAsia="Times New Roman"/>
          <w:szCs w:val="24"/>
        </w:rPr>
        <w:t xml:space="preserve">seven </w:t>
      </w:r>
      <w:r w:rsidR="00E26657" w:rsidRPr="00B774CB">
        <w:rPr>
          <w:rFonts w:eastAsia="Times New Roman"/>
          <w:szCs w:val="24"/>
        </w:rPr>
        <w:t xml:space="preserve">categories </w:t>
      </w:r>
      <w:r w:rsidRPr="00B774CB">
        <w:rPr>
          <w:rFonts w:eastAsia="Times New Roman"/>
          <w:szCs w:val="24"/>
        </w:rPr>
        <w:t xml:space="preserve">have different requirements in terms of </w:t>
      </w:r>
      <w:r w:rsidR="002E40C9" w:rsidRPr="00B774CB">
        <w:rPr>
          <w:rFonts w:eastAsia="Times New Roman"/>
          <w:szCs w:val="24"/>
        </w:rPr>
        <w:t>robustness</w:t>
      </w:r>
      <w:r w:rsidRPr="00B774CB">
        <w:rPr>
          <w:rFonts w:eastAsia="Times New Roman"/>
          <w:szCs w:val="24"/>
        </w:rPr>
        <w:t xml:space="preserve"> of registry processes. For example, using registry data to </w:t>
      </w:r>
      <w:r w:rsidR="00BF0F0A" w:rsidRPr="00B774CB">
        <w:rPr>
          <w:rFonts w:eastAsia="Times New Roman"/>
          <w:szCs w:val="24"/>
        </w:rPr>
        <w:t xml:space="preserve">obtain </w:t>
      </w:r>
      <w:r w:rsidR="00E26657" w:rsidRPr="00B774CB">
        <w:rPr>
          <w:rFonts w:eastAsia="Times New Roman"/>
          <w:szCs w:val="24"/>
        </w:rPr>
        <w:t xml:space="preserve">initial </w:t>
      </w:r>
      <w:r w:rsidR="00BF0F0A" w:rsidRPr="00B774CB">
        <w:rPr>
          <w:rFonts w:eastAsia="Times New Roman"/>
          <w:szCs w:val="24"/>
        </w:rPr>
        <w:t xml:space="preserve">approval of </w:t>
      </w:r>
      <w:r w:rsidR="003040CC" w:rsidRPr="00B774CB">
        <w:rPr>
          <w:rFonts w:eastAsia="Times New Roman"/>
          <w:szCs w:val="24"/>
        </w:rPr>
        <w:t>indication</w:t>
      </w:r>
      <w:r w:rsidRPr="00B774CB">
        <w:rPr>
          <w:rFonts w:eastAsia="Times New Roman"/>
          <w:szCs w:val="24"/>
        </w:rPr>
        <w:t xml:space="preserve"> for the device might require </w:t>
      </w:r>
      <w:r w:rsidR="003040CC" w:rsidRPr="00B774CB">
        <w:rPr>
          <w:rFonts w:eastAsia="Times New Roman"/>
          <w:szCs w:val="24"/>
        </w:rPr>
        <w:t>accurate and reliabl</w:t>
      </w:r>
      <w:r w:rsidRPr="00B774CB">
        <w:rPr>
          <w:rFonts w:eastAsia="Times New Roman"/>
          <w:szCs w:val="24"/>
        </w:rPr>
        <w:t>e patient data</w:t>
      </w:r>
      <w:r w:rsidR="003040CC" w:rsidRPr="00B774CB">
        <w:rPr>
          <w:rFonts w:eastAsia="Times New Roman"/>
          <w:szCs w:val="24"/>
        </w:rPr>
        <w:t xml:space="preserve"> capture, </w:t>
      </w:r>
      <w:r w:rsidRPr="00B774CB">
        <w:rPr>
          <w:rFonts w:eastAsia="Times New Roman"/>
          <w:szCs w:val="24"/>
        </w:rPr>
        <w:t xml:space="preserve">using </w:t>
      </w:r>
      <w:r w:rsidR="003040CC" w:rsidRPr="00B774CB">
        <w:rPr>
          <w:rFonts w:eastAsia="Times New Roman"/>
          <w:szCs w:val="24"/>
        </w:rPr>
        <w:t xml:space="preserve">robust study designs, at clinically relevant time intervals throughout the appropriate portions of the device lifecycle, and </w:t>
      </w:r>
      <w:r w:rsidRPr="00B774CB">
        <w:rPr>
          <w:rFonts w:eastAsia="Times New Roman"/>
          <w:szCs w:val="24"/>
        </w:rPr>
        <w:t xml:space="preserve">data should be </w:t>
      </w:r>
      <w:r w:rsidR="003040CC" w:rsidRPr="00B774CB">
        <w:rPr>
          <w:rFonts w:eastAsia="Times New Roman"/>
          <w:szCs w:val="24"/>
        </w:rPr>
        <w:t xml:space="preserve">analyzed with appropriate </w:t>
      </w:r>
      <w:r w:rsidRPr="00B774CB">
        <w:rPr>
          <w:rFonts w:eastAsia="Times New Roman"/>
          <w:szCs w:val="24"/>
        </w:rPr>
        <w:t xml:space="preserve">statistical </w:t>
      </w:r>
      <w:r w:rsidR="003040CC" w:rsidRPr="00B774CB">
        <w:rPr>
          <w:rFonts w:eastAsia="Times New Roman"/>
          <w:szCs w:val="24"/>
        </w:rPr>
        <w:t>methods for addressing the pertinent scientific questions</w:t>
      </w:r>
      <w:r w:rsidR="004658BA" w:rsidRPr="00B774CB">
        <w:rPr>
          <w:rFonts w:eastAsia="Times New Roman"/>
          <w:szCs w:val="24"/>
        </w:rPr>
        <w:t xml:space="preserve"> relevant for the decision making. </w:t>
      </w:r>
      <w:r w:rsidRPr="00B774CB">
        <w:rPr>
          <w:rFonts w:eastAsia="Times New Roman"/>
          <w:szCs w:val="24"/>
        </w:rPr>
        <w:t>On the other hand</w:t>
      </w:r>
      <w:r w:rsidR="00BF0F0A" w:rsidRPr="00B774CB">
        <w:rPr>
          <w:rFonts w:eastAsia="Times New Roman"/>
          <w:szCs w:val="24"/>
        </w:rPr>
        <w:t xml:space="preserve">, </w:t>
      </w:r>
      <w:r w:rsidR="003040CC" w:rsidRPr="00B774CB">
        <w:rPr>
          <w:rFonts w:eastAsia="Times New Roman"/>
          <w:szCs w:val="24"/>
        </w:rPr>
        <w:t>registry</w:t>
      </w:r>
      <w:r w:rsidR="00033D89" w:rsidRPr="00B774CB">
        <w:rPr>
          <w:rFonts w:eastAsia="Times New Roman"/>
          <w:szCs w:val="24"/>
        </w:rPr>
        <w:t>-</w:t>
      </w:r>
      <w:r w:rsidR="004658BA" w:rsidRPr="00B774CB">
        <w:rPr>
          <w:rFonts w:eastAsia="Times New Roman"/>
          <w:szCs w:val="24"/>
        </w:rPr>
        <w:t xml:space="preserve">generated </w:t>
      </w:r>
      <w:r w:rsidR="003040CC" w:rsidRPr="00B774CB">
        <w:rPr>
          <w:rFonts w:eastAsia="Times New Roman"/>
          <w:szCs w:val="24"/>
        </w:rPr>
        <w:t xml:space="preserve">data </w:t>
      </w:r>
      <w:r w:rsidRPr="00B774CB">
        <w:rPr>
          <w:rFonts w:eastAsia="Times New Roman"/>
          <w:szCs w:val="24"/>
        </w:rPr>
        <w:t xml:space="preserve">not </w:t>
      </w:r>
      <w:r w:rsidR="00E26657" w:rsidRPr="00B774CB">
        <w:rPr>
          <w:rFonts w:eastAsia="Times New Roman"/>
          <w:szCs w:val="24"/>
        </w:rPr>
        <w:t xml:space="preserve">used for the primary </w:t>
      </w:r>
      <w:proofErr w:type="gramStart"/>
      <w:r w:rsidR="00E26657" w:rsidRPr="00B774CB">
        <w:rPr>
          <w:rFonts w:eastAsia="Times New Roman"/>
          <w:szCs w:val="24"/>
        </w:rPr>
        <w:t xml:space="preserve">indication </w:t>
      </w:r>
      <w:r w:rsidRPr="00B774CB">
        <w:rPr>
          <w:rFonts w:eastAsia="Times New Roman"/>
          <w:szCs w:val="24"/>
        </w:rPr>
        <w:t xml:space="preserve"> might</w:t>
      </w:r>
      <w:proofErr w:type="gramEnd"/>
      <w:r w:rsidRPr="00B774CB">
        <w:rPr>
          <w:rFonts w:eastAsia="Times New Roman"/>
          <w:szCs w:val="24"/>
        </w:rPr>
        <w:t xml:space="preserve"> be</w:t>
      </w:r>
      <w:r w:rsidR="004658BA" w:rsidRPr="00B774CB">
        <w:rPr>
          <w:rFonts w:eastAsia="Times New Roman"/>
          <w:szCs w:val="24"/>
        </w:rPr>
        <w:t xml:space="preserve"> </w:t>
      </w:r>
      <w:r w:rsidR="003040CC" w:rsidRPr="00B774CB">
        <w:rPr>
          <w:rFonts w:eastAsia="Times New Roman"/>
          <w:szCs w:val="24"/>
        </w:rPr>
        <w:t>able to support</w:t>
      </w:r>
      <w:r w:rsidR="004658BA" w:rsidRPr="00B774CB">
        <w:rPr>
          <w:rFonts w:eastAsia="Times New Roman"/>
          <w:szCs w:val="24"/>
        </w:rPr>
        <w:t xml:space="preserve"> </w:t>
      </w:r>
      <w:r w:rsidR="003040CC" w:rsidRPr="00B774CB">
        <w:rPr>
          <w:rFonts w:eastAsia="Times New Roman"/>
          <w:szCs w:val="24"/>
        </w:rPr>
        <w:t>broadening the indications for use of already approved devices. Further, registry data may serve as</w:t>
      </w:r>
      <w:r w:rsidR="00976DEB" w:rsidRPr="00B774CB">
        <w:rPr>
          <w:rFonts w:eastAsia="Times New Roman"/>
          <w:szCs w:val="24"/>
        </w:rPr>
        <w:t xml:space="preserve"> a</w:t>
      </w:r>
      <w:r w:rsidR="003040CC" w:rsidRPr="00B774CB">
        <w:rPr>
          <w:rFonts w:eastAsia="Times New Roman"/>
          <w:szCs w:val="24"/>
        </w:rPr>
        <w:t xml:space="preserve"> </w:t>
      </w:r>
      <w:proofErr w:type="spellStart"/>
      <w:r w:rsidR="003040CC" w:rsidRPr="00B774CB">
        <w:rPr>
          <w:rFonts w:eastAsia="Times New Roman"/>
          <w:szCs w:val="24"/>
        </w:rPr>
        <w:t>postmarket</w:t>
      </w:r>
      <w:proofErr w:type="spellEnd"/>
      <w:r w:rsidR="003040CC" w:rsidRPr="00B774CB">
        <w:rPr>
          <w:rFonts w:eastAsia="Times New Roman"/>
          <w:szCs w:val="24"/>
        </w:rPr>
        <w:t xml:space="preserve"> control suitable for providing ongoing information for safety surveillance and for effectiveness. </w:t>
      </w:r>
    </w:p>
    <w:p w:rsidR="004658BA" w:rsidRPr="00B774CB" w:rsidRDefault="004658BA" w:rsidP="00FC4DE8">
      <w:pPr>
        <w:jc w:val="both"/>
        <w:rPr>
          <w:rFonts w:eastAsia="Times New Roman"/>
          <w:szCs w:val="24"/>
        </w:rPr>
      </w:pPr>
    </w:p>
    <w:p w:rsidR="00A50353" w:rsidRPr="00B774CB" w:rsidRDefault="00B738D5" w:rsidP="00FC4DE8">
      <w:pPr>
        <w:jc w:val="both"/>
        <w:rPr>
          <w:color w:val="000000"/>
        </w:rPr>
      </w:pPr>
      <w:r w:rsidRPr="00B774CB">
        <w:rPr>
          <w:rFonts w:eastAsia="Calibri"/>
          <w:szCs w:val="24"/>
        </w:rPr>
        <w:t>In general, l</w:t>
      </w:r>
      <w:r w:rsidR="003040CC" w:rsidRPr="00B774CB">
        <w:rPr>
          <w:rFonts w:eastAsia="Calibri"/>
          <w:szCs w:val="24"/>
        </w:rPr>
        <w:t xml:space="preserve">evels of evidence needed to support the regulatory decisions in each </w:t>
      </w:r>
      <w:r w:rsidR="00976DEB" w:rsidRPr="00B774CB">
        <w:rPr>
          <w:rFonts w:eastAsia="Calibri"/>
          <w:szCs w:val="24"/>
        </w:rPr>
        <w:t xml:space="preserve">use </w:t>
      </w:r>
      <w:r w:rsidR="004658BA" w:rsidRPr="00B774CB">
        <w:rPr>
          <w:rFonts w:eastAsia="Calibri"/>
          <w:szCs w:val="24"/>
        </w:rPr>
        <w:t xml:space="preserve">range from </w:t>
      </w:r>
      <w:r w:rsidR="007E2738" w:rsidRPr="00B774CB">
        <w:rPr>
          <w:rFonts w:eastAsia="Calibri"/>
          <w:szCs w:val="24"/>
        </w:rPr>
        <w:t xml:space="preserve">the </w:t>
      </w:r>
      <w:r w:rsidR="004658BA" w:rsidRPr="00B774CB">
        <w:rPr>
          <w:rFonts w:eastAsia="Calibri"/>
          <w:szCs w:val="24"/>
        </w:rPr>
        <w:t>m</w:t>
      </w:r>
      <w:r w:rsidR="003040CC" w:rsidRPr="00B774CB">
        <w:rPr>
          <w:rFonts w:eastAsia="Calibri"/>
          <w:szCs w:val="24"/>
        </w:rPr>
        <w:t xml:space="preserve">ost robust </w:t>
      </w:r>
      <w:r w:rsidR="007E2738" w:rsidRPr="00B774CB">
        <w:rPr>
          <w:rFonts w:eastAsia="Calibri"/>
          <w:szCs w:val="24"/>
        </w:rPr>
        <w:t xml:space="preserve">of </w:t>
      </w:r>
      <w:r w:rsidR="003040CC" w:rsidRPr="00B774CB">
        <w:rPr>
          <w:rFonts w:eastAsia="Calibri"/>
          <w:szCs w:val="24"/>
        </w:rPr>
        <w:t xml:space="preserve">evidence for </w:t>
      </w:r>
      <w:r w:rsidR="00EE2B1B" w:rsidRPr="00B774CB">
        <w:rPr>
          <w:rFonts w:eastAsia="Calibri"/>
          <w:szCs w:val="24"/>
        </w:rPr>
        <w:t xml:space="preserve">initial </w:t>
      </w:r>
      <w:r w:rsidR="003040CC" w:rsidRPr="00B774CB">
        <w:rPr>
          <w:rFonts w:eastAsia="Calibri"/>
          <w:szCs w:val="24"/>
        </w:rPr>
        <w:t xml:space="preserve">indications to </w:t>
      </w:r>
      <w:r w:rsidR="004658BA" w:rsidRPr="00B774CB">
        <w:rPr>
          <w:rFonts w:eastAsia="Calibri"/>
          <w:szCs w:val="24"/>
        </w:rPr>
        <w:t xml:space="preserve">a </w:t>
      </w:r>
      <w:r w:rsidR="003040CC" w:rsidRPr="00B774CB">
        <w:rPr>
          <w:rFonts w:eastAsia="Calibri"/>
          <w:szCs w:val="24"/>
        </w:rPr>
        <w:t xml:space="preserve">less </w:t>
      </w:r>
      <w:r w:rsidR="00EE2B1B" w:rsidRPr="00B774CB">
        <w:rPr>
          <w:rFonts w:eastAsia="Calibri"/>
          <w:szCs w:val="24"/>
        </w:rPr>
        <w:t>robust</w:t>
      </w:r>
      <w:r w:rsidR="007E2738" w:rsidRPr="00B774CB">
        <w:rPr>
          <w:rFonts w:eastAsia="Calibri"/>
          <w:szCs w:val="24"/>
        </w:rPr>
        <w:t xml:space="preserve"> </w:t>
      </w:r>
      <w:proofErr w:type="gramStart"/>
      <w:r w:rsidR="007E2738" w:rsidRPr="00B774CB">
        <w:rPr>
          <w:rFonts w:eastAsia="Calibri"/>
          <w:szCs w:val="24"/>
        </w:rPr>
        <w:t xml:space="preserve">level </w:t>
      </w:r>
      <w:r w:rsidR="00EE2B1B" w:rsidRPr="00B774CB">
        <w:rPr>
          <w:rFonts w:eastAsia="Calibri"/>
          <w:szCs w:val="24"/>
        </w:rPr>
        <w:t xml:space="preserve"> </w:t>
      </w:r>
      <w:r w:rsidR="003040CC" w:rsidRPr="00B774CB">
        <w:rPr>
          <w:rFonts w:eastAsia="Calibri"/>
          <w:szCs w:val="24"/>
        </w:rPr>
        <w:t>when</w:t>
      </w:r>
      <w:proofErr w:type="gramEnd"/>
      <w:r w:rsidR="003040CC" w:rsidRPr="00B774CB">
        <w:rPr>
          <w:rFonts w:eastAsia="Calibri"/>
          <w:szCs w:val="24"/>
        </w:rPr>
        <w:t xml:space="preserve"> used to support </w:t>
      </w:r>
      <w:r w:rsidR="004658BA" w:rsidRPr="00B774CB">
        <w:rPr>
          <w:rFonts w:eastAsia="Calibri"/>
          <w:szCs w:val="24"/>
        </w:rPr>
        <w:t>device surveillance</w:t>
      </w:r>
      <w:r w:rsidR="00BF0F0A" w:rsidRPr="00B774CB">
        <w:rPr>
          <w:rFonts w:eastAsia="Calibri"/>
          <w:szCs w:val="24"/>
        </w:rPr>
        <w:t xml:space="preserve"> efforts</w:t>
      </w:r>
      <w:r w:rsidR="004658BA" w:rsidRPr="00B774CB">
        <w:rPr>
          <w:rFonts w:eastAsia="Calibri"/>
          <w:szCs w:val="24"/>
        </w:rPr>
        <w:t xml:space="preserve">. </w:t>
      </w:r>
    </w:p>
    <w:p w:rsidR="003040CC" w:rsidRPr="00B774CB" w:rsidRDefault="003040CC" w:rsidP="00FC4DE8">
      <w:pPr>
        <w:jc w:val="both"/>
        <w:rPr>
          <w:color w:val="000000"/>
        </w:rPr>
      </w:pPr>
    </w:p>
    <w:p w:rsidR="004D3D89" w:rsidRPr="00B774CB" w:rsidRDefault="003040CC" w:rsidP="004D3D89">
      <w:pPr>
        <w:jc w:val="both"/>
        <w:rPr>
          <w:rFonts w:eastAsia="Times New Roman"/>
        </w:rPr>
      </w:pPr>
      <w:r w:rsidRPr="00B774CB">
        <w:rPr>
          <w:szCs w:val="24"/>
        </w:rPr>
        <w:t>Th</w:t>
      </w:r>
      <w:r w:rsidR="002E40C9" w:rsidRPr="00B774CB">
        <w:rPr>
          <w:szCs w:val="24"/>
        </w:rPr>
        <w:t>e</w:t>
      </w:r>
      <w:r w:rsidRPr="00B774CB">
        <w:rPr>
          <w:szCs w:val="24"/>
        </w:rPr>
        <w:t xml:space="preserve"> assessment </w:t>
      </w:r>
      <w:r w:rsidR="002E40C9" w:rsidRPr="00B774CB">
        <w:rPr>
          <w:szCs w:val="24"/>
        </w:rPr>
        <w:t>elements described in this document</w:t>
      </w:r>
      <w:r w:rsidR="00C33D61" w:rsidRPr="00B774CB">
        <w:rPr>
          <w:szCs w:val="24"/>
        </w:rPr>
        <w:t xml:space="preserve"> for </w:t>
      </w:r>
      <w:r w:rsidR="002B6ACC" w:rsidRPr="00B774CB">
        <w:rPr>
          <w:szCs w:val="24"/>
        </w:rPr>
        <w:t xml:space="preserve">usability </w:t>
      </w:r>
      <w:r w:rsidR="00C33D61" w:rsidRPr="00B774CB">
        <w:rPr>
          <w:szCs w:val="24"/>
        </w:rPr>
        <w:t xml:space="preserve">of registries for regulatory decision making builds on the composite of key </w:t>
      </w:r>
      <w:r w:rsidRPr="00B774CB">
        <w:rPr>
          <w:szCs w:val="24"/>
        </w:rPr>
        <w:t xml:space="preserve">registry </w:t>
      </w:r>
      <w:r w:rsidR="00C33D61" w:rsidRPr="00B774CB">
        <w:rPr>
          <w:szCs w:val="24"/>
        </w:rPr>
        <w:t>attributes and recommendations identified in the previous IMDRF</w:t>
      </w:r>
      <w:r w:rsidR="00980B0E" w:rsidRPr="00B774CB">
        <w:rPr>
          <w:szCs w:val="24"/>
        </w:rPr>
        <w:t xml:space="preserve"> registry principle documents. </w:t>
      </w:r>
      <w:r w:rsidR="00C33D61" w:rsidRPr="00B774CB">
        <w:rPr>
          <w:szCs w:val="24"/>
        </w:rPr>
        <w:t>The</w:t>
      </w:r>
      <w:r w:rsidR="002E40C9" w:rsidRPr="00B774CB">
        <w:rPr>
          <w:szCs w:val="24"/>
        </w:rPr>
        <w:t xml:space="preserve">se </w:t>
      </w:r>
      <w:r w:rsidR="00C33D61" w:rsidRPr="00B774CB">
        <w:rPr>
          <w:szCs w:val="24"/>
        </w:rPr>
        <w:t xml:space="preserve">include </w:t>
      </w:r>
      <w:bookmarkStart w:id="10" w:name="_Toc485898600"/>
      <w:r w:rsidR="004D3D89" w:rsidRPr="00B774CB">
        <w:rPr>
          <w:szCs w:val="24"/>
        </w:rPr>
        <w:t>(a) Device i</w:t>
      </w:r>
      <w:r w:rsidR="00EE2B1B" w:rsidRPr="00B774CB">
        <w:rPr>
          <w:szCs w:val="24"/>
        </w:rPr>
        <w:t xml:space="preserve">dentification </w:t>
      </w:r>
      <w:r w:rsidR="004D3D89" w:rsidRPr="00B774CB">
        <w:rPr>
          <w:szCs w:val="24"/>
        </w:rPr>
        <w:t xml:space="preserve">(b) Quality and methodological processes leading to actionable data; (c) Transparency/ Governance, and (d) </w:t>
      </w:r>
      <w:proofErr w:type="spellStart"/>
      <w:r w:rsidR="004D3D89" w:rsidRPr="00B774CB">
        <w:rPr>
          <w:szCs w:val="24"/>
        </w:rPr>
        <w:t>Linkability</w:t>
      </w:r>
      <w:proofErr w:type="spellEnd"/>
      <w:r w:rsidR="004D3D89" w:rsidRPr="00B774CB">
        <w:rPr>
          <w:szCs w:val="24"/>
        </w:rPr>
        <w:t xml:space="preserve"> to other data sources.  </w:t>
      </w:r>
      <w:r w:rsidR="004D3D89" w:rsidRPr="00B774CB">
        <w:rPr>
          <w:rFonts w:eastAsia="Times New Roman"/>
        </w:rPr>
        <w:t xml:space="preserve">  </w:t>
      </w:r>
    </w:p>
    <w:p w:rsidR="00C52350" w:rsidRPr="00B774CB" w:rsidRDefault="00C52350" w:rsidP="004D3D89">
      <w:pPr>
        <w:jc w:val="both"/>
        <w:rPr>
          <w:rFonts w:eastAsia="Times New Roman"/>
        </w:rPr>
      </w:pPr>
    </w:p>
    <w:p w:rsidR="001066B8" w:rsidRPr="00B774CB" w:rsidRDefault="00EB5377" w:rsidP="00C13038">
      <w:pPr>
        <w:pStyle w:val="Heading2"/>
      </w:pPr>
      <w:bookmarkStart w:id="11" w:name="_Toc504994043"/>
      <w:r w:rsidRPr="00B774CB">
        <w:t xml:space="preserve">Governance </w:t>
      </w:r>
      <w:r w:rsidR="004F6B64" w:rsidRPr="00B774CB">
        <w:t>structure and processes</w:t>
      </w:r>
      <w:bookmarkEnd w:id="11"/>
      <w:r w:rsidR="004F6B64" w:rsidRPr="00B774CB">
        <w:t xml:space="preserve"> </w:t>
      </w:r>
      <w:r w:rsidR="00DF5802" w:rsidRPr="00B774CB">
        <w:rPr>
          <w:lang w:eastAsia="ja-JP"/>
        </w:rPr>
        <w:t xml:space="preserve"> </w:t>
      </w:r>
    </w:p>
    <w:p w:rsidR="00C52350" w:rsidRPr="00B774CB" w:rsidRDefault="001066B8" w:rsidP="00C52350">
      <w:pPr>
        <w:jc w:val="both"/>
      </w:pPr>
      <w:r w:rsidRPr="00B774CB">
        <w:t>It is important that device registries should have proper governance structures in place in order to ensure that registry conducts/carries out its activities in an appropriate manner, particularly with regard to the handling of information about patients, clinicians, healthcare institutions and manufacturers. This can be achieved by the registry establishing a governance group (</w:t>
      </w:r>
      <w:r w:rsidR="002917DE" w:rsidRPr="00B774CB">
        <w:t xml:space="preserve">e.g. </w:t>
      </w:r>
      <w:r w:rsidRPr="00B774CB">
        <w:t xml:space="preserve">steering committee / board) which sets registry objectives and priorities and which oversees registry </w:t>
      </w:r>
      <w:proofErr w:type="gramStart"/>
      <w:r w:rsidRPr="00B774CB">
        <w:t>activit</w:t>
      </w:r>
      <w:r w:rsidR="002917DE" w:rsidRPr="00B774CB">
        <w:t xml:space="preserve">ies </w:t>
      </w:r>
      <w:r w:rsidRPr="00B774CB">
        <w:t xml:space="preserve"> and</w:t>
      </w:r>
      <w:proofErr w:type="gramEnd"/>
      <w:r w:rsidRPr="00B774CB">
        <w:t xml:space="preserve"> processes. The remit of the governance group should be clearly defined and should be publicly stated on the registry website. Membership of the group should also be made known publicly and should include representatives of all key stakeholders including: patients (e.g</w:t>
      </w:r>
      <w:r w:rsidR="002917DE" w:rsidRPr="00B774CB">
        <w:t>.</w:t>
      </w:r>
      <w:r w:rsidRPr="00B774CB">
        <w:t xml:space="preserve"> via </w:t>
      </w:r>
      <w:r w:rsidRPr="00B774CB">
        <w:lastRenderedPageBreak/>
        <w:t xml:space="preserve">patient groups); clinicians (e.g. via professional bodies); healthcare institutions; manufacturers (e.g. via trade associations), payers and regulators (device and clinical practice). In all aspects of the registry’s work, access to information of a personally or commercially confidential nature should be on a limited basis as </w:t>
      </w:r>
      <w:r w:rsidR="00DF5802" w:rsidRPr="00B774CB">
        <w:t>appropriate</w:t>
      </w:r>
      <w:r w:rsidR="00C52350" w:rsidRPr="00B774CB">
        <w:t>.</w:t>
      </w:r>
    </w:p>
    <w:p w:rsidR="00C52350" w:rsidRPr="00B774CB" w:rsidRDefault="00C52350" w:rsidP="00C52350">
      <w:pPr>
        <w:jc w:val="both"/>
      </w:pPr>
    </w:p>
    <w:p w:rsidR="00082010" w:rsidRPr="00B774CB" w:rsidRDefault="00327AEF" w:rsidP="00C52350">
      <w:pPr>
        <w:pStyle w:val="Heading2"/>
        <w:rPr>
          <w:color w:val="000000"/>
          <w:lang w:eastAsia="ja-JP"/>
        </w:rPr>
      </w:pPr>
      <w:r w:rsidRPr="00B774CB">
        <w:t xml:space="preserve"> </w:t>
      </w:r>
      <w:bookmarkStart w:id="12" w:name="_Toc504994044"/>
      <w:r w:rsidR="000A57BE" w:rsidRPr="00B774CB">
        <w:t>Q</w:t>
      </w:r>
      <w:r w:rsidR="00C52350" w:rsidRPr="00B774CB">
        <w:t>uality</w:t>
      </w:r>
      <w:r w:rsidR="00C52350" w:rsidRPr="00B774CB">
        <w:rPr>
          <w:color w:val="000000"/>
          <w:lang w:eastAsia="ja-JP"/>
        </w:rPr>
        <w:t xml:space="preserve"> </w:t>
      </w:r>
      <w:r w:rsidR="004F6B64" w:rsidRPr="00B774CB">
        <w:rPr>
          <w:color w:val="000000"/>
          <w:lang w:eastAsia="ja-JP"/>
        </w:rPr>
        <w:t>M</w:t>
      </w:r>
      <w:r w:rsidR="00C52350" w:rsidRPr="00B774CB">
        <w:t xml:space="preserve">anagement </w:t>
      </w:r>
      <w:r w:rsidR="004F6B64" w:rsidRPr="00B774CB">
        <w:t>S</w:t>
      </w:r>
      <w:r w:rsidR="00C52350" w:rsidRPr="00B774CB">
        <w:t>ystem</w:t>
      </w:r>
      <w:bookmarkEnd w:id="12"/>
      <w:r w:rsidR="00C52350" w:rsidRPr="00B774CB">
        <w:t xml:space="preserve"> </w:t>
      </w:r>
    </w:p>
    <w:p w:rsidR="005F3D3C" w:rsidRPr="00B774CB" w:rsidRDefault="005F3D3C" w:rsidP="00C13038">
      <w:pPr>
        <w:pStyle w:val="Heading3"/>
        <w:rPr>
          <w:lang w:eastAsia="ja-JP"/>
        </w:rPr>
      </w:pPr>
      <w:bookmarkStart w:id="13" w:name="_Toc500437149"/>
      <w:bookmarkStart w:id="14" w:name="_Toc504994045"/>
      <w:bookmarkEnd w:id="13"/>
      <w:r w:rsidRPr="00B774CB">
        <w:rPr>
          <w:lang w:eastAsia="ja-JP"/>
        </w:rPr>
        <w:t>Legal and Ethical Requirements for Data Collection and Handling</w:t>
      </w:r>
      <w:bookmarkEnd w:id="14"/>
      <w:r w:rsidRPr="00B774CB">
        <w:rPr>
          <w:lang w:eastAsia="ja-JP"/>
        </w:rPr>
        <w:t xml:space="preserve">   </w:t>
      </w:r>
    </w:p>
    <w:p w:rsidR="005F3D3C" w:rsidRPr="00B774CB" w:rsidRDefault="005F3D3C" w:rsidP="002917DE">
      <w:pPr>
        <w:jc w:val="both"/>
        <w:rPr>
          <w:lang w:eastAsia="ja-JP"/>
        </w:rPr>
      </w:pPr>
      <w:r w:rsidRPr="00B774CB">
        <w:rPr>
          <w:color w:val="000000"/>
          <w:lang w:eastAsia="ja-JP"/>
        </w:rPr>
        <w:t xml:space="preserve">It is important that registries comply with national / regional legal requirements for data collection and handling (data protection). Personal information about patients should be treated as confidential at all stages of registry activity and attention should be given to transmission of any personal data (within the registry, linking to other data sources and to third parties), </w:t>
      </w:r>
      <w:r w:rsidR="00E30C31" w:rsidRPr="00B774CB">
        <w:rPr>
          <w:color w:val="000000"/>
          <w:lang w:eastAsia="ja-JP"/>
        </w:rPr>
        <w:t>including</w:t>
      </w:r>
      <w:r w:rsidRPr="00B774CB">
        <w:rPr>
          <w:color w:val="000000"/>
          <w:lang w:eastAsia="ja-JP"/>
        </w:rPr>
        <w:t xml:space="preserve"> on a cross-border basis. Using methods for concealing of personal information should be considered (where appropriate when sharing data) but the methods should not sacrifice longitudinal linkages of individual patient data. The registry should have a documented policy on data collection and handling, which should be agreed by the registry’s governance group. </w:t>
      </w:r>
      <w:r w:rsidRPr="00B774CB">
        <w:rPr>
          <w:szCs w:val="24"/>
        </w:rPr>
        <w:t>As</w:t>
      </w:r>
      <w:r w:rsidRPr="00B774CB">
        <w:rPr>
          <w:color w:val="000000"/>
          <w:lang w:eastAsia="ja-JP"/>
        </w:rPr>
        <w:t xml:space="preserve"> new types of data uses are added, data handling policy should be updated and transparent to the public.</w:t>
      </w:r>
      <w:r w:rsidR="002917DE" w:rsidRPr="00B774CB">
        <w:rPr>
          <w:color w:val="000000"/>
          <w:lang w:eastAsia="ja-JP"/>
        </w:rPr>
        <w:t xml:space="preserve"> </w:t>
      </w:r>
      <w:r w:rsidRPr="00B774CB">
        <w:rPr>
          <w:lang w:eastAsia="ja-JP"/>
        </w:rPr>
        <w:t>Commercial confidentiality should be maintained. Registries should ensure that they do not share data that would lead to misuse or provide a business advantage to one manufacturer over another</w:t>
      </w:r>
      <w:r w:rsidR="00E30C31" w:rsidRPr="00B774CB">
        <w:rPr>
          <w:lang w:eastAsia="ja-JP"/>
        </w:rPr>
        <w:t>.</w:t>
      </w:r>
    </w:p>
    <w:p w:rsidR="00E30C31" w:rsidRPr="00B774CB" w:rsidRDefault="00E30C31" w:rsidP="00E30C31">
      <w:pPr>
        <w:jc w:val="both"/>
        <w:rPr>
          <w:color w:val="000000"/>
          <w:lang w:eastAsia="ja-JP"/>
        </w:rPr>
      </w:pPr>
    </w:p>
    <w:p w:rsidR="00E30C31" w:rsidRPr="00B774CB" w:rsidRDefault="00E30C31" w:rsidP="00E30C31">
      <w:pPr>
        <w:jc w:val="both"/>
        <w:rPr>
          <w:color w:val="000000"/>
          <w:lang w:eastAsia="ja-JP"/>
        </w:rPr>
      </w:pPr>
      <w:r w:rsidRPr="00B774CB">
        <w:rPr>
          <w:color w:val="000000"/>
          <w:lang w:eastAsia="ja-JP"/>
        </w:rPr>
        <w:t>Where consent is required (opt-in / opt-out) the registry should have a specific consent form (or a standardized form of words to be included in the consent documentation for the clinical procedure) which should be published on the registry website along with a clearly worded explanation of the consent requirements and processes. The consent policy should take into account relevant national / regional / international legal requirements including those related to exemption from the need to gain patient consent for data recording and approved by an Ethical Committee / IRB.</w:t>
      </w:r>
      <w:r w:rsidRPr="00B774CB">
        <w:t xml:space="preserve"> </w:t>
      </w:r>
    </w:p>
    <w:p w:rsidR="004F6B64" w:rsidRPr="00B774CB" w:rsidRDefault="004F6B64" w:rsidP="00E30C31">
      <w:pPr>
        <w:rPr>
          <w:color w:val="000000"/>
          <w:lang w:eastAsia="ja-JP"/>
        </w:rPr>
      </w:pPr>
    </w:p>
    <w:p w:rsidR="00E30C31" w:rsidRPr="00B774CB" w:rsidRDefault="00E30C31" w:rsidP="00E30C31">
      <w:pPr>
        <w:rPr>
          <w:color w:val="000000"/>
          <w:lang w:eastAsia="ja-JP"/>
        </w:rPr>
      </w:pPr>
      <w:r w:rsidRPr="00B774CB">
        <w:rPr>
          <w:color w:val="000000"/>
          <w:lang w:eastAsia="ja-JP"/>
        </w:rPr>
        <w:t xml:space="preserve">The form and explanatory information should be in plain language and it should be made available in relevant official languages of the country / region where the registry operates. The registry should take steps to ensure that all of those involved in the process of obtaining patient consent for their information to be included in the registry are aware of the consent requirements and the registry should monitor that they fulfill these requirements. See for example the consent forms plus associated explanatory leaflets for the UK National Joint Registry - </w:t>
      </w:r>
      <w:hyperlink r:id="rId32" w:history="1">
        <w:r w:rsidRPr="00B774CB">
          <w:rPr>
            <w:rStyle w:val="Hyperlink"/>
            <w:lang w:eastAsia="ja-JP"/>
          </w:rPr>
          <w:t>http://www.njrcentre.org.uk/njrcentre/Patients/IntroductiontotheNJR/NJRconsent/tabid/92/Default.aspx</w:t>
        </w:r>
      </w:hyperlink>
    </w:p>
    <w:p w:rsidR="00E30C31" w:rsidRPr="00B774CB" w:rsidRDefault="00E30C31" w:rsidP="005F3D3C">
      <w:pPr>
        <w:rPr>
          <w:lang w:eastAsia="ja-JP"/>
        </w:rPr>
      </w:pPr>
    </w:p>
    <w:p w:rsidR="005F3D3C" w:rsidRPr="00B774CB" w:rsidRDefault="005F3D3C" w:rsidP="005F3D3C">
      <w:pPr>
        <w:rPr>
          <w:color w:val="000000"/>
          <w:lang w:eastAsia="ja-JP"/>
        </w:rPr>
      </w:pPr>
    </w:p>
    <w:p w:rsidR="005F3D3C" w:rsidRPr="00B774CB" w:rsidRDefault="005F3D3C" w:rsidP="00C13038">
      <w:pPr>
        <w:pStyle w:val="Heading3"/>
        <w:rPr>
          <w:lang w:eastAsia="ja-JP"/>
        </w:rPr>
      </w:pPr>
      <w:bookmarkStart w:id="15" w:name="_Toc504994046"/>
      <w:r w:rsidRPr="00B774CB">
        <w:rPr>
          <w:lang w:eastAsia="ja-JP"/>
        </w:rPr>
        <w:t>Policy on Conflict of Interest</w:t>
      </w:r>
      <w:bookmarkEnd w:id="15"/>
      <w:r w:rsidRPr="00B774CB">
        <w:rPr>
          <w:lang w:eastAsia="ja-JP"/>
        </w:rPr>
        <w:t xml:space="preserve">    </w:t>
      </w:r>
    </w:p>
    <w:p w:rsidR="005F3D3C" w:rsidRPr="00B774CB" w:rsidRDefault="005F3D3C" w:rsidP="005F3D3C">
      <w:pPr>
        <w:pStyle w:val="ListParagraph"/>
        <w:ind w:leftChars="0" w:left="0"/>
        <w:jc w:val="both"/>
      </w:pPr>
      <w:r w:rsidRPr="00B774CB">
        <w:t>Conflict of Interest (</w:t>
      </w:r>
      <w:proofErr w:type="spellStart"/>
      <w:r w:rsidRPr="00B774CB">
        <w:t>CoI</w:t>
      </w:r>
      <w:proofErr w:type="spellEnd"/>
      <w:r w:rsidRPr="00B774CB">
        <w:t xml:space="preserve">) potentially influences the collection and analysis of registry data, as well as any decision-making based on such results. As the registry assessment tool is intended to qualify the registry that is utilized to support regulatory decision-making, it is critically important to understand the management of </w:t>
      </w:r>
      <w:proofErr w:type="spellStart"/>
      <w:r w:rsidRPr="00B774CB">
        <w:t>CoI</w:t>
      </w:r>
      <w:proofErr w:type="spellEnd"/>
      <w:r w:rsidRPr="00B774CB">
        <w:t xml:space="preserve"> of the registry should have a policy on the management and disclosure of </w:t>
      </w:r>
      <w:proofErr w:type="spellStart"/>
      <w:r w:rsidRPr="00B774CB">
        <w:t>CoI</w:t>
      </w:r>
      <w:proofErr w:type="spellEnd"/>
      <w:r w:rsidRPr="00B774CB">
        <w:t xml:space="preserve">, which should be agreed to by the registry governance structure and which should be published on the registry’s website). When the data is utilized by stakeholders for assessing the </w:t>
      </w:r>
      <w:r w:rsidRPr="00B774CB">
        <w:lastRenderedPageBreak/>
        <w:t xml:space="preserve">performance of the device, and safety surveillance, members of the Committees or other registry related personnel such as statisticians, epidemiologists, data managers who have a conflict of interest must be excluded from the analysis team. When requested by the stakeholder including the regulatory authority, the information covered by </w:t>
      </w:r>
      <w:proofErr w:type="spellStart"/>
      <w:r w:rsidRPr="00B774CB">
        <w:t>CoI</w:t>
      </w:r>
      <w:proofErr w:type="spellEnd"/>
      <w:r w:rsidRPr="00B774CB">
        <w:t xml:space="preserve"> policy information should be available especially if the data or results of analysis are used to support regulatory decision. </w:t>
      </w:r>
    </w:p>
    <w:p w:rsidR="005F3D3C" w:rsidRPr="00B774CB" w:rsidRDefault="005F3D3C" w:rsidP="00C13038">
      <w:pPr>
        <w:pStyle w:val="Heading3"/>
        <w:rPr>
          <w:lang w:eastAsia="ja-JP"/>
        </w:rPr>
      </w:pPr>
      <w:bookmarkStart w:id="16" w:name="_Toc504994047"/>
      <w:r w:rsidRPr="00B774CB">
        <w:rPr>
          <w:lang w:eastAsia="ja-JP"/>
        </w:rPr>
        <w:t>Policy on Access to Data</w:t>
      </w:r>
      <w:bookmarkEnd w:id="16"/>
      <w:r w:rsidRPr="00B774CB">
        <w:rPr>
          <w:lang w:eastAsia="ja-JP"/>
        </w:rPr>
        <w:t xml:space="preserve"> </w:t>
      </w:r>
    </w:p>
    <w:p w:rsidR="00B876D8" w:rsidRPr="00B774CB" w:rsidRDefault="005F3D3C" w:rsidP="00EA0883">
      <w:pPr>
        <w:spacing w:before="100" w:beforeAutospacing="1" w:after="100" w:afterAutospacing="1"/>
        <w:jc w:val="both"/>
      </w:pPr>
      <w:r w:rsidRPr="00B774CB">
        <w:t xml:space="preserve">The registry should develop a policy and establish procedures governing data access and use. Such policy should identify, for each relevant stakeholder (depending on intended use of the data) the appropriate level of data access. Data stored in the registry should be maintained in the data repository after the data cleaning is conducted. Any change of data must be recorded in the entry log. After cleaning, the data may be accessed by the stakeholders including manufacturer, regulatory authority as well as academic or professional societies upon request. Any request should be reviewed and approved by the data utilization committee (when established) or by the steering committee which determines the appropriateness of the request for data access and use. Since data may include the patient level information and unique device identification information depending upon the nature of the assessment, confidentiality should be maintained. Registry data should be accessible to regulatory bodies in support of regulatory decision-making </w:t>
      </w:r>
      <w:r w:rsidR="00A828E6" w:rsidRPr="00B774CB">
        <w:t>(e.g.</w:t>
      </w:r>
      <w:r w:rsidR="007A39D8">
        <w:t>,</w:t>
      </w:r>
      <w:r w:rsidRPr="00B774CB">
        <w:t xml:space="preserve"> regulators may request data for their analysis, auditing </w:t>
      </w:r>
      <w:proofErr w:type="spellStart"/>
      <w:r w:rsidRPr="00B774CB">
        <w:t>etc</w:t>
      </w:r>
      <w:proofErr w:type="spellEnd"/>
      <w:r w:rsidRPr="00B774CB">
        <w:t>)</w:t>
      </w:r>
      <w:r w:rsidR="007A39D8">
        <w:t>.</w:t>
      </w:r>
    </w:p>
    <w:p w:rsidR="00B876D8" w:rsidRPr="00B774CB" w:rsidRDefault="00B876D8" w:rsidP="00C13038">
      <w:pPr>
        <w:pStyle w:val="Heading3"/>
        <w:numPr>
          <w:ilvl w:val="2"/>
          <w:numId w:val="43"/>
        </w:numPr>
        <w:rPr>
          <w:lang w:eastAsia="ja-JP"/>
        </w:rPr>
      </w:pPr>
      <w:bookmarkStart w:id="17" w:name="_Toc504994048"/>
      <w:r w:rsidRPr="00B774CB">
        <w:rPr>
          <w:lang w:eastAsia="ja-JP"/>
        </w:rPr>
        <w:t>Essential Information Available for Verification by Relevant Authority</w:t>
      </w:r>
      <w:bookmarkEnd w:id="17"/>
      <w:r w:rsidRPr="00B774CB">
        <w:rPr>
          <w:lang w:eastAsia="ja-JP"/>
        </w:rPr>
        <w:t xml:space="preserve"> </w:t>
      </w:r>
    </w:p>
    <w:p w:rsidR="005F3D3C" w:rsidRPr="00B774CB" w:rsidRDefault="00B876D8" w:rsidP="00C13038">
      <w:pPr>
        <w:spacing w:before="100" w:beforeAutospacing="1" w:after="100" w:afterAutospacing="1"/>
        <w:rPr>
          <w:lang w:eastAsia="ja-JP"/>
        </w:rPr>
      </w:pPr>
      <w:r w:rsidRPr="00B774CB">
        <w:rPr>
          <w:lang w:eastAsia="ja-JP"/>
        </w:rPr>
        <w:t xml:space="preserve">Regulatory bodies should be able to verify essential information needed for their decision making. Registries contact information and processes to support data verification should be readily available. Any clinical data used for regulatory processes should be disclosed and can be subject to audit, if the information available in regulatory submission does not cover all relevant questions concerning validity and reliability. </w:t>
      </w:r>
    </w:p>
    <w:p w:rsidR="005F3D3C" w:rsidRPr="00B774CB" w:rsidRDefault="005F3D3C" w:rsidP="00C13038">
      <w:pPr>
        <w:pStyle w:val="Heading2"/>
      </w:pPr>
      <w:bookmarkStart w:id="18" w:name="_Toc504994049"/>
      <w:r w:rsidRPr="00B774CB">
        <w:t>Data gathering</w:t>
      </w:r>
      <w:bookmarkEnd w:id="18"/>
      <w:r w:rsidRPr="00B774CB">
        <w:t xml:space="preserve"> </w:t>
      </w:r>
    </w:p>
    <w:p w:rsidR="00AC5C56" w:rsidRPr="00B774CB" w:rsidRDefault="00AC5C56" w:rsidP="00AC5C56">
      <w:pPr>
        <w:jc w:val="both"/>
        <w:rPr>
          <w:lang w:eastAsia="ja-JP"/>
        </w:rPr>
      </w:pPr>
      <w:r w:rsidRPr="00B774CB">
        <w:rPr>
          <w:rFonts w:eastAsia="Times New Roman"/>
          <w:szCs w:val="24"/>
        </w:rPr>
        <w:t xml:space="preserve">The data collection procedures used for registries should be clearly defined and described in a detailed data management standard operating procedures (SOP) manual.  The records regarding the assessment of adherence to the registry’ s established data quality assurance and quality control policies and </w:t>
      </w:r>
      <w:r w:rsidR="00784FA3" w:rsidRPr="00B774CB">
        <w:rPr>
          <w:rFonts w:eastAsia="Times New Roman"/>
          <w:szCs w:val="24"/>
        </w:rPr>
        <w:t>procedures, the</w:t>
      </w:r>
      <w:r w:rsidRPr="00B774CB">
        <w:rPr>
          <w:rFonts w:eastAsia="Times New Roman"/>
          <w:szCs w:val="24"/>
        </w:rPr>
        <w:t xml:space="preserve"> quality of data element population (e.g., whether abstracted from a verifiable source to assess transcription errors or automatically populated through a data extraction algorithm). </w:t>
      </w:r>
      <w:r w:rsidRPr="00B774CB">
        <w:rPr>
          <w:lang w:eastAsia="ja-JP"/>
        </w:rPr>
        <w:t xml:space="preserve">Summary information related to management and data quality check process should be publicly available describing how potential confounders due to incomplete documentation or data handling processes are managed. </w:t>
      </w:r>
    </w:p>
    <w:p w:rsidR="00AC5C56" w:rsidRPr="00B774CB" w:rsidRDefault="00AC5C56" w:rsidP="00AC5C56">
      <w:pPr>
        <w:rPr>
          <w:lang w:eastAsia="ja-JP"/>
        </w:rPr>
      </w:pPr>
    </w:p>
    <w:p w:rsidR="00A828E6" w:rsidRPr="00B774CB" w:rsidRDefault="00A828E6" w:rsidP="00C13038">
      <w:pPr>
        <w:pStyle w:val="Heading3"/>
        <w:numPr>
          <w:ilvl w:val="2"/>
          <w:numId w:val="41"/>
        </w:numPr>
        <w:rPr>
          <w:lang w:eastAsia="ja-JP"/>
        </w:rPr>
      </w:pPr>
      <w:bookmarkStart w:id="19" w:name="_Toc504994050"/>
      <w:r w:rsidRPr="00B774CB">
        <w:rPr>
          <w:lang w:eastAsia="ja-JP"/>
        </w:rPr>
        <w:t>Relevant Variables</w:t>
      </w:r>
      <w:bookmarkEnd w:id="19"/>
      <w:r w:rsidRPr="00B774CB">
        <w:rPr>
          <w:lang w:eastAsia="ja-JP"/>
        </w:rPr>
        <w:t xml:space="preserve"> </w:t>
      </w:r>
    </w:p>
    <w:p w:rsidR="00FF4CE0" w:rsidRPr="00B774CB" w:rsidRDefault="00FF4CE0" w:rsidP="00FF4CE0">
      <w:pPr>
        <w:jc w:val="both"/>
      </w:pPr>
      <w:r w:rsidRPr="00B774CB">
        <w:t xml:space="preserve">Registries are usually established for non-regulatory purposes (e.g. improvement of clinical care). Therefore, regulators should carefully assess whether the individual variables collected by the registry are sufficient in the number and scope to be used for regulatory purposes. For analysis and interpretation of registry generated data, it is important to have a common set of data elements, a </w:t>
      </w:r>
      <w:r w:rsidRPr="00B774CB">
        <w:lastRenderedPageBreak/>
        <w:t xml:space="preserve">common definitional framework (i.e., data dictionary), and pre-specified time intervals for data element collection and outcome analyses.  </w:t>
      </w:r>
    </w:p>
    <w:p w:rsidR="00FF4CE0" w:rsidRPr="00B774CB" w:rsidRDefault="00FF4CE0" w:rsidP="00FF4CE0">
      <w:pPr>
        <w:jc w:val="both"/>
      </w:pPr>
    </w:p>
    <w:p w:rsidR="00FF4CE0" w:rsidRPr="00B774CB" w:rsidRDefault="00FF4CE0" w:rsidP="00FF4CE0">
      <w:pPr>
        <w:jc w:val="both"/>
        <w:rPr>
          <w:lang w:eastAsia="ja-JP"/>
        </w:rPr>
      </w:pPr>
      <w:r w:rsidRPr="00B774CB">
        <w:rPr>
          <w:lang w:eastAsia="ja-JP"/>
        </w:rPr>
        <w:t>The recommended minimum set of variables (case report form or data collection tool) should satisfy regulatory purpose / decision making, clinical area of interest and study design employed to address particular questions. In general, the list of variables should include demographic factors, medical history / co-morbidities, procedure / device information, operators / physicians, follow-up information, and outcomes of interest.</w:t>
      </w:r>
    </w:p>
    <w:p w:rsidR="00FF4CE0" w:rsidRPr="00B774CB" w:rsidRDefault="00FF4CE0" w:rsidP="00FF4CE0">
      <w:pPr>
        <w:jc w:val="both"/>
        <w:rPr>
          <w:lang w:eastAsia="ja-JP"/>
        </w:rPr>
      </w:pPr>
    </w:p>
    <w:p w:rsidR="00AC5C56" w:rsidRPr="00B774CB" w:rsidRDefault="00AC5C56" w:rsidP="00AC5C56">
      <w:pPr>
        <w:rPr>
          <w:rFonts w:eastAsia="Times New Roman"/>
          <w:szCs w:val="24"/>
        </w:rPr>
      </w:pPr>
      <w:r w:rsidRPr="00B774CB">
        <w:rPr>
          <w:rFonts w:eastAsia="Times New Roman"/>
          <w:szCs w:val="24"/>
        </w:rPr>
        <w:t>Registries intending to contribute data for regulatory</w:t>
      </w:r>
      <w:r w:rsidR="00A828E6" w:rsidRPr="00B774CB">
        <w:rPr>
          <w:rFonts w:eastAsia="Times New Roman"/>
          <w:szCs w:val="24"/>
        </w:rPr>
        <w:t xml:space="preserve"> </w:t>
      </w:r>
      <w:r w:rsidRPr="00B774CB">
        <w:rPr>
          <w:rFonts w:eastAsia="Times New Roman"/>
          <w:szCs w:val="24"/>
        </w:rPr>
        <w:t xml:space="preserve">purposes should be able to </w:t>
      </w:r>
      <w:r w:rsidR="00A828E6" w:rsidRPr="00B774CB">
        <w:rPr>
          <w:rFonts w:eastAsia="Times New Roman"/>
          <w:szCs w:val="24"/>
        </w:rPr>
        <w:t>document the</w:t>
      </w:r>
      <w:r w:rsidRPr="00B774CB">
        <w:rPr>
          <w:rFonts w:eastAsia="Times New Roman"/>
          <w:szCs w:val="24"/>
        </w:rPr>
        <w:t xml:space="preserve"> following information:</w:t>
      </w:r>
    </w:p>
    <w:p w:rsidR="00AC5C56" w:rsidRPr="00B774CB" w:rsidRDefault="00AC5C56" w:rsidP="00AC5C56">
      <w:pPr>
        <w:rPr>
          <w:rFonts w:eastAsia="Times New Roman"/>
          <w:szCs w:val="24"/>
        </w:rPr>
      </w:pPr>
    </w:p>
    <w:p w:rsidR="00AC5C56" w:rsidRPr="00B774CB" w:rsidRDefault="00AC5C56" w:rsidP="00C52350">
      <w:pPr>
        <w:pStyle w:val="ListParagraph"/>
        <w:numPr>
          <w:ilvl w:val="0"/>
          <w:numId w:val="45"/>
        </w:numPr>
        <w:ind w:leftChars="0"/>
      </w:pPr>
      <w:r w:rsidRPr="00B774CB">
        <w:t xml:space="preserve">The overall percentage of patient exposure to the device that are captured in the registry and representativeness of the registry population to the treated population; </w:t>
      </w:r>
    </w:p>
    <w:p w:rsidR="00AC5C56" w:rsidRPr="00B774CB" w:rsidRDefault="00AC5C56" w:rsidP="00C52350">
      <w:pPr>
        <w:pStyle w:val="ListParagraph"/>
        <w:numPr>
          <w:ilvl w:val="0"/>
          <w:numId w:val="45"/>
        </w:numPr>
        <w:ind w:leftChars="0"/>
      </w:pPr>
      <w:r w:rsidRPr="00B774CB">
        <w:t>The extent to which exposed patients within the scope of the registry are actually consecutively captured (i.e., minimization of selection bias);</w:t>
      </w:r>
    </w:p>
    <w:p w:rsidR="00AC5C56" w:rsidRPr="00B774CB" w:rsidRDefault="00AC5C56" w:rsidP="00C52350">
      <w:pPr>
        <w:pStyle w:val="ListParagraph"/>
        <w:numPr>
          <w:ilvl w:val="0"/>
          <w:numId w:val="45"/>
        </w:numPr>
        <w:ind w:leftChars="0"/>
      </w:pPr>
      <w:r w:rsidRPr="00B774CB">
        <w:t>Extent of follow-up available at important durations of times following the index procedure; if inadequate, ability to link to additional datasets may potentially be a good surrogate;</w:t>
      </w:r>
    </w:p>
    <w:p w:rsidR="00AC5C56" w:rsidRPr="00B774CB" w:rsidRDefault="00AC5C56" w:rsidP="00C52350">
      <w:pPr>
        <w:pStyle w:val="ListParagraph"/>
        <w:numPr>
          <w:ilvl w:val="0"/>
          <w:numId w:val="45"/>
        </w:numPr>
        <w:ind w:leftChars="0"/>
      </w:pPr>
      <w:r w:rsidRPr="00B774CB">
        <w:t>Qualifications of data entry personnel if direct data quality/validation is not possible;</w:t>
      </w:r>
    </w:p>
    <w:p w:rsidR="00AC5C56" w:rsidRPr="00B774CB" w:rsidRDefault="00AC5C56" w:rsidP="00C52350">
      <w:pPr>
        <w:pStyle w:val="ListParagraph"/>
        <w:numPr>
          <w:ilvl w:val="0"/>
          <w:numId w:val="45"/>
        </w:numPr>
        <w:ind w:leftChars="0"/>
      </w:pPr>
      <w:r w:rsidRPr="00B774CB">
        <w:t>Adherence to source verification procedures and data collection and recording procedures for completeness and consistency;</w:t>
      </w:r>
    </w:p>
    <w:p w:rsidR="00AC5C56" w:rsidRPr="00B774CB" w:rsidRDefault="00AC5C56" w:rsidP="00C52350">
      <w:pPr>
        <w:pStyle w:val="ListParagraph"/>
        <w:numPr>
          <w:ilvl w:val="0"/>
          <w:numId w:val="45"/>
        </w:numPr>
        <w:ind w:leftChars="0"/>
      </w:pPr>
      <w:r w:rsidRPr="00B774CB">
        <w:t xml:space="preserve">Completeness (i.e., minimized missing or out of range values) of data necessary for specified analyses, including variables required for adjustment/confounding factors; </w:t>
      </w:r>
    </w:p>
    <w:p w:rsidR="00AC5C56" w:rsidRPr="00B774CB" w:rsidRDefault="00AC5C56" w:rsidP="00C52350">
      <w:pPr>
        <w:pStyle w:val="ListParagraph"/>
        <w:numPr>
          <w:ilvl w:val="0"/>
          <w:numId w:val="45"/>
        </w:numPr>
        <w:ind w:leftChars="0"/>
      </w:pPr>
      <w:r w:rsidRPr="00B774CB">
        <w:t xml:space="preserve">Data consistency across sites and over time; </w:t>
      </w:r>
    </w:p>
    <w:p w:rsidR="00AC5C56" w:rsidRPr="00B774CB" w:rsidRDefault="00AC5C56" w:rsidP="00C52350">
      <w:pPr>
        <w:pStyle w:val="ListParagraph"/>
        <w:numPr>
          <w:ilvl w:val="0"/>
          <w:numId w:val="45"/>
        </w:numPr>
        <w:ind w:leftChars="0"/>
      </w:pPr>
      <w:r w:rsidRPr="00B774CB">
        <w:t xml:space="preserve">Evaluation of on-going training programs for data collection and use of data dictionaries at participating sites; </w:t>
      </w:r>
    </w:p>
    <w:p w:rsidR="00AC5C56" w:rsidRPr="00B774CB" w:rsidRDefault="00AC5C56" w:rsidP="00C52350">
      <w:pPr>
        <w:pStyle w:val="ListParagraph"/>
        <w:numPr>
          <w:ilvl w:val="0"/>
          <w:numId w:val="45"/>
        </w:numPr>
        <w:ind w:leftChars="0"/>
      </w:pPr>
      <w:r w:rsidRPr="00B774CB">
        <w:t>Evaluation of site and data monitoring practices;</w:t>
      </w:r>
    </w:p>
    <w:p w:rsidR="00AC5C56" w:rsidRPr="00B774CB" w:rsidRDefault="00AC5C56" w:rsidP="00C52350">
      <w:pPr>
        <w:pStyle w:val="ListParagraph"/>
        <w:numPr>
          <w:ilvl w:val="0"/>
          <w:numId w:val="45"/>
        </w:numPr>
        <w:ind w:leftChars="0"/>
      </w:pPr>
      <w:r w:rsidRPr="00B774CB">
        <w:t xml:space="preserve">Identify sources of </w:t>
      </w:r>
      <w:r w:rsidR="00A828E6" w:rsidRPr="00B774CB">
        <w:t>data if</w:t>
      </w:r>
      <w:r w:rsidRPr="00B774CB">
        <w:t xml:space="preserve"> other than data entry</w:t>
      </w:r>
      <w:r w:rsidR="003A6943" w:rsidRPr="00B774CB">
        <w:t>;</w:t>
      </w:r>
      <w:r w:rsidRPr="00B774CB">
        <w:t xml:space="preserve"> </w:t>
      </w:r>
    </w:p>
    <w:p w:rsidR="00C52350" w:rsidRPr="00B774CB" w:rsidRDefault="00A828E6" w:rsidP="00FC4DE8">
      <w:pPr>
        <w:pStyle w:val="Default"/>
        <w:jc w:val="both"/>
        <w:rPr>
          <w:lang w:eastAsia="ja-JP"/>
        </w:rPr>
      </w:pPr>
      <w:r w:rsidRPr="00B774CB">
        <w:t xml:space="preserve"> </w:t>
      </w:r>
      <w:bookmarkStart w:id="20" w:name="_Toc500436352"/>
      <w:bookmarkStart w:id="21" w:name="_Toc500436354"/>
      <w:bookmarkEnd w:id="10"/>
      <w:bookmarkEnd w:id="20"/>
      <w:bookmarkEnd w:id="21"/>
    </w:p>
    <w:p w:rsidR="00D3471C" w:rsidRPr="00B774CB" w:rsidRDefault="00C52350" w:rsidP="00C52350">
      <w:pPr>
        <w:pStyle w:val="Heading3"/>
        <w:rPr>
          <w:lang w:eastAsia="ja-JP"/>
        </w:rPr>
      </w:pPr>
      <w:bookmarkStart w:id="22" w:name="_Toc504994051"/>
      <w:r w:rsidRPr="00B774CB">
        <w:rPr>
          <w:lang w:eastAsia="ja-JP"/>
        </w:rPr>
        <w:t>Device Identification</w:t>
      </w:r>
      <w:bookmarkEnd w:id="22"/>
    </w:p>
    <w:p w:rsidR="00D3471C" w:rsidRPr="00B774CB" w:rsidRDefault="00D3471C" w:rsidP="00D3471C">
      <w:pPr>
        <w:pStyle w:val="Default"/>
        <w:jc w:val="both"/>
      </w:pPr>
      <w:r w:rsidRPr="00B774CB">
        <w:rPr>
          <w:lang w:eastAsia="ja-JP"/>
        </w:rPr>
        <w:t>Being able to unambiguously identify the device(s) associated with each registry record is crucial if outputs from the analysis of registry data are to be used to underpin regulatory decision. The IMDRF g</w:t>
      </w:r>
      <w:r w:rsidRPr="00B774CB">
        <w:t>uidance on</w:t>
      </w:r>
      <w:r w:rsidRPr="00B774CB">
        <w:rPr>
          <w:lang w:eastAsia="ja-JP"/>
        </w:rPr>
        <w:t xml:space="preserve"> “</w:t>
      </w:r>
      <w:r w:rsidRPr="00B774CB">
        <w:t>Principles of International System of Registries Linked to</w:t>
      </w:r>
      <w:r w:rsidRPr="00B774CB">
        <w:rPr>
          <w:lang w:eastAsia="ja-JP"/>
        </w:rPr>
        <w:t xml:space="preserve"> </w:t>
      </w:r>
      <w:r w:rsidRPr="00B774CB">
        <w:t>Other Data Sources and Tools</w:t>
      </w:r>
      <w:r w:rsidRPr="00B774CB">
        <w:rPr>
          <w:lang w:eastAsia="ja-JP"/>
        </w:rPr>
        <w:t>” (</w:t>
      </w:r>
      <w:r w:rsidRPr="00B774CB">
        <w:t xml:space="preserve">IMDRF/REGISTRY WG/N33FINAL:2016 – 30 September 2016) identifies eight qualifiers which define the impact, value, and sustainability of the medical device registry. The first of these relates to device identifiers and states that: </w:t>
      </w:r>
    </w:p>
    <w:p w:rsidR="00D3471C" w:rsidRPr="00B774CB" w:rsidRDefault="00D3471C" w:rsidP="00D3471C">
      <w:pPr>
        <w:pStyle w:val="Default"/>
        <w:jc w:val="both"/>
      </w:pPr>
    </w:p>
    <w:p w:rsidR="00D3471C" w:rsidRPr="00B774CB" w:rsidRDefault="00D3471C" w:rsidP="00D3471C">
      <w:pPr>
        <w:jc w:val="both"/>
        <w:rPr>
          <w:i/>
          <w:color w:val="000000"/>
          <w:lang w:val="en-GB"/>
        </w:rPr>
      </w:pPr>
      <w:r w:rsidRPr="00B774CB">
        <w:rPr>
          <w:i/>
          <w:color w:val="000000"/>
          <w:lang w:val="en-GB"/>
        </w:rPr>
        <w:t xml:space="preserve">The registry contains sufficient information to uniquely identify the device. Ideally, the unique device identifier would be included, but when the UDI is not available, the registry would include a combination of identifiers (catalogue number, manufacturer, and description) that, in combination, will assist in uniquely identifying the device. </w:t>
      </w:r>
      <w:bookmarkStart w:id="23" w:name="_Toc485898601"/>
    </w:p>
    <w:bookmarkEnd w:id="23"/>
    <w:p w:rsidR="00D3471C" w:rsidRPr="00B774CB" w:rsidRDefault="00D3471C" w:rsidP="00D3471C">
      <w:pPr>
        <w:jc w:val="both"/>
        <w:rPr>
          <w:i/>
          <w:color w:val="000000"/>
          <w:lang w:val="en-GB"/>
        </w:rPr>
      </w:pPr>
    </w:p>
    <w:p w:rsidR="00D3471C" w:rsidRPr="00B774CB" w:rsidRDefault="00D3471C" w:rsidP="00D3471C">
      <w:pPr>
        <w:jc w:val="both"/>
        <w:rPr>
          <w:color w:val="000000"/>
          <w:lang w:eastAsia="ja-JP"/>
        </w:rPr>
      </w:pPr>
      <w:r w:rsidRPr="00B774CB">
        <w:rPr>
          <w:color w:val="000000"/>
          <w:lang w:eastAsia="ja-JP"/>
        </w:rPr>
        <w:t xml:space="preserve">The most effective way to achieve unambiguous device identification is to use a recognized Unique Device Identification (UDI) system; international guidance on UDI systems is given in the IMDRF UDI guidance (IMDRF/WG/N7FINAL:2013 UDI Guidance - 9 December 2013). </w:t>
      </w:r>
    </w:p>
    <w:p w:rsidR="00D3471C" w:rsidRPr="00B774CB" w:rsidRDefault="00D3471C" w:rsidP="00D3471C">
      <w:pPr>
        <w:jc w:val="both"/>
        <w:rPr>
          <w:color w:val="000000"/>
          <w:lang w:eastAsia="ja-JP"/>
        </w:rPr>
      </w:pPr>
    </w:p>
    <w:p w:rsidR="00D3471C" w:rsidRPr="00B774CB" w:rsidRDefault="00D3471C" w:rsidP="00D3471C">
      <w:pPr>
        <w:jc w:val="both"/>
        <w:rPr>
          <w:color w:val="000000"/>
          <w:lang w:eastAsia="ja-JP"/>
        </w:rPr>
      </w:pPr>
      <w:r w:rsidRPr="00B774CB">
        <w:rPr>
          <w:color w:val="000000"/>
          <w:lang w:eastAsia="ja-JP"/>
        </w:rPr>
        <w:lastRenderedPageBreak/>
        <w:t xml:space="preserve">UDI systems based on the IMDRF guidance have been introduced on a regional basis in recent years, for example in the US (21 CFR Parts 16, 801, 803, et al - Unique Device Identification System; Final Rule - 24 September 2013) and Europe (Regulation (EU) 2017/745 of the European Parliament and of the Council of 5 April 2017 Article 27). Systems such as these (if available) should be used by registries as the primary device identification. </w:t>
      </w:r>
    </w:p>
    <w:p w:rsidR="00D3471C" w:rsidRPr="00B774CB" w:rsidRDefault="00D3471C" w:rsidP="00D3471C">
      <w:pPr>
        <w:jc w:val="both"/>
        <w:rPr>
          <w:color w:val="000000"/>
          <w:lang w:eastAsia="ja-JP"/>
        </w:rPr>
      </w:pPr>
    </w:p>
    <w:p w:rsidR="00D3471C" w:rsidRPr="00B774CB" w:rsidRDefault="00D3471C" w:rsidP="00D3471C">
      <w:pPr>
        <w:jc w:val="both"/>
        <w:rPr>
          <w:color w:val="000000"/>
          <w:lang w:eastAsia="ja-JP"/>
        </w:rPr>
      </w:pPr>
      <w:r w:rsidRPr="00B774CB">
        <w:rPr>
          <w:color w:val="000000"/>
          <w:lang w:eastAsia="ja-JP"/>
        </w:rPr>
        <w:t>For each procedure, registries should systematically record:</w:t>
      </w:r>
    </w:p>
    <w:p w:rsidR="00D3471C" w:rsidRPr="00B774CB" w:rsidRDefault="00D3471C" w:rsidP="00D3471C">
      <w:pPr>
        <w:jc w:val="both"/>
        <w:rPr>
          <w:color w:val="000000"/>
          <w:lang w:eastAsia="ja-JP"/>
        </w:rPr>
      </w:pPr>
    </w:p>
    <w:p w:rsidR="00D3471C" w:rsidRPr="00B774CB" w:rsidRDefault="00D3471C" w:rsidP="00D3471C">
      <w:pPr>
        <w:pStyle w:val="ListParagraph"/>
        <w:numPr>
          <w:ilvl w:val="0"/>
          <w:numId w:val="18"/>
        </w:numPr>
        <w:ind w:leftChars="0"/>
        <w:jc w:val="both"/>
        <w:rPr>
          <w:color w:val="000000"/>
        </w:rPr>
      </w:pPr>
      <w:r w:rsidRPr="00B774CB">
        <w:rPr>
          <w:color w:val="000000"/>
        </w:rPr>
        <w:t xml:space="preserve">Device identifiers (UDI-DI) </w:t>
      </w:r>
      <w:r w:rsidRPr="00B774CB">
        <w:rPr>
          <w:color w:val="000000"/>
          <w:lang w:eastAsia="ja-JP"/>
        </w:rPr>
        <w:t xml:space="preserve">e.g. </w:t>
      </w:r>
      <w:r w:rsidRPr="00B774CB">
        <w:rPr>
          <w:bCs/>
        </w:rPr>
        <w:t>GS1 GTIN (Global Trade Item Number) or HIBC-LIC (Labeler Identification Code) or ISBT 128-PPIC (Processor Product Identification Code)</w:t>
      </w:r>
    </w:p>
    <w:p w:rsidR="00D3471C" w:rsidRPr="00B774CB" w:rsidRDefault="00D3471C" w:rsidP="00D3471C">
      <w:pPr>
        <w:pStyle w:val="ListParagraph"/>
        <w:numPr>
          <w:ilvl w:val="0"/>
          <w:numId w:val="18"/>
        </w:numPr>
        <w:ind w:leftChars="0"/>
        <w:jc w:val="both"/>
        <w:rPr>
          <w:color w:val="000000"/>
        </w:rPr>
      </w:pPr>
      <w:r w:rsidRPr="00B774CB">
        <w:rPr>
          <w:color w:val="000000"/>
        </w:rPr>
        <w:t xml:space="preserve">Production identifiers (UDI-PI) </w:t>
      </w:r>
      <w:r w:rsidRPr="00B774CB">
        <w:rPr>
          <w:color w:val="000000"/>
          <w:lang w:eastAsia="ja-JP"/>
        </w:rPr>
        <w:t>e.g.</w:t>
      </w:r>
      <w:r w:rsidRPr="00B774CB">
        <w:rPr>
          <w:color w:val="000000"/>
        </w:rPr>
        <w:t xml:space="preserve"> </w:t>
      </w:r>
      <w:r w:rsidRPr="00B774CB">
        <w:rPr>
          <w:color w:val="000000"/>
          <w:lang w:eastAsia="ja-JP"/>
        </w:rPr>
        <w:t xml:space="preserve">device </w:t>
      </w:r>
      <w:r w:rsidRPr="00B774CB">
        <w:rPr>
          <w:color w:val="000000"/>
        </w:rPr>
        <w:t>serial number or batch/lot number</w:t>
      </w:r>
    </w:p>
    <w:p w:rsidR="00D3471C" w:rsidRPr="00B774CB" w:rsidRDefault="00D3471C" w:rsidP="00D3471C">
      <w:pPr>
        <w:jc w:val="both"/>
        <w:rPr>
          <w:color w:val="000000"/>
          <w:lang w:eastAsia="ja-JP"/>
        </w:rPr>
      </w:pPr>
    </w:p>
    <w:p w:rsidR="00D3471C" w:rsidRPr="00B774CB" w:rsidRDefault="00D3471C" w:rsidP="00D3471C">
      <w:pPr>
        <w:pStyle w:val="Default"/>
        <w:jc w:val="both"/>
        <w:rPr>
          <w:sz w:val="23"/>
          <w:szCs w:val="23"/>
        </w:rPr>
      </w:pPr>
      <w:r w:rsidRPr="00B774CB">
        <w:rPr>
          <w:lang w:eastAsia="ja-JP"/>
        </w:rPr>
        <w:t xml:space="preserve">Ideally the collection of this information should be </w:t>
      </w:r>
      <w:r w:rsidRPr="00B774CB">
        <w:rPr>
          <w:sz w:val="23"/>
          <w:szCs w:val="23"/>
        </w:rPr>
        <w:t>embedded in the health care delivery system so that data collection occurs as part of care delivery and is integrated with work flow of the clinical teams involved in the delivery of care. This can be achieved by scanning the barcodes on the device labels into the hospital electronic record systems at the point and time of use for onward (semi-automated) transmission to the registry. Adopting such an approach optimises data recording efficiency and accuracy, and should lead to more complete and reliable registry records.</w:t>
      </w:r>
    </w:p>
    <w:p w:rsidR="00D3471C" w:rsidRPr="00B774CB" w:rsidRDefault="00D3471C" w:rsidP="00D3471C">
      <w:pPr>
        <w:jc w:val="both"/>
        <w:rPr>
          <w:color w:val="000000"/>
          <w:lang w:eastAsia="ja-JP"/>
        </w:rPr>
      </w:pPr>
      <w:r w:rsidRPr="00B774CB">
        <w:rPr>
          <w:color w:val="000000"/>
          <w:lang w:eastAsia="ja-JP"/>
        </w:rPr>
        <w:t>Where UDI is not available a combination of identifiers should be adopted to unambiguously identify devices. These may include the following:</w:t>
      </w:r>
    </w:p>
    <w:p w:rsidR="00D3471C" w:rsidRPr="00B774CB" w:rsidRDefault="00D3471C" w:rsidP="00D3471C">
      <w:pPr>
        <w:jc w:val="both"/>
        <w:rPr>
          <w:color w:val="000000"/>
          <w:lang w:eastAsia="ja-JP"/>
        </w:rPr>
      </w:pPr>
    </w:p>
    <w:p w:rsidR="00D3471C" w:rsidRPr="00B774CB" w:rsidRDefault="00D3471C" w:rsidP="00D3471C">
      <w:pPr>
        <w:pStyle w:val="ListParagraph"/>
        <w:numPr>
          <w:ilvl w:val="0"/>
          <w:numId w:val="19"/>
        </w:numPr>
        <w:ind w:leftChars="0"/>
        <w:jc w:val="both"/>
        <w:rPr>
          <w:color w:val="000000"/>
          <w:lang w:eastAsia="ja-JP"/>
        </w:rPr>
      </w:pPr>
      <w:r w:rsidRPr="00B774CB">
        <w:rPr>
          <w:color w:val="000000"/>
          <w:lang w:eastAsia="ja-JP"/>
        </w:rPr>
        <w:t>Manufacturer</w:t>
      </w:r>
    </w:p>
    <w:p w:rsidR="00D3471C" w:rsidRPr="00B774CB" w:rsidRDefault="00D3471C" w:rsidP="00D3471C">
      <w:pPr>
        <w:pStyle w:val="ListParagraph"/>
        <w:numPr>
          <w:ilvl w:val="0"/>
          <w:numId w:val="19"/>
        </w:numPr>
        <w:ind w:leftChars="0"/>
        <w:jc w:val="both"/>
        <w:rPr>
          <w:color w:val="000000"/>
          <w:lang w:eastAsia="ja-JP"/>
        </w:rPr>
      </w:pPr>
      <w:r w:rsidRPr="00B774CB">
        <w:t>Medical Device Name</w:t>
      </w:r>
      <w:r w:rsidRPr="00B774CB">
        <w:fldChar w:fldCharType="begin"/>
      </w:r>
      <w:r w:rsidRPr="00B774CB">
        <w:instrText xml:space="preserve"> XE "Medical Device Name" </w:instrText>
      </w:r>
      <w:r w:rsidRPr="00B774CB">
        <w:fldChar w:fldCharType="end"/>
      </w:r>
      <w:r w:rsidRPr="00B774CB">
        <w:t xml:space="preserve"> (Brand/Trade/Proprietary</w:t>
      </w:r>
      <w:r w:rsidRPr="00B774CB">
        <w:fldChar w:fldCharType="begin"/>
      </w:r>
      <w:r w:rsidRPr="00B774CB">
        <w:instrText xml:space="preserve"> XE "</w:instrText>
      </w:r>
      <w:r w:rsidRPr="00B774CB">
        <w:rPr>
          <w:rFonts w:eastAsia="Times New Roman"/>
          <w:iCs/>
        </w:rPr>
        <w:instrText>Brand/Trade/Proprietary</w:instrText>
      </w:r>
      <w:r w:rsidRPr="00B774CB">
        <w:instrText xml:space="preserve">" </w:instrText>
      </w:r>
      <w:r w:rsidRPr="00B774CB">
        <w:fldChar w:fldCharType="end"/>
      </w:r>
      <w:r w:rsidRPr="00B774CB">
        <w:t xml:space="preserve"> or Common name</w:t>
      </w:r>
      <w:r w:rsidRPr="00B774CB">
        <w:fldChar w:fldCharType="begin"/>
      </w:r>
      <w:r w:rsidRPr="00B774CB">
        <w:instrText xml:space="preserve"> XE "</w:instrText>
      </w:r>
      <w:r w:rsidRPr="00B774CB">
        <w:rPr>
          <w:rFonts w:eastAsia="Times New Roman"/>
          <w:iCs/>
        </w:rPr>
        <w:instrText>Common name</w:instrText>
      </w:r>
      <w:r w:rsidRPr="00B774CB">
        <w:instrText xml:space="preserve">" </w:instrText>
      </w:r>
      <w:r w:rsidRPr="00B774CB">
        <w:fldChar w:fldCharType="end"/>
      </w:r>
      <w:r w:rsidRPr="00B774CB">
        <w:t>)</w:t>
      </w:r>
    </w:p>
    <w:p w:rsidR="00D3471C" w:rsidRPr="00B774CB" w:rsidRDefault="00D3471C" w:rsidP="00D3471C">
      <w:pPr>
        <w:pStyle w:val="ListParagraph"/>
        <w:numPr>
          <w:ilvl w:val="0"/>
          <w:numId w:val="19"/>
        </w:numPr>
        <w:ind w:leftChars="0"/>
        <w:jc w:val="both"/>
        <w:rPr>
          <w:color w:val="000000"/>
          <w:lang w:eastAsia="ja-JP"/>
        </w:rPr>
      </w:pPr>
      <w:r w:rsidRPr="00B774CB">
        <w:t>Model</w:t>
      </w:r>
      <w:r w:rsidRPr="00B774CB">
        <w:fldChar w:fldCharType="begin"/>
      </w:r>
      <w:r w:rsidRPr="00B774CB">
        <w:instrText xml:space="preserve"> XE "Model" </w:instrText>
      </w:r>
      <w:r w:rsidRPr="00B774CB">
        <w:fldChar w:fldCharType="end"/>
      </w:r>
    </w:p>
    <w:p w:rsidR="00D3471C" w:rsidRPr="00B774CB" w:rsidRDefault="00D3471C" w:rsidP="00D3471C">
      <w:pPr>
        <w:pStyle w:val="ListParagraph"/>
        <w:numPr>
          <w:ilvl w:val="0"/>
          <w:numId w:val="19"/>
        </w:numPr>
        <w:ind w:leftChars="0"/>
        <w:jc w:val="both"/>
        <w:rPr>
          <w:color w:val="000000"/>
          <w:lang w:val="fr-CA" w:eastAsia="ja-JP"/>
        </w:rPr>
      </w:pPr>
      <w:r w:rsidRPr="00B774CB">
        <w:rPr>
          <w:color w:val="000000"/>
          <w:lang w:val="fr-CA"/>
        </w:rPr>
        <w:t>Device catalogue / reference code (REF)</w:t>
      </w:r>
    </w:p>
    <w:p w:rsidR="00D3471C" w:rsidRPr="00B774CB" w:rsidRDefault="00D3471C" w:rsidP="00D3471C">
      <w:pPr>
        <w:pStyle w:val="ListParagraph"/>
        <w:numPr>
          <w:ilvl w:val="0"/>
          <w:numId w:val="19"/>
        </w:numPr>
        <w:ind w:leftChars="0"/>
        <w:jc w:val="both"/>
        <w:rPr>
          <w:color w:val="000000"/>
          <w:lang w:eastAsia="ja-JP"/>
        </w:rPr>
      </w:pPr>
      <w:r w:rsidRPr="00B774CB">
        <w:rPr>
          <w:color w:val="000000"/>
          <w:lang w:eastAsia="ja-JP"/>
        </w:rPr>
        <w:t>Device serial number (preferred, if applicable)</w:t>
      </w:r>
    </w:p>
    <w:p w:rsidR="00D3471C" w:rsidRPr="00B774CB" w:rsidRDefault="00D3471C" w:rsidP="00D3471C">
      <w:pPr>
        <w:pStyle w:val="ListParagraph"/>
        <w:numPr>
          <w:ilvl w:val="0"/>
          <w:numId w:val="19"/>
        </w:numPr>
        <w:ind w:leftChars="0"/>
        <w:jc w:val="both"/>
        <w:rPr>
          <w:color w:val="000000"/>
          <w:lang w:eastAsia="ja-JP"/>
        </w:rPr>
      </w:pPr>
      <w:r w:rsidRPr="00B774CB">
        <w:rPr>
          <w:color w:val="000000"/>
          <w:lang w:eastAsia="ja-JP"/>
        </w:rPr>
        <w:t xml:space="preserve">Device batch or lot number </w:t>
      </w:r>
    </w:p>
    <w:p w:rsidR="00D3471C" w:rsidRPr="00B774CB" w:rsidRDefault="00D3471C" w:rsidP="00D3471C">
      <w:pPr>
        <w:ind w:left="360"/>
        <w:jc w:val="both"/>
        <w:rPr>
          <w:color w:val="000000"/>
        </w:rPr>
      </w:pPr>
      <w:r w:rsidRPr="00B774CB">
        <w:rPr>
          <w:color w:val="000000"/>
        </w:rPr>
        <w:t xml:space="preserve"> </w:t>
      </w:r>
    </w:p>
    <w:p w:rsidR="00D3471C" w:rsidRPr="00B774CB" w:rsidRDefault="00D3471C" w:rsidP="00D3471C">
      <w:pPr>
        <w:jc w:val="both"/>
      </w:pPr>
      <w:r w:rsidRPr="00B774CB">
        <w:rPr>
          <w:color w:val="000000"/>
        </w:rPr>
        <w:t>For def</w:t>
      </w:r>
      <w:r w:rsidRPr="00B774CB">
        <w:rPr>
          <w:color w:val="000000"/>
          <w:lang w:eastAsia="ja-JP"/>
        </w:rPr>
        <w:t xml:space="preserve">initions of the above </w:t>
      </w:r>
      <w:r w:rsidRPr="00B774CB">
        <w:rPr>
          <w:color w:val="000000"/>
        </w:rPr>
        <w:t xml:space="preserve">terms see: </w:t>
      </w:r>
      <w:r w:rsidRPr="00B774CB">
        <w:t xml:space="preserve">IMDRF/RPS WG/N19 FINAL: 2016 – 24 March 2016. </w:t>
      </w:r>
    </w:p>
    <w:p w:rsidR="00D3471C" w:rsidRPr="00B774CB" w:rsidRDefault="00D3471C" w:rsidP="00D3471C">
      <w:pPr>
        <w:rPr>
          <w:lang w:eastAsia="ja-JP"/>
        </w:rPr>
      </w:pPr>
    </w:p>
    <w:p w:rsidR="00D3471C" w:rsidRPr="00B774CB" w:rsidRDefault="00D3471C" w:rsidP="00413A27">
      <w:pPr>
        <w:pStyle w:val="Heading3"/>
        <w:rPr>
          <w:lang w:eastAsia="ja-JP"/>
        </w:rPr>
      </w:pPr>
      <w:bookmarkStart w:id="24" w:name="_Toc504994052"/>
      <w:r w:rsidRPr="00B774CB">
        <w:rPr>
          <w:lang w:eastAsia="ja-JP"/>
        </w:rPr>
        <w:t>Internationally recognized standards</w:t>
      </w:r>
      <w:bookmarkEnd w:id="24"/>
    </w:p>
    <w:p w:rsidR="00D3471C" w:rsidRPr="00B774CB" w:rsidRDefault="00D3471C" w:rsidP="00D3471C">
      <w:pPr>
        <w:jc w:val="both"/>
        <w:rPr>
          <w:lang w:eastAsia="ja-JP"/>
        </w:rPr>
      </w:pPr>
      <w:r w:rsidRPr="00B774CB">
        <w:rPr>
          <w:lang w:eastAsia="ja-JP"/>
        </w:rPr>
        <w:t xml:space="preserve">Registries should adhere to internationally / nationally recognized standards and harmonization of the CDM (Common Data Models. For example, in the United States several common data models are harmonized nationally (OMOP, Sentinel / </w:t>
      </w:r>
      <w:proofErr w:type="spellStart"/>
      <w:r w:rsidRPr="00B774CB">
        <w:rPr>
          <w:lang w:eastAsia="ja-JP"/>
        </w:rPr>
        <w:t>PCORNet</w:t>
      </w:r>
      <w:proofErr w:type="spellEnd"/>
      <w:r w:rsidRPr="00B774CB">
        <w:rPr>
          <w:lang w:eastAsia="ja-JP"/>
        </w:rPr>
        <w:t xml:space="preserve"> etc.). To advance medical device evaluation, Medical Device Epidemiology Network (</w:t>
      </w:r>
      <w:proofErr w:type="spellStart"/>
      <w:r w:rsidRPr="00B774CB">
        <w:rPr>
          <w:lang w:eastAsia="ja-JP"/>
        </w:rPr>
        <w:t>MDEpiNet</w:t>
      </w:r>
      <w:proofErr w:type="spellEnd"/>
      <w:r w:rsidRPr="00B774CB">
        <w:rPr>
          <w:lang w:eastAsia="ja-JP"/>
        </w:rPr>
        <w:t xml:space="preserve">) pioneered the international harmonization of disease specific-clinically relevant common data models. Specifically, International Consortium of Orthopedic Registries (ICOR) data model for joint replacement was among the first, and International Consortium of Vascular Registries (ICVR) is </w:t>
      </w:r>
      <w:r w:rsidR="003144B5" w:rsidRPr="00B774CB">
        <w:rPr>
          <w:lang w:eastAsia="ja-JP"/>
        </w:rPr>
        <w:t xml:space="preserve">now </w:t>
      </w:r>
      <w:r w:rsidRPr="00B774CB">
        <w:rPr>
          <w:lang w:eastAsia="ja-JP"/>
        </w:rPr>
        <w:t>developed. This is particularly important in anticipation of evolving international convergence efforts (including reporting methodologies).</w:t>
      </w:r>
    </w:p>
    <w:p w:rsidR="00D3471C" w:rsidRPr="00B774CB" w:rsidRDefault="00D3471C" w:rsidP="00D3471C">
      <w:pPr>
        <w:rPr>
          <w:lang w:eastAsia="ja-JP"/>
        </w:rPr>
      </w:pPr>
    </w:p>
    <w:p w:rsidR="00D3471C" w:rsidRPr="00B774CB" w:rsidRDefault="00D3471C" w:rsidP="00E30C31">
      <w:pPr>
        <w:pStyle w:val="Heading3"/>
        <w:rPr>
          <w:lang w:eastAsia="ja-JP"/>
        </w:rPr>
      </w:pPr>
      <w:bookmarkStart w:id="25" w:name="_Toc504994053"/>
      <w:proofErr w:type="spellStart"/>
      <w:r w:rsidRPr="00B774CB">
        <w:rPr>
          <w:lang w:eastAsia="ja-JP"/>
        </w:rPr>
        <w:lastRenderedPageBreak/>
        <w:t>Linkability</w:t>
      </w:r>
      <w:bookmarkEnd w:id="25"/>
      <w:proofErr w:type="spellEnd"/>
      <w:r w:rsidRPr="00B774CB">
        <w:rPr>
          <w:lang w:eastAsia="ja-JP"/>
        </w:rPr>
        <w:t xml:space="preserve"> </w:t>
      </w:r>
    </w:p>
    <w:p w:rsidR="00D3471C" w:rsidRPr="00B774CB" w:rsidRDefault="00D3471C" w:rsidP="00D3471C">
      <w:pPr>
        <w:jc w:val="both"/>
        <w:rPr>
          <w:rFonts w:eastAsia="Times New Roman"/>
          <w:szCs w:val="24"/>
        </w:rPr>
      </w:pPr>
      <w:r w:rsidRPr="00B774CB">
        <w:rPr>
          <w:rFonts w:eastAsia="Times New Roman"/>
          <w:szCs w:val="24"/>
        </w:rPr>
        <w:t xml:space="preserve">Most procedural or device registries have limited follow up data on outcome events but often have rich clinical information about the patients and procedures. Linkage of these registries with other, complementary data sources (e.g. subsequent health care encounters, short term complications, long-term outcomes) would yield enriched data source for regulatory purposes. In addition, linkage is often used for validation processes of registries. Complementary data may include but are not limited to other registries, national death records, electronic medical records, or longitudinal administrative claims/discharge databases. </w:t>
      </w:r>
      <w:proofErr w:type="spellStart"/>
      <w:r w:rsidRPr="00B774CB">
        <w:rPr>
          <w:rFonts w:eastAsia="Times New Roman"/>
          <w:szCs w:val="24"/>
        </w:rPr>
        <w:t>Linkability</w:t>
      </w:r>
      <w:proofErr w:type="spellEnd"/>
      <w:r w:rsidRPr="00B774CB">
        <w:rPr>
          <w:rFonts w:eastAsia="Times New Roman"/>
          <w:szCs w:val="24"/>
        </w:rPr>
        <w:t xml:space="preserve"> might depend on the </w:t>
      </w:r>
      <w:r w:rsidR="00893EFE" w:rsidRPr="00B774CB">
        <w:rPr>
          <w:rFonts w:eastAsia="Times New Roman"/>
          <w:szCs w:val="24"/>
        </w:rPr>
        <w:t>limitation</w:t>
      </w:r>
      <w:r w:rsidR="006D0F99" w:rsidRPr="00B774CB">
        <w:rPr>
          <w:rFonts w:eastAsia="Times New Roman"/>
          <w:szCs w:val="24"/>
        </w:rPr>
        <w:t>s within</w:t>
      </w:r>
      <w:r w:rsidR="00893EFE" w:rsidRPr="00B774CB">
        <w:rPr>
          <w:rFonts w:eastAsia="Times New Roman"/>
          <w:szCs w:val="24"/>
        </w:rPr>
        <w:t xml:space="preserve"> </w:t>
      </w:r>
      <w:r w:rsidRPr="00B774CB">
        <w:rPr>
          <w:rFonts w:eastAsia="Times New Roman"/>
          <w:szCs w:val="24"/>
        </w:rPr>
        <w:t>national legal context.</w:t>
      </w:r>
    </w:p>
    <w:p w:rsidR="00D3471C" w:rsidRPr="00B774CB" w:rsidRDefault="00D3471C" w:rsidP="00D3471C">
      <w:pPr>
        <w:jc w:val="both"/>
        <w:rPr>
          <w:rFonts w:eastAsia="Times New Roman"/>
          <w:szCs w:val="24"/>
        </w:rPr>
      </w:pPr>
    </w:p>
    <w:p w:rsidR="00D3471C" w:rsidRPr="00B774CB" w:rsidRDefault="00D3471C" w:rsidP="00D3471C">
      <w:pPr>
        <w:jc w:val="both"/>
        <w:rPr>
          <w:rFonts w:eastAsia="Times New Roman"/>
          <w:szCs w:val="24"/>
        </w:rPr>
      </w:pPr>
      <w:r w:rsidRPr="00B774CB">
        <w:rPr>
          <w:rFonts w:eastAsia="Times New Roman"/>
          <w:szCs w:val="24"/>
        </w:rPr>
        <w:t>There are two broad methods of data linkage:</w:t>
      </w:r>
    </w:p>
    <w:p w:rsidR="00D3471C" w:rsidRPr="00B774CB" w:rsidRDefault="00D3471C" w:rsidP="00D3471C">
      <w:pPr>
        <w:jc w:val="both"/>
        <w:rPr>
          <w:rFonts w:eastAsia="Times New Roman"/>
          <w:szCs w:val="24"/>
        </w:rPr>
      </w:pPr>
      <w:r w:rsidRPr="00B774CB">
        <w:rPr>
          <w:rFonts w:eastAsia="Times New Roman"/>
          <w:szCs w:val="24"/>
        </w:rPr>
        <w:tab/>
      </w:r>
    </w:p>
    <w:p w:rsidR="00D3471C" w:rsidRPr="00B774CB" w:rsidRDefault="00D3471C" w:rsidP="00D3471C">
      <w:pPr>
        <w:pStyle w:val="Heading3"/>
        <w:numPr>
          <w:ilvl w:val="0"/>
          <w:numId w:val="0"/>
        </w:numPr>
        <w:rPr>
          <w:lang w:eastAsia="ja-JP"/>
        </w:rPr>
      </w:pPr>
      <w:bookmarkStart w:id="26" w:name="_Toc490833097"/>
      <w:bookmarkStart w:id="27" w:name="_Toc504994054"/>
      <w:r w:rsidRPr="00B774CB">
        <w:t>(</w:t>
      </w:r>
      <w:proofErr w:type="gramStart"/>
      <w:r w:rsidRPr="00B774CB">
        <w:t>a</w:t>
      </w:r>
      <w:proofErr w:type="gramEnd"/>
      <w:r w:rsidRPr="00B774CB">
        <w:t>). Deterministic (direct</w:t>
      </w:r>
      <w:r w:rsidRPr="00B774CB">
        <w:rPr>
          <w:lang w:eastAsia="ja-JP"/>
        </w:rPr>
        <w:t>)</w:t>
      </w:r>
      <w:bookmarkEnd w:id="26"/>
      <w:bookmarkEnd w:id="27"/>
    </w:p>
    <w:p w:rsidR="00D3471C" w:rsidRPr="00B774CB" w:rsidRDefault="00D3471C" w:rsidP="003A6943">
      <w:pPr>
        <w:rPr>
          <w:rFonts w:eastAsia="Times New Roman"/>
        </w:rPr>
      </w:pPr>
      <w:r w:rsidRPr="00B774CB">
        <w:rPr>
          <w:szCs w:val="24"/>
        </w:rPr>
        <w:t xml:space="preserve">Deterministic linkage algorithms aim to determine if record pairs agree or disagree on </w:t>
      </w:r>
      <w:r w:rsidRPr="00B774CB">
        <w:rPr>
          <w:szCs w:val="24"/>
        </w:rPr>
        <w:tab/>
        <w:t xml:space="preserve">available set of identifiers and when agreement on a given identifier is assessed as a </w:t>
      </w:r>
      <w:r w:rsidRPr="00B774CB">
        <w:rPr>
          <w:szCs w:val="24"/>
        </w:rPr>
        <w:tab/>
        <w:t>distinct “all-or-nothing” outcome</w:t>
      </w:r>
      <w:r w:rsidRPr="00B774CB">
        <w:t xml:space="preserve"> (</w:t>
      </w:r>
      <w:proofErr w:type="spellStart"/>
      <w:r w:rsidRPr="00B774CB">
        <w:rPr>
          <w:rFonts w:eastAsia="Times New Roman"/>
        </w:rPr>
        <w:t>Dusetzina</w:t>
      </w:r>
      <w:proofErr w:type="spellEnd"/>
      <w:r w:rsidRPr="00B774CB">
        <w:rPr>
          <w:rFonts w:eastAsia="Times New Roman"/>
        </w:rPr>
        <w:t xml:space="preserve"> SB, Tyree S, Meyer AM, et al. Linking Data </w:t>
      </w:r>
      <w:r w:rsidRPr="00B774CB">
        <w:rPr>
          <w:rFonts w:eastAsia="Times New Roman"/>
        </w:rPr>
        <w:tab/>
        <w:t>for Health Services Research: A Framework and Instructional Guide).</w:t>
      </w:r>
    </w:p>
    <w:p w:rsidR="00D3471C" w:rsidRPr="00B774CB" w:rsidRDefault="00D3471C" w:rsidP="00D3471C">
      <w:pPr>
        <w:pStyle w:val="Heading3"/>
        <w:numPr>
          <w:ilvl w:val="0"/>
          <w:numId w:val="0"/>
        </w:numPr>
        <w:rPr>
          <w:b w:val="0"/>
          <w:lang w:eastAsia="ja-JP"/>
        </w:rPr>
      </w:pPr>
      <w:bookmarkStart w:id="28" w:name="_Toc490833098"/>
      <w:bookmarkStart w:id="29" w:name="_Toc504994055"/>
      <w:r w:rsidRPr="00B774CB">
        <w:rPr>
          <w:rStyle w:val="Heading3Char"/>
          <w:b/>
        </w:rPr>
        <w:t>(b)</w:t>
      </w:r>
      <w:proofErr w:type="gramStart"/>
      <w:r w:rsidRPr="00B774CB">
        <w:rPr>
          <w:rStyle w:val="Heading3Char"/>
          <w:b/>
        </w:rPr>
        <w:t>.  Probabilistic</w:t>
      </w:r>
      <w:proofErr w:type="gramEnd"/>
      <w:r w:rsidRPr="00B774CB">
        <w:rPr>
          <w:rStyle w:val="Heading3Char"/>
          <w:b/>
        </w:rPr>
        <w:t xml:space="preserve"> (indirect</w:t>
      </w:r>
      <w:r w:rsidRPr="00B774CB">
        <w:rPr>
          <w:b w:val="0"/>
          <w:lang w:eastAsia="ja-JP"/>
        </w:rPr>
        <w:t>)</w:t>
      </w:r>
      <w:bookmarkEnd w:id="28"/>
      <w:bookmarkEnd w:id="29"/>
    </w:p>
    <w:p w:rsidR="00D3471C" w:rsidRPr="00B774CB" w:rsidRDefault="00D3471C" w:rsidP="003A6943">
      <w:pPr>
        <w:spacing w:after="160" w:line="259" w:lineRule="auto"/>
        <w:contextualSpacing/>
        <w:jc w:val="both"/>
        <w:rPr>
          <w:szCs w:val="24"/>
        </w:rPr>
      </w:pPr>
      <w:r w:rsidRPr="00B774CB">
        <w:rPr>
          <w:szCs w:val="24"/>
        </w:rPr>
        <w:t xml:space="preserve">Probabilistic approaches to </w:t>
      </w:r>
      <w:r w:rsidRPr="00B774CB">
        <w:rPr>
          <w:color w:val="000000"/>
          <w:szCs w:val="24"/>
        </w:rPr>
        <w:t>link large datasets aim to use limited identifiers applied methodologically in a way that maximizes the probability that a data field agrees given a record pair matches, minimizes the probability that a data field agrees given a record pair is unmatched, and provides greater precision from non-uniformly distributed fields (</w:t>
      </w:r>
      <w:proofErr w:type="spellStart"/>
      <w:r w:rsidRPr="00B774CB">
        <w:rPr>
          <w:szCs w:val="24"/>
        </w:rPr>
        <w:t>Jaro</w:t>
      </w:r>
      <w:proofErr w:type="spellEnd"/>
      <w:r w:rsidRPr="00B774CB">
        <w:rPr>
          <w:szCs w:val="24"/>
        </w:rPr>
        <w:t xml:space="preserve"> MA). Probabilistic linkage of large public health data files). </w:t>
      </w:r>
      <w:r w:rsidRPr="00B774CB">
        <w:rPr>
          <w:color w:val="212121"/>
          <w:szCs w:val="24"/>
          <w:lang w:val="en"/>
        </w:rPr>
        <w:t xml:space="preserve">It is a method that enables the combination of record information in different data sets to form a new linked dataset. It has been described as a process that attempts to link records into different files that are most likely to belong to the same person / organization. The probabilistic link uses several identifiers, in combination, to identify and evaluate links. Probabilistic binding is usually used when a unique identifier is no available or is of insufficient quality (Australian Government, National Statistical Service, </w:t>
      </w:r>
      <w:proofErr w:type="gramStart"/>
      <w:r w:rsidRPr="00B774CB">
        <w:rPr>
          <w:color w:val="212121"/>
          <w:szCs w:val="24"/>
          <w:lang w:val="en"/>
        </w:rPr>
        <w:t>Data</w:t>
      </w:r>
      <w:proofErr w:type="gramEnd"/>
      <w:r w:rsidRPr="00B774CB">
        <w:rPr>
          <w:color w:val="212121"/>
          <w:szCs w:val="24"/>
          <w:lang w:val="en"/>
        </w:rPr>
        <w:t xml:space="preserve"> Linking). </w:t>
      </w:r>
      <w:r w:rsidRPr="00B774CB">
        <w:rPr>
          <w:szCs w:val="24"/>
        </w:rPr>
        <w:t>Also of note is that the UDI can help with probabilistic matching, but by itself does not accomplish deterministic matching unless the device is serialized.</w:t>
      </w:r>
    </w:p>
    <w:p w:rsidR="00D3471C" w:rsidRPr="00B774CB" w:rsidRDefault="00D3471C" w:rsidP="00D3471C">
      <w:pPr>
        <w:spacing w:after="160" w:line="259" w:lineRule="auto"/>
        <w:contextualSpacing/>
        <w:jc w:val="both"/>
        <w:rPr>
          <w:szCs w:val="24"/>
        </w:rPr>
      </w:pPr>
    </w:p>
    <w:p w:rsidR="00D3471C" w:rsidRPr="00B774CB" w:rsidRDefault="00D3471C" w:rsidP="00D3471C">
      <w:pPr>
        <w:spacing w:after="160" w:line="259" w:lineRule="auto"/>
        <w:contextualSpacing/>
        <w:jc w:val="both"/>
      </w:pPr>
      <w:r w:rsidRPr="00B774CB">
        <w:rPr>
          <w:szCs w:val="24"/>
        </w:rPr>
        <w:t xml:space="preserve">In assessment of the usability of a registry for regulatory uses we assume that deterministic linkage is possible and is applied because direct identifiers (patient names and exact birth date, or unique health system identifier) are available in both registry and in the linkable database, and the data on these identifiers is of good quality. The probabilistic method is applied when direct identifiers are unavailable or identifiers are not reliable. </w:t>
      </w:r>
      <w:r w:rsidRPr="00B774CB">
        <w:t xml:space="preserve"> </w:t>
      </w:r>
    </w:p>
    <w:p w:rsidR="00D3471C" w:rsidRPr="00B774CB" w:rsidRDefault="00D3471C" w:rsidP="00D3471C">
      <w:pPr>
        <w:pStyle w:val="CommentText"/>
        <w:jc w:val="both"/>
        <w:rPr>
          <w:sz w:val="24"/>
          <w:szCs w:val="24"/>
        </w:rPr>
      </w:pPr>
      <w:r w:rsidRPr="00B774CB">
        <w:rPr>
          <w:sz w:val="24"/>
          <w:szCs w:val="24"/>
        </w:rPr>
        <w:t>Both matching approaches have their strengths and their limitations. It is generally recommended to evaluate the probability of successful matching as a rule, and then employ a combination of deterministic and probabilistic methods that optimizes the combination of completeness of the population and accuracy of matching.</w:t>
      </w:r>
    </w:p>
    <w:p w:rsidR="00D3471C" w:rsidRPr="00B774CB" w:rsidRDefault="00D3471C" w:rsidP="00D3471C">
      <w:pPr>
        <w:jc w:val="both"/>
        <w:rPr>
          <w:sz w:val="28"/>
          <w:szCs w:val="28"/>
          <w:lang w:eastAsia="ja-JP"/>
        </w:rPr>
      </w:pPr>
      <w:bookmarkStart w:id="30" w:name="_Toc485898607"/>
    </w:p>
    <w:p w:rsidR="00082010" w:rsidRPr="00B774CB" w:rsidRDefault="00413A27" w:rsidP="00D3471C">
      <w:pPr>
        <w:pStyle w:val="Heading3"/>
        <w:rPr>
          <w:lang w:eastAsia="ja-JP"/>
        </w:rPr>
      </w:pPr>
      <w:bookmarkStart w:id="31" w:name="_Toc485898602"/>
      <w:bookmarkEnd w:id="30"/>
      <w:r w:rsidRPr="00B774CB">
        <w:lastRenderedPageBreak/>
        <w:t xml:space="preserve"> </w:t>
      </w:r>
      <w:bookmarkStart w:id="32" w:name="_Toc504994056"/>
      <w:r w:rsidR="006809CD" w:rsidRPr="00B774CB">
        <w:t xml:space="preserve">Data Storage / Processing (Security Protection against hacking, </w:t>
      </w:r>
      <w:r w:rsidR="00B876D8" w:rsidRPr="00B774CB">
        <w:t>altering, deleting</w:t>
      </w:r>
      <w:r w:rsidR="006809CD" w:rsidRPr="00B774CB">
        <w:t xml:space="preserve"> or st</w:t>
      </w:r>
      <w:r w:rsidR="002F4EBF" w:rsidRPr="00B774CB">
        <w:t>ee</w:t>
      </w:r>
      <w:r w:rsidR="006809CD" w:rsidRPr="00B774CB">
        <w:t>ling data</w:t>
      </w:r>
      <w:r w:rsidR="00082010" w:rsidRPr="00B774CB">
        <w:t>)</w:t>
      </w:r>
      <w:bookmarkEnd w:id="32"/>
    </w:p>
    <w:p w:rsidR="00E330AE" w:rsidRPr="00B774CB" w:rsidRDefault="002F4EBF" w:rsidP="00E330AE">
      <w:r w:rsidRPr="00B774CB">
        <w:t xml:space="preserve">The registry should develop a policy and establish procedures governing data storage and processing.   Such policy should identify the requirements and procedures to protect the registry data against hacking, altering, deleting or steeling of the data stored in the registry.  </w:t>
      </w:r>
    </w:p>
    <w:p w:rsidR="00E330AE" w:rsidRPr="00B774CB" w:rsidRDefault="00E330AE" w:rsidP="00E330AE"/>
    <w:p w:rsidR="006809CD" w:rsidRPr="00B774CB" w:rsidRDefault="00D3471C" w:rsidP="00413A27">
      <w:pPr>
        <w:pStyle w:val="Heading2"/>
        <w:numPr>
          <w:ilvl w:val="0"/>
          <w:numId w:val="0"/>
        </w:numPr>
      </w:pPr>
      <w:bookmarkStart w:id="33" w:name="_Toc504994057"/>
      <w:r w:rsidRPr="00B774CB">
        <w:t>4</w:t>
      </w:r>
      <w:r w:rsidR="00413A27" w:rsidRPr="00B774CB">
        <w:t xml:space="preserve">. </w:t>
      </w:r>
      <w:r w:rsidR="002F4EBF" w:rsidRPr="00B774CB">
        <w:t>4</w:t>
      </w:r>
      <w:r w:rsidR="00413A27" w:rsidRPr="00B774CB">
        <w:t xml:space="preserve">.  </w:t>
      </w:r>
      <w:r w:rsidR="00082010" w:rsidRPr="00B774CB">
        <w:t xml:space="preserve">Methodologies </w:t>
      </w:r>
      <w:r w:rsidR="0002669B" w:rsidRPr="00B774CB">
        <w:t>Leading to Actionable Data</w:t>
      </w:r>
      <w:bookmarkEnd w:id="33"/>
    </w:p>
    <w:p w:rsidR="00B876D8" w:rsidRPr="00B774CB" w:rsidRDefault="00B876D8" w:rsidP="00C13038">
      <w:pPr>
        <w:jc w:val="both"/>
        <w:rPr>
          <w:lang w:eastAsia="ja-JP"/>
        </w:rPr>
      </w:pPr>
      <w:r w:rsidRPr="00B774CB">
        <w:rPr>
          <w:lang w:eastAsia="ja-JP"/>
        </w:rPr>
        <w:t xml:space="preserve">Processes applied to registry data, such as analysis and risk adjustment modeling and inferences, can have a fundamental impact on conclusions drawn. A previous IMDRF Document </w:t>
      </w:r>
      <w:r w:rsidRPr="00B774CB">
        <w:t>“</w:t>
      </w:r>
      <w:r w:rsidRPr="00B774CB">
        <w:rPr>
          <w:color w:val="000000"/>
        </w:rPr>
        <w:t xml:space="preserve">Methodological Principles in the Use of International Medical Device Registry Data” has outlined core methodological aspects </w:t>
      </w:r>
      <w:r w:rsidRPr="00B774CB">
        <w:rPr>
          <w:lang w:eastAsia="ja-JP"/>
        </w:rPr>
        <w:t>Methodological Principles in the Use of International Medical Device Registry Data, IMDRF/Registry WG/N42FINAAL: 2017.</w:t>
      </w:r>
    </w:p>
    <w:p w:rsidR="00352560" w:rsidRPr="00B774CB" w:rsidRDefault="00352560" w:rsidP="00C13038">
      <w:pPr>
        <w:jc w:val="both"/>
        <w:rPr>
          <w:lang w:eastAsia="ja-JP"/>
        </w:rPr>
      </w:pPr>
    </w:p>
    <w:p w:rsidR="00AC5C56" w:rsidRPr="00B774CB" w:rsidRDefault="00AC5C56" w:rsidP="00AC5C56">
      <w:pPr>
        <w:jc w:val="both"/>
        <w:rPr>
          <w:rFonts w:eastAsia="Times New Roman"/>
          <w:szCs w:val="24"/>
        </w:rPr>
      </w:pPr>
      <w:r w:rsidRPr="00B774CB">
        <w:rPr>
          <w:szCs w:val="24"/>
          <w:lang w:eastAsia="ja-JP"/>
        </w:rPr>
        <w:t>T</w:t>
      </w:r>
      <w:r w:rsidRPr="00B774CB">
        <w:rPr>
          <w:rFonts w:eastAsia="Times New Roman"/>
          <w:szCs w:val="24"/>
        </w:rPr>
        <w:t xml:space="preserve">he data elements available for analysis should be capable of addressing the specific question of interest to regulators when valid and appropriate analytical methods are applied. </w:t>
      </w:r>
      <w:r w:rsidRPr="00B774CB">
        <w:rPr>
          <w:szCs w:val="24"/>
        </w:rPr>
        <w:t xml:space="preserve">The distinction should be made between the elements that all registries would share and the specifics needed in each specialty areas.  The role of specialty societies and organizations in countries will continue to be critical and need to be coordinated internationally as well as elements of all use (social and demographic elements). </w:t>
      </w:r>
      <w:r w:rsidRPr="00B774CB">
        <w:rPr>
          <w:rFonts w:eastAsia="Times New Roman"/>
          <w:szCs w:val="24"/>
        </w:rPr>
        <w:t>Modular add-on data (prospective trials) or links to data from other sources (retrospective data) when additional granular data not included in the standard registry dataset is needed for regulatory decision to be possible</w:t>
      </w:r>
    </w:p>
    <w:p w:rsidR="00150436" w:rsidRPr="00B774CB" w:rsidRDefault="00150436" w:rsidP="00AC5C56">
      <w:pPr>
        <w:jc w:val="both"/>
        <w:rPr>
          <w:rFonts w:eastAsia="Times New Roman"/>
          <w:szCs w:val="24"/>
        </w:rPr>
      </w:pPr>
    </w:p>
    <w:p w:rsidR="0010205F" w:rsidRPr="00B774CB" w:rsidRDefault="002F4EBF" w:rsidP="002F4EBF">
      <w:pPr>
        <w:pStyle w:val="Heading2"/>
        <w:numPr>
          <w:ilvl w:val="1"/>
          <w:numId w:val="48"/>
        </w:numPr>
        <w:rPr>
          <w:lang w:eastAsia="ja-JP"/>
        </w:rPr>
      </w:pPr>
      <w:bookmarkStart w:id="34" w:name="_Toc504994058"/>
      <w:bookmarkStart w:id="35" w:name="_Toc485898606"/>
      <w:bookmarkEnd w:id="31"/>
      <w:r w:rsidRPr="00B774CB">
        <w:rPr>
          <w:lang w:eastAsia="ja-JP"/>
        </w:rPr>
        <w:t>I</w:t>
      </w:r>
      <w:r w:rsidR="0010205F" w:rsidRPr="00B774CB">
        <w:rPr>
          <w:lang w:eastAsia="ja-JP"/>
        </w:rPr>
        <w:t>nterpretation</w:t>
      </w:r>
      <w:bookmarkEnd w:id="34"/>
      <w:r w:rsidR="0010205F" w:rsidRPr="00B774CB">
        <w:rPr>
          <w:lang w:eastAsia="ja-JP"/>
        </w:rPr>
        <w:t xml:space="preserve"> </w:t>
      </w:r>
    </w:p>
    <w:p w:rsidR="00B36713" w:rsidRPr="00B774CB" w:rsidRDefault="009850FD" w:rsidP="00B36713">
      <w:pPr>
        <w:jc w:val="both"/>
        <w:rPr>
          <w:lang w:eastAsia="ja-JP"/>
        </w:rPr>
      </w:pPr>
      <w:r w:rsidRPr="00B774CB">
        <w:rPr>
          <w:lang w:eastAsia="ja-JP"/>
        </w:rPr>
        <w:t xml:space="preserve">The meaning of the results should be described by experts to various stakeholders (e.g. potential changes to indications, practice </w:t>
      </w:r>
      <w:proofErr w:type="spellStart"/>
      <w:r w:rsidRPr="00B774CB">
        <w:rPr>
          <w:lang w:eastAsia="ja-JP"/>
        </w:rPr>
        <w:t>etc</w:t>
      </w:r>
      <w:proofErr w:type="spellEnd"/>
      <w:r w:rsidRPr="00B774CB">
        <w:rPr>
          <w:lang w:eastAsia="ja-JP"/>
        </w:rPr>
        <w:t xml:space="preserve">). </w:t>
      </w:r>
      <w:r w:rsidR="00B36713" w:rsidRPr="00B774CB">
        <w:t xml:space="preserve">Registries should consider 1) </w:t>
      </w:r>
      <w:proofErr w:type="gramStart"/>
      <w:r w:rsidR="00B36713" w:rsidRPr="00B774CB">
        <w:t>to disseminate</w:t>
      </w:r>
      <w:proofErr w:type="gramEnd"/>
      <w:r w:rsidR="00B36713" w:rsidRPr="00B774CB">
        <w:t xml:space="preserve"> information to various stakeholders who need to know it in an effective manner and user-friendly format and 2) to gather feedback on information's utility. </w:t>
      </w:r>
    </w:p>
    <w:p w:rsidR="00413A27" w:rsidRPr="00B774CB" w:rsidRDefault="00413A27" w:rsidP="00C13038">
      <w:pPr>
        <w:jc w:val="both"/>
        <w:rPr>
          <w:lang w:eastAsia="ja-JP"/>
        </w:rPr>
      </w:pPr>
    </w:p>
    <w:p w:rsidR="00AC5C56" w:rsidRPr="00B774CB" w:rsidRDefault="00082010" w:rsidP="00082010">
      <w:pPr>
        <w:pStyle w:val="Heading2"/>
        <w:rPr>
          <w:lang w:eastAsia="ja-JP"/>
        </w:rPr>
      </w:pPr>
      <w:bookmarkStart w:id="36" w:name="_Toc504994059"/>
      <w:r w:rsidRPr="00B774CB">
        <w:rPr>
          <w:lang w:eastAsia="ja-JP"/>
        </w:rPr>
        <w:t>Tra</w:t>
      </w:r>
      <w:r w:rsidRPr="00B774CB">
        <w:t>nsparency / Display/ Distribution</w:t>
      </w:r>
      <w:bookmarkEnd w:id="36"/>
      <w:r w:rsidRPr="00B774CB">
        <w:t xml:space="preserve"> </w:t>
      </w:r>
    </w:p>
    <w:p w:rsidR="00F33280" w:rsidRPr="00B774CB" w:rsidRDefault="00F33280" w:rsidP="00F33280">
      <w:pPr>
        <w:jc w:val="both"/>
        <w:rPr>
          <w:color w:val="000000"/>
        </w:rPr>
      </w:pPr>
      <w:bookmarkStart w:id="37" w:name="_Toc500436365"/>
      <w:bookmarkEnd w:id="37"/>
      <w:r w:rsidRPr="00B774CB">
        <w:rPr>
          <w:lang w:eastAsia="ja-JP"/>
        </w:rPr>
        <w:t xml:space="preserve">It is now widely recognized that transparency is an increasingly important aspect of healthcare provision and management. See for example the introduction to the </w:t>
      </w:r>
      <w:r w:rsidRPr="00B774CB">
        <w:rPr>
          <w:color w:val="000000"/>
          <w:lang w:eastAsia="ja-JP"/>
        </w:rPr>
        <w:t xml:space="preserve">European Medical Device Regulations) which includes the following (Regulation (EU) 2017/745 of the European Parliament and of the Council of 5 April 2017 recital 45):  </w:t>
      </w:r>
      <w:r w:rsidRPr="00B774CB">
        <w:rPr>
          <w:lang w:eastAsia="ja-JP"/>
        </w:rPr>
        <w:t xml:space="preserve"> </w:t>
      </w:r>
    </w:p>
    <w:p w:rsidR="00F33280" w:rsidRPr="00B774CB" w:rsidRDefault="00F33280" w:rsidP="00F33280">
      <w:pPr>
        <w:ind w:left="720"/>
        <w:jc w:val="both"/>
        <w:rPr>
          <w:i/>
          <w:color w:val="000000"/>
        </w:rPr>
      </w:pPr>
      <w:r w:rsidRPr="00B774CB">
        <w:rPr>
          <w:i/>
          <w:color w:val="000000"/>
        </w:rPr>
        <w:t>Transparency and adequate access to information, appropriately presented for the intended user, are essential in the public interest, to protect public health, to empower patients and healthcare professionals and to enable them to make informed decisions, to provide a sound basis for regulatory decision-making and to build confidence in the regulatory system.</w:t>
      </w:r>
    </w:p>
    <w:p w:rsidR="00F33280" w:rsidRPr="00B774CB" w:rsidRDefault="00F33280" w:rsidP="00F33280">
      <w:pPr>
        <w:rPr>
          <w:lang w:eastAsia="ja-JP"/>
        </w:rPr>
      </w:pPr>
      <w:r w:rsidRPr="00B774CB">
        <w:rPr>
          <w:lang w:eastAsia="ja-JP"/>
        </w:rPr>
        <w:t>Registry transparency and governance reflect a wide variety of real world situations. Selected considerations of direct relevance to the document's purposes are discussed here and only in relevant details.</w:t>
      </w:r>
    </w:p>
    <w:p w:rsidR="00F33280" w:rsidRPr="00B774CB" w:rsidRDefault="00F33280" w:rsidP="00F33280">
      <w:pPr>
        <w:jc w:val="both"/>
        <w:rPr>
          <w:color w:val="000000"/>
          <w:lang w:eastAsia="ja-JP"/>
        </w:rPr>
      </w:pPr>
    </w:p>
    <w:p w:rsidR="00F33280" w:rsidRPr="00B774CB" w:rsidRDefault="00F33280" w:rsidP="00EA0883">
      <w:pPr>
        <w:jc w:val="both"/>
        <w:rPr>
          <w:lang w:eastAsia="ja-JP"/>
        </w:rPr>
      </w:pPr>
      <w:r w:rsidRPr="00B774CB">
        <w:rPr>
          <w:lang w:eastAsia="ja-JP"/>
        </w:rPr>
        <w:lastRenderedPageBreak/>
        <w:t>The need for appropriate transparency in all aspects of registry activities should be taken into account by tho</w:t>
      </w:r>
      <w:r w:rsidR="00BA7E09" w:rsidRPr="00B774CB">
        <w:rPr>
          <w:lang w:eastAsia="ja-JP"/>
        </w:rPr>
        <w:t xml:space="preserve">se maintaining the registries. </w:t>
      </w:r>
      <w:r w:rsidRPr="00B774CB">
        <w:rPr>
          <w:lang w:eastAsia="ja-JP"/>
        </w:rPr>
        <w:t>Transparency is enhanced through the establishment and continuously maintenance of a publicly accessible website that: (a) describes the aims of the registry; (b) includes key information about governance processes; (c) explains how to participate in the registry; and (d) discloses how the registry is funded. The need for transparency should be balanced by the need to maintain confidentiality with regard to identifiable information about patients, clinicians and devices.</w:t>
      </w:r>
    </w:p>
    <w:p w:rsidR="00F33280" w:rsidRPr="00B774CB" w:rsidRDefault="00F33280" w:rsidP="00EA0883">
      <w:pPr>
        <w:jc w:val="both"/>
        <w:rPr>
          <w:color w:val="000000"/>
        </w:rPr>
      </w:pPr>
    </w:p>
    <w:p w:rsidR="006809CD" w:rsidRPr="00B774CB" w:rsidRDefault="006809CD" w:rsidP="00EA0883">
      <w:pPr>
        <w:jc w:val="both"/>
        <w:rPr>
          <w:szCs w:val="24"/>
        </w:rPr>
      </w:pPr>
      <w:r w:rsidRPr="00B774CB">
        <w:rPr>
          <w:szCs w:val="24"/>
        </w:rPr>
        <w:t xml:space="preserve">It is important to enhance the objective of the registry reports especially with reference to the correlations with the vigilance (see the reference to the safety signals on implant deficiency). The reports published by the registries are recommended to include the number of devices used, overall percentage of patient exposure to the device that is captured in the registry, representativeness of the registry population to the treated population, patient demographic data (presented as aggregated data), procedure related information, major outcomes captured in the registry and via linkage, and methods used to generate results. </w:t>
      </w:r>
    </w:p>
    <w:p w:rsidR="006809CD" w:rsidRPr="00B774CB" w:rsidRDefault="006809CD" w:rsidP="00EA0883">
      <w:pPr>
        <w:pStyle w:val="CommentText"/>
        <w:jc w:val="both"/>
        <w:rPr>
          <w:sz w:val="24"/>
          <w:szCs w:val="24"/>
        </w:rPr>
      </w:pPr>
    </w:p>
    <w:p w:rsidR="006809CD" w:rsidRPr="00B774CB" w:rsidRDefault="006809CD" w:rsidP="00EA0883">
      <w:pPr>
        <w:pStyle w:val="CommentText"/>
        <w:jc w:val="both"/>
        <w:rPr>
          <w:sz w:val="24"/>
          <w:szCs w:val="24"/>
        </w:rPr>
      </w:pPr>
      <w:r w:rsidRPr="00B774CB">
        <w:rPr>
          <w:sz w:val="24"/>
          <w:szCs w:val="24"/>
        </w:rPr>
        <w:t xml:space="preserve">Publication of data should respect the national / international rules for data protection. The reports should contain the results of the preliminary and final assessment of the accumulated data including the adjusted analyses. The information regarding device-related adverse events should be reported in conjunction with the report to the manufacturer, physicians, and regulatory agencies. It is recommended that reports are published annually using agreed upon format. The methodology applied for the adjusted analyses should be available to regulators upon request.  </w:t>
      </w:r>
    </w:p>
    <w:p w:rsidR="006809CD" w:rsidRPr="00B774CB" w:rsidRDefault="006809CD" w:rsidP="00EA0883">
      <w:pPr>
        <w:pStyle w:val="CommentText"/>
        <w:jc w:val="both"/>
        <w:rPr>
          <w:lang w:eastAsia="ja-JP"/>
        </w:rPr>
      </w:pPr>
    </w:p>
    <w:p w:rsidR="00F75D66" w:rsidRDefault="006809CD" w:rsidP="00EA0883">
      <w:pPr>
        <w:jc w:val="both"/>
        <w:rPr>
          <w:lang w:eastAsia="ja-JP"/>
        </w:rPr>
      </w:pPr>
      <w:r w:rsidRPr="00B774CB">
        <w:rPr>
          <w:lang w:eastAsia="ja-JP"/>
        </w:rPr>
        <w:t>Websites are important tools for informing all stakeholders concerning various aspects of a registry, their internal processes, and findings identified safety signals on implant deficiency or limitations of their evaluations. The registries should be encouraged to take proactive use of this opportunity. Annual Reports as well as scientific publications (e.g., peer reviewed publications or practice guidelines) use of the registry source for determining outcomes-based quality assessments, validated predictive risk modeling, signal detection, performance improvement, benchmarking, and other clinically-meaningful uses</w:t>
      </w:r>
      <w:r w:rsidR="003A6943" w:rsidRPr="00B774CB">
        <w:rPr>
          <w:lang w:eastAsia="ja-JP"/>
        </w:rPr>
        <w:t>.</w:t>
      </w:r>
    </w:p>
    <w:p w:rsidR="00785859" w:rsidRPr="00B774CB" w:rsidRDefault="00785859" w:rsidP="00EA0883">
      <w:pPr>
        <w:jc w:val="both"/>
        <w:rPr>
          <w:lang w:eastAsia="ja-JP"/>
        </w:rPr>
        <w:sectPr w:rsidR="00785859" w:rsidRPr="00B774CB" w:rsidSect="00EA0883">
          <w:footerReference w:type="default" r:id="rId33"/>
          <w:pgSz w:w="12240" w:h="15840" w:code="1"/>
          <w:pgMar w:top="1440" w:right="1170" w:bottom="1134" w:left="1440" w:header="720" w:footer="690" w:gutter="0"/>
          <w:cols w:space="720"/>
          <w:docGrid w:linePitch="326"/>
        </w:sectPr>
      </w:pPr>
    </w:p>
    <w:p w:rsidR="004A46BB" w:rsidRPr="00B774CB" w:rsidRDefault="000B1E9B" w:rsidP="00F75D66">
      <w:pPr>
        <w:pStyle w:val="Heading1"/>
        <w:rPr>
          <w:lang w:eastAsia="ja-JP"/>
        </w:rPr>
      </w:pPr>
      <w:bookmarkStart w:id="38" w:name="_Toc500436368"/>
      <w:bookmarkStart w:id="39" w:name="_Toc500437129"/>
      <w:bookmarkStart w:id="40" w:name="_Toc500437165"/>
      <w:bookmarkStart w:id="41" w:name="_Toc500436369"/>
      <w:bookmarkStart w:id="42" w:name="_Toc500437130"/>
      <w:bookmarkStart w:id="43" w:name="_Toc500437166"/>
      <w:bookmarkStart w:id="44" w:name="_Toc500436370"/>
      <w:bookmarkStart w:id="45" w:name="_Toc500437131"/>
      <w:bookmarkStart w:id="46" w:name="_Toc500437167"/>
      <w:bookmarkStart w:id="47" w:name="_Toc500436371"/>
      <w:bookmarkStart w:id="48" w:name="_Toc500437132"/>
      <w:bookmarkStart w:id="49" w:name="_Toc500437168"/>
      <w:bookmarkStart w:id="50" w:name="_Toc500436372"/>
      <w:bookmarkStart w:id="51" w:name="_Toc500437133"/>
      <w:bookmarkStart w:id="52" w:name="_Toc500437169"/>
      <w:bookmarkStart w:id="53" w:name="_Toc500436373"/>
      <w:bookmarkStart w:id="54" w:name="_Toc500437134"/>
      <w:bookmarkStart w:id="55" w:name="_Toc500437170"/>
      <w:bookmarkStart w:id="56" w:name="_Toc500436374"/>
      <w:bookmarkStart w:id="57" w:name="_Toc500437135"/>
      <w:bookmarkStart w:id="58" w:name="_Toc500437171"/>
      <w:bookmarkStart w:id="59" w:name="_Toc500436375"/>
      <w:bookmarkStart w:id="60" w:name="_Toc500437136"/>
      <w:bookmarkStart w:id="61" w:name="_Toc500437172"/>
      <w:bookmarkStart w:id="62" w:name="_Toc500436376"/>
      <w:bookmarkStart w:id="63" w:name="_Toc500437137"/>
      <w:bookmarkStart w:id="64" w:name="_Toc500437173"/>
      <w:bookmarkStart w:id="65" w:name="_Toc500436377"/>
      <w:bookmarkStart w:id="66" w:name="_Toc500437138"/>
      <w:bookmarkStart w:id="67" w:name="_Toc500437174"/>
      <w:bookmarkStart w:id="68" w:name="_Toc500436378"/>
      <w:bookmarkStart w:id="69" w:name="_Toc500437139"/>
      <w:bookmarkStart w:id="70" w:name="_Toc500437175"/>
      <w:bookmarkStart w:id="71" w:name="_Toc504994060"/>
      <w:bookmarkStart w:id="72" w:name="_Toc485898620"/>
      <w:bookmarkEnd w:id="35"/>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B774CB">
        <w:rPr>
          <w:lang w:eastAsia="ja-JP"/>
        </w:rPr>
        <w:lastRenderedPageBreak/>
        <w:t xml:space="preserve">APPENDIX 1:  </w:t>
      </w:r>
      <w:r w:rsidR="0086598B" w:rsidRPr="00B774CB">
        <w:rPr>
          <w:lang w:eastAsia="ja-JP"/>
        </w:rPr>
        <w:t>Proposed</w:t>
      </w:r>
      <w:r w:rsidR="009151AF" w:rsidRPr="00B774CB">
        <w:rPr>
          <w:lang w:eastAsia="ja-JP"/>
        </w:rPr>
        <w:t xml:space="preserve"> </w:t>
      </w:r>
      <w:r w:rsidR="00510E5F" w:rsidRPr="00B774CB">
        <w:rPr>
          <w:lang w:eastAsia="ja-JP"/>
        </w:rPr>
        <w:t xml:space="preserve">Areas of Emphasis for an </w:t>
      </w:r>
      <w:r w:rsidR="00976DEB" w:rsidRPr="00B774CB">
        <w:rPr>
          <w:lang w:eastAsia="ja-JP"/>
        </w:rPr>
        <w:t xml:space="preserve">Assessment </w:t>
      </w:r>
      <w:r w:rsidR="00510E5F" w:rsidRPr="00B774CB">
        <w:rPr>
          <w:lang w:eastAsia="ja-JP"/>
        </w:rPr>
        <w:t xml:space="preserve">of </w:t>
      </w:r>
      <w:r w:rsidR="00976DEB" w:rsidRPr="00B774CB">
        <w:rPr>
          <w:lang w:eastAsia="ja-JP"/>
        </w:rPr>
        <w:t xml:space="preserve">Regulatory </w:t>
      </w:r>
      <w:r w:rsidR="00602829" w:rsidRPr="00B774CB">
        <w:rPr>
          <w:lang w:eastAsia="ja-JP"/>
        </w:rPr>
        <w:t>Use</w:t>
      </w:r>
      <w:bookmarkEnd w:id="71"/>
      <w:r w:rsidR="00602829" w:rsidRPr="00B774CB">
        <w:rPr>
          <w:lang w:eastAsia="ja-JP"/>
        </w:rPr>
        <w:t xml:space="preserve"> </w:t>
      </w:r>
      <w:bookmarkEnd w:id="72"/>
    </w:p>
    <w:tbl>
      <w:tblPr>
        <w:tblW w:w="13761"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left w:w="115" w:type="dxa"/>
          <w:right w:w="115" w:type="dxa"/>
        </w:tblCellMar>
        <w:tblLook w:val="04A0" w:firstRow="1" w:lastRow="0" w:firstColumn="1" w:lastColumn="0" w:noHBand="0" w:noVBand="1"/>
      </w:tblPr>
      <w:tblGrid>
        <w:gridCol w:w="3504"/>
        <w:gridCol w:w="1692"/>
        <w:gridCol w:w="1416"/>
        <w:gridCol w:w="1249"/>
        <w:gridCol w:w="1438"/>
        <w:gridCol w:w="1522"/>
        <w:gridCol w:w="1458"/>
        <w:gridCol w:w="1482"/>
      </w:tblGrid>
      <w:tr w:rsidR="00FD5BE1" w:rsidRPr="00B774CB" w:rsidTr="00B774CB">
        <w:trPr>
          <w:trHeight w:val="705"/>
          <w:jc w:val="center"/>
        </w:trPr>
        <w:tc>
          <w:tcPr>
            <w:tcW w:w="3504" w:type="dxa"/>
            <w:tcBorders>
              <w:top w:val="single" w:sz="8" w:space="0" w:color="FFFFFF"/>
              <w:left w:val="single" w:sz="8" w:space="0" w:color="FFFFFF"/>
              <w:bottom w:val="single" w:sz="24" w:space="0" w:color="FFFFFF"/>
              <w:right w:val="single" w:sz="8" w:space="0" w:color="FFFFFF"/>
            </w:tcBorders>
            <w:shd w:val="clear" w:color="auto" w:fill="4F81BD"/>
            <w:hideMark/>
          </w:tcPr>
          <w:p w:rsidR="00FD5BE1" w:rsidRPr="00B774CB" w:rsidRDefault="00FD5BE1" w:rsidP="00A77269">
            <w:pPr>
              <w:jc w:val="center"/>
              <w:rPr>
                <w:rFonts w:eastAsia="Times New Roman"/>
                <w:b/>
                <w:bCs/>
                <w:color w:val="000000"/>
                <w:szCs w:val="24"/>
              </w:rPr>
            </w:pPr>
          </w:p>
          <w:p w:rsidR="00FD5BE1" w:rsidRPr="00B774CB" w:rsidRDefault="00FD5BE1" w:rsidP="00A77269">
            <w:pPr>
              <w:jc w:val="center"/>
              <w:rPr>
                <w:b/>
                <w:color w:val="000000"/>
                <w:sz w:val="36"/>
              </w:rPr>
            </w:pPr>
            <w:r w:rsidRPr="00B774CB">
              <w:rPr>
                <w:rFonts w:eastAsia="Times New Roman"/>
                <w:b/>
                <w:bCs/>
                <w:color w:val="000000"/>
                <w:sz w:val="36"/>
                <w:szCs w:val="36"/>
              </w:rPr>
              <w:t>ELEMENTS</w:t>
            </w:r>
          </w:p>
        </w:tc>
        <w:tc>
          <w:tcPr>
            <w:tcW w:w="8775" w:type="dxa"/>
            <w:gridSpan w:val="6"/>
            <w:tcBorders>
              <w:top w:val="single" w:sz="8" w:space="0" w:color="FFFFFF"/>
              <w:left w:val="single" w:sz="8" w:space="0" w:color="FFFFFF"/>
              <w:bottom w:val="single" w:sz="24" w:space="0" w:color="FFFFFF"/>
              <w:right w:val="single" w:sz="4" w:space="0" w:color="4F81BD" w:themeColor="accent1"/>
            </w:tcBorders>
            <w:shd w:val="clear" w:color="auto" w:fill="4F81BD"/>
            <w:hideMark/>
          </w:tcPr>
          <w:p w:rsidR="00FD5BE1" w:rsidRPr="00B774CB" w:rsidRDefault="00FD5BE1" w:rsidP="004E6F18">
            <w:pPr>
              <w:jc w:val="center"/>
              <w:rPr>
                <w:rFonts w:eastAsia="Times New Roman"/>
                <w:b/>
                <w:bCs/>
                <w:color w:val="000000"/>
                <w:szCs w:val="24"/>
              </w:rPr>
            </w:pPr>
          </w:p>
          <w:p w:rsidR="00FD5BE1" w:rsidRPr="00B774CB" w:rsidRDefault="00FD5BE1" w:rsidP="00FD2384">
            <w:pPr>
              <w:jc w:val="center"/>
              <w:rPr>
                <w:b/>
                <w:color w:val="000000"/>
              </w:rPr>
            </w:pPr>
            <w:r w:rsidRPr="00B774CB">
              <w:rPr>
                <w:rFonts w:eastAsia="Times New Roman"/>
                <w:b/>
                <w:bCs/>
                <w:color w:val="000000"/>
                <w:sz w:val="32"/>
                <w:szCs w:val="32"/>
              </w:rPr>
              <w:t xml:space="preserve">REGULATORY </w:t>
            </w:r>
            <w:r w:rsidR="00A907B2" w:rsidRPr="00B774CB">
              <w:rPr>
                <w:rFonts w:eastAsia="Times New Roman"/>
                <w:b/>
                <w:bCs/>
                <w:color w:val="000000"/>
                <w:sz w:val="32"/>
                <w:szCs w:val="32"/>
              </w:rPr>
              <w:t>CATEGORIES</w:t>
            </w:r>
            <w:r w:rsidRPr="00B774CB">
              <w:rPr>
                <w:rFonts w:eastAsia="Times New Roman"/>
                <w:b/>
                <w:bCs/>
                <w:color w:val="000000"/>
                <w:sz w:val="32"/>
                <w:szCs w:val="32"/>
              </w:rPr>
              <w:t xml:space="preserve"> </w:t>
            </w:r>
            <w:r w:rsidRPr="00B774CB">
              <w:rPr>
                <w:rFonts w:eastAsia="Times New Roman"/>
                <w:b/>
                <w:bCs/>
                <w:color w:val="000000"/>
                <w:sz w:val="32"/>
                <w:szCs w:val="32"/>
              </w:rPr>
              <w:br/>
            </w:r>
          </w:p>
        </w:tc>
        <w:tc>
          <w:tcPr>
            <w:tcW w:w="1482" w:type="dxa"/>
            <w:tcBorders>
              <w:top w:val="single" w:sz="8" w:space="0" w:color="FFFFFF"/>
              <w:left w:val="single" w:sz="4" w:space="0" w:color="4F81BD" w:themeColor="accent1"/>
              <w:bottom w:val="single" w:sz="24" w:space="0" w:color="FFFFFF"/>
              <w:right w:val="single" w:sz="8" w:space="0" w:color="FFFFFF"/>
            </w:tcBorders>
            <w:shd w:val="clear" w:color="auto" w:fill="4F81BD"/>
          </w:tcPr>
          <w:p w:rsidR="00FD5BE1" w:rsidRPr="00B774CB" w:rsidRDefault="00FD5BE1" w:rsidP="004E6F18">
            <w:pPr>
              <w:jc w:val="center"/>
              <w:rPr>
                <w:rFonts w:eastAsia="Times New Roman"/>
                <w:b/>
                <w:bCs/>
                <w:color w:val="000000"/>
                <w:szCs w:val="24"/>
              </w:rPr>
            </w:pPr>
          </w:p>
        </w:tc>
      </w:tr>
      <w:tr w:rsidR="00FD5BE1" w:rsidRPr="00B774CB" w:rsidTr="00B774CB">
        <w:trPr>
          <w:trHeight w:val="772"/>
          <w:jc w:val="center"/>
        </w:trPr>
        <w:tc>
          <w:tcPr>
            <w:tcW w:w="3504" w:type="dxa"/>
            <w:tcBorders>
              <w:top w:val="single" w:sz="8" w:space="0" w:color="FFFFFF"/>
              <w:left w:val="single" w:sz="8" w:space="0" w:color="FFFFFF"/>
              <w:right w:val="single" w:sz="24" w:space="0" w:color="FFFFFF"/>
            </w:tcBorders>
            <w:shd w:val="clear" w:color="auto" w:fill="4F81BD"/>
            <w:hideMark/>
          </w:tcPr>
          <w:p w:rsidR="00FD5BE1" w:rsidRPr="00B774CB" w:rsidRDefault="00FD5BE1" w:rsidP="004A46BB">
            <w:pPr>
              <w:rPr>
                <w:b/>
                <w:color w:val="000000"/>
                <w:sz w:val="22"/>
                <w:szCs w:val="22"/>
              </w:rPr>
            </w:pPr>
          </w:p>
        </w:tc>
        <w:tc>
          <w:tcPr>
            <w:tcW w:w="1692" w:type="dxa"/>
            <w:tcBorders>
              <w:top w:val="single" w:sz="8" w:space="0" w:color="FFFFFF"/>
              <w:left w:val="single" w:sz="8" w:space="0" w:color="FFFFFF"/>
              <w:bottom w:val="single" w:sz="8" w:space="0" w:color="FFFFFF"/>
              <w:right w:val="single" w:sz="8" w:space="0" w:color="FFFFFF"/>
            </w:tcBorders>
            <w:shd w:val="clear" w:color="auto" w:fill="A7BFDE"/>
            <w:hideMark/>
          </w:tcPr>
          <w:p w:rsidR="00FD5BE1" w:rsidRPr="00B774CB" w:rsidRDefault="00FD5BE1" w:rsidP="004E6F18">
            <w:pPr>
              <w:jc w:val="center"/>
              <w:rPr>
                <w:b/>
                <w:color w:val="000000"/>
                <w:sz w:val="22"/>
                <w:szCs w:val="22"/>
              </w:rPr>
            </w:pPr>
            <w:r w:rsidRPr="00B774CB">
              <w:rPr>
                <w:b/>
                <w:color w:val="000000"/>
                <w:sz w:val="22"/>
                <w:szCs w:val="22"/>
              </w:rPr>
              <w:t xml:space="preserve">Initial  </w:t>
            </w:r>
            <w:r w:rsidRPr="00B774CB">
              <w:rPr>
                <w:rFonts w:eastAsia="Times New Roman"/>
                <w:b/>
                <w:color w:val="000000"/>
                <w:sz w:val="22"/>
                <w:szCs w:val="22"/>
              </w:rPr>
              <w:t>Approval</w:t>
            </w:r>
            <w:r w:rsidR="00A56E29" w:rsidRPr="00B774CB">
              <w:rPr>
                <w:rFonts w:eastAsia="Times New Roman"/>
                <w:b/>
                <w:color w:val="000000"/>
                <w:sz w:val="22"/>
                <w:szCs w:val="22"/>
              </w:rPr>
              <w:t>*</w:t>
            </w:r>
          </w:p>
        </w:tc>
        <w:tc>
          <w:tcPr>
            <w:tcW w:w="1416" w:type="dxa"/>
            <w:tcBorders>
              <w:top w:val="single" w:sz="8" w:space="0" w:color="FFFFFF"/>
              <w:left w:val="single" w:sz="8" w:space="0" w:color="FFFFFF"/>
              <w:bottom w:val="single" w:sz="8" w:space="0" w:color="FFFFFF"/>
              <w:right w:val="single" w:sz="8" w:space="0" w:color="FFFFFF"/>
            </w:tcBorders>
            <w:shd w:val="clear" w:color="auto" w:fill="A7BFDE"/>
            <w:hideMark/>
          </w:tcPr>
          <w:p w:rsidR="00FD5BE1" w:rsidRPr="00B774CB" w:rsidRDefault="00FD5BE1" w:rsidP="004E6F18">
            <w:pPr>
              <w:jc w:val="center"/>
              <w:rPr>
                <w:b/>
                <w:color w:val="000000"/>
                <w:sz w:val="22"/>
                <w:szCs w:val="22"/>
              </w:rPr>
            </w:pPr>
            <w:r w:rsidRPr="00B774CB">
              <w:rPr>
                <w:rFonts w:eastAsia="Times New Roman"/>
                <w:b/>
                <w:color w:val="000000"/>
                <w:sz w:val="22"/>
                <w:szCs w:val="22"/>
              </w:rPr>
              <w:t>Broadening  Indication</w:t>
            </w:r>
            <w:r w:rsidR="00A56E29" w:rsidRPr="00B774CB">
              <w:rPr>
                <w:rFonts w:eastAsia="Times New Roman"/>
                <w:b/>
                <w:color w:val="000000"/>
                <w:sz w:val="22"/>
                <w:szCs w:val="22"/>
              </w:rPr>
              <w:t>**</w:t>
            </w:r>
          </w:p>
        </w:tc>
        <w:tc>
          <w:tcPr>
            <w:tcW w:w="1249" w:type="dxa"/>
            <w:tcBorders>
              <w:top w:val="single" w:sz="8" w:space="0" w:color="FFFFFF"/>
              <w:left w:val="single" w:sz="8" w:space="0" w:color="FFFFFF"/>
              <w:bottom w:val="single" w:sz="8" w:space="0" w:color="FFFFFF"/>
              <w:right w:val="single" w:sz="8" w:space="0" w:color="FFFFFF"/>
            </w:tcBorders>
            <w:shd w:val="clear" w:color="auto" w:fill="A7BFDE"/>
            <w:hideMark/>
          </w:tcPr>
          <w:p w:rsidR="00FD5BE1" w:rsidRPr="00B774CB" w:rsidRDefault="00FD5BE1" w:rsidP="007D0EAC">
            <w:pPr>
              <w:jc w:val="center"/>
              <w:rPr>
                <w:b/>
                <w:color w:val="000000"/>
                <w:sz w:val="22"/>
                <w:szCs w:val="22"/>
              </w:rPr>
            </w:pPr>
            <w:r w:rsidRPr="00B774CB">
              <w:rPr>
                <w:b/>
                <w:color w:val="000000"/>
                <w:sz w:val="22"/>
                <w:szCs w:val="22"/>
              </w:rPr>
              <w:t xml:space="preserve">Post </w:t>
            </w:r>
            <w:r w:rsidR="007D0EAC" w:rsidRPr="00B774CB">
              <w:rPr>
                <w:b/>
                <w:color w:val="000000"/>
                <w:sz w:val="22"/>
                <w:szCs w:val="22"/>
              </w:rPr>
              <w:t>m</w:t>
            </w:r>
            <w:r w:rsidRPr="00B774CB">
              <w:rPr>
                <w:b/>
                <w:color w:val="000000"/>
                <w:sz w:val="22"/>
                <w:szCs w:val="22"/>
              </w:rPr>
              <w:t xml:space="preserve">arket </w:t>
            </w:r>
            <w:r w:rsidR="007D0EAC" w:rsidRPr="00B774CB">
              <w:rPr>
                <w:b/>
                <w:color w:val="000000"/>
                <w:sz w:val="22"/>
                <w:szCs w:val="22"/>
              </w:rPr>
              <w:t>s</w:t>
            </w:r>
            <w:r w:rsidRPr="00B774CB">
              <w:rPr>
                <w:b/>
                <w:color w:val="000000"/>
                <w:sz w:val="22"/>
                <w:szCs w:val="22"/>
              </w:rPr>
              <w:t>tudy</w:t>
            </w:r>
          </w:p>
        </w:tc>
        <w:tc>
          <w:tcPr>
            <w:tcW w:w="1438" w:type="dxa"/>
            <w:tcBorders>
              <w:top w:val="single" w:sz="4" w:space="0" w:color="0070C0"/>
              <w:left w:val="single" w:sz="8" w:space="0" w:color="FFFFFF"/>
              <w:bottom w:val="single" w:sz="8" w:space="0" w:color="FFFFFF"/>
              <w:right w:val="single" w:sz="8" w:space="0" w:color="FFFFFF"/>
            </w:tcBorders>
            <w:shd w:val="clear" w:color="auto" w:fill="A7BFDE"/>
            <w:hideMark/>
          </w:tcPr>
          <w:p w:rsidR="00FD5BE1" w:rsidRPr="00B774CB" w:rsidRDefault="00FD5BE1" w:rsidP="004E6F18">
            <w:pPr>
              <w:jc w:val="center"/>
              <w:rPr>
                <w:b/>
                <w:color w:val="000000"/>
                <w:sz w:val="22"/>
                <w:szCs w:val="22"/>
              </w:rPr>
            </w:pPr>
            <w:proofErr w:type="spellStart"/>
            <w:r w:rsidRPr="00B774CB">
              <w:rPr>
                <w:b/>
                <w:color w:val="000000"/>
                <w:sz w:val="22"/>
                <w:szCs w:val="22"/>
              </w:rPr>
              <w:t>Postmarket</w:t>
            </w:r>
            <w:proofErr w:type="spellEnd"/>
            <w:r w:rsidRPr="00B774CB">
              <w:rPr>
                <w:b/>
                <w:color w:val="000000"/>
                <w:sz w:val="22"/>
                <w:szCs w:val="22"/>
              </w:rPr>
              <w:t xml:space="preserve"> Surveillance</w:t>
            </w:r>
          </w:p>
        </w:tc>
        <w:tc>
          <w:tcPr>
            <w:tcW w:w="1522" w:type="dxa"/>
            <w:tcBorders>
              <w:top w:val="single" w:sz="8" w:space="0" w:color="FFFFFF"/>
              <w:left w:val="single" w:sz="8" w:space="0" w:color="FFFFFF"/>
              <w:bottom w:val="single" w:sz="8" w:space="0" w:color="FFFFFF"/>
              <w:right w:val="single" w:sz="8" w:space="0" w:color="FFFFFF"/>
            </w:tcBorders>
            <w:shd w:val="clear" w:color="auto" w:fill="A7BFDE"/>
            <w:hideMark/>
          </w:tcPr>
          <w:p w:rsidR="00FD5BE1" w:rsidRPr="00B774CB" w:rsidRDefault="00FD5BE1" w:rsidP="007D0EAC">
            <w:pPr>
              <w:jc w:val="center"/>
              <w:rPr>
                <w:b/>
                <w:color w:val="000000"/>
                <w:sz w:val="22"/>
                <w:szCs w:val="22"/>
              </w:rPr>
            </w:pPr>
            <w:r w:rsidRPr="00B774CB">
              <w:rPr>
                <w:b/>
                <w:color w:val="000000"/>
                <w:sz w:val="22"/>
                <w:szCs w:val="22"/>
              </w:rPr>
              <w:t>Development of OPC/PG</w:t>
            </w:r>
          </w:p>
        </w:tc>
        <w:tc>
          <w:tcPr>
            <w:tcW w:w="1458" w:type="dxa"/>
            <w:tcBorders>
              <w:top w:val="single" w:sz="8" w:space="0" w:color="FFFFFF"/>
              <w:left w:val="single" w:sz="8" w:space="0" w:color="FFFFFF"/>
              <w:bottom w:val="single" w:sz="8" w:space="0" w:color="FFFFFF"/>
              <w:right w:val="single" w:sz="8" w:space="0" w:color="FFFFFF"/>
            </w:tcBorders>
            <w:shd w:val="clear" w:color="auto" w:fill="A7BFDE"/>
            <w:hideMark/>
          </w:tcPr>
          <w:p w:rsidR="00FD5BE1" w:rsidRPr="00B774CB" w:rsidRDefault="00FD5BE1" w:rsidP="004E6F18">
            <w:pPr>
              <w:jc w:val="center"/>
              <w:rPr>
                <w:b/>
                <w:color w:val="000000"/>
                <w:sz w:val="22"/>
                <w:szCs w:val="22"/>
              </w:rPr>
            </w:pPr>
            <w:r w:rsidRPr="00B774CB">
              <w:rPr>
                <w:b/>
                <w:color w:val="000000"/>
                <w:sz w:val="22"/>
                <w:szCs w:val="22"/>
              </w:rPr>
              <w:t xml:space="preserve">Device Tracking </w:t>
            </w:r>
          </w:p>
        </w:tc>
        <w:tc>
          <w:tcPr>
            <w:tcW w:w="1482" w:type="dxa"/>
            <w:tcBorders>
              <w:top w:val="single" w:sz="8" w:space="0" w:color="FFFFFF"/>
              <w:left w:val="single" w:sz="8" w:space="0" w:color="FFFFFF"/>
              <w:bottom w:val="single" w:sz="8" w:space="0" w:color="FFFFFF"/>
              <w:right w:val="single" w:sz="8" w:space="0" w:color="FFFFFF"/>
            </w:tcBorders>
            <w:shd w:val="clear" w:color="auto" w:fill="A7BFDE"/>
          </w:tcPr>
          <w:p w:rsidR="00FD5BE1" w:rsidRPr="00B774CB" w:rsidRDefault="00FD5BE1" w:rsidP="004E6F18">
            <w:pPr>
              <w:jc w:val="center"/>
              <w:rPr>
                <w:b/>
                <w:color w:val="000000"/>
                <w:sz w:val="22"/>
                <w:szCs w:val="22"/>
              </w:rPr>
            </w:pPr>
            <w:r w:rsidRPr="00B774CB">
              <w:rPr>
                <w:b/>
                <w:color w:val="000000"/>
                <w:sz w:val="22"/>
                <w:szCs w:val="22"/>
              </w:rPr>
              <w:t xml:space="preserve">Field Safety Corrective </w:t>
            </w:r>
            <w:r w:rsidRPr="00B774CB">
              <w:rPr>
                <w:rFonts w:eastAsia="Times New Roman"/>
                <w:b/>
                <w:color w:val="000000"/>
                <w:sz w:val="22"/>
                <w:szCs w:val="22"/>
              </w:rPr>
              <w:t>Actions</w:t>
            </w:r>
          </w:p>
        </w:tc>
      </w:tr>
      <w:tr w:rsidR="004579BD" w:rsidRPr="00B774CB" w:rsidTr="00B774CB">
        <w:trPr>
          <w:trHeight w:val="302"/>
          <w:jc w:val="center"/>
        </w:trPr>
        <w:tc>
          <w:tcPr>
            <w:tcW w:w="3504" w:type="dxa"/>
            <w:tcBorders>
              <w:left w:val="single" w:sz="8" w:space="0" w:color="FFFFFF"/>
              <w:bottom w:val="single" w:sz="4" w:space="0" w:color="auto"/>
              <w:right w:val="single" w:sz="24" w:space="0" w:color="FFFFFF"/>
            </w:tcBorders>
            <w:shd w:val="clear" w:color="auto" w:fill="DBE5F1" w:themeFill="accent1" w:themeFillTint="33"/>
            <w:hideMark/>
          </w:tcPr>
          <w:p w:rsidR="004579BD" w:rsidRPr="00B774CB" w:rsidRDefault="004579BD" w:rsidP="004579BD">
            <w:pPr>
              <w:rPr>
                <w:b/>
                <w:color w:val="000000"/>
                <w:sz w:val="22"/>
                <w:szCs w:val="22"/>
              </w:rPr>
            </w:pPr>
            <w:r w:rsidRPr="00B774CB">
              <w:rPr>
                <w:rFonts w:eastAsia="Times New Roman"/>
                <w:b/>
                <w:bCs/>
                <w:color w:val="000000"/>
                <w:sz w:val="22"/>
                <w:szCs w:val="22"/>
              </w:rPr>
              <w:t>Governance</w:t>
            </w:r>
          </w:p>
        </w:tc>
        <w:tc>
          <w:tcPr>
            <w:tcW w:w="8775" w:type="dxa"/>
            <w:gridSpan w:val="6"/>
            <w:tcBorders>
              <w:bottom w:val="single" w:sz="4" w:space="0" w:color="auto"/>
            </w:tcBorders>
            <w:shd w:val="clear" w:color="auto" w:fill="DBE5F1" w:themeFill="accent1" w:themeFillTint="33"/>
            <w:hideMark/>
          </w:tcPr>
          <w:p w:rsidR="004579BD" w:rsidRPr="00B774CB" w:rsidRDefault="004579BD" w:rsidP="004579BD">
            <w:pPr>
              <w:rPr>
                <w:color w:val="000000"/>
                <w:sz w:val="22"/>
                <w:szCs w:val="22"/>
              </w:rPr>
            </w:pPr>
            <w:r w:rsidRPr="00B774CB">
              <w:rPr>
                <w:rFonts w:eastAsia="Times New Roman"/>
                <w:color w:val="000000"/>
                <w:sz w:val="22"/>
                <w:szCs w:val="22"/>
              </w:rPr>
              <w:t> </w:t>
            </w:r>
          </w:p>
        </w:tc>
        <w:tc>
          <w:tcPr>
            <w:tcW w:w="1482" w:type="dxa"/>
            <w:tcBorders>
              <w:bottom w:val="single" w:sz="4" w:space="0" w:color="auto"/>
            </w:tcBorders>
            <w:shd w:val="clear" w:color="auto" w:fill="DBE5F1" w:themeFill="accent1" w:themeFillTint="33"/>
          </w:tcPr>
          <w:p w:rsidR="004579BD" w:rsidRPr="00B774CB" w:rsidRDefault="004579BD" w:rsidP="004579BD">
            <w:pPr>
              <w:rPr>
                <w:rFonts w:eastAsia="Times New Roman"/>
                <w:color w:val="000000"/>
                <w:sz w:val="22"/>
                <w:szCs w:val="22"/>
              </w:rPr>
            </w:pPr>
          </w:p>
        </w:tc>
      </w:tr>
      <w:tr w:rsidR="004579BD" w:rsidRPr="00B774CB" w:rsidTr="00B774CB">
        <w:trPr>
          <w:trHeight w:val="440"/>
          <w:jc w:val="center"/>
        </w:trPr>
        <w:tc>
          <w:tcPr>
            <w:tcW w:w="3504" w:type="dxa"/>
            <w:tcBorders>
              <w:top w:val="single" w:sz="4" w:space="0" w:color="auto"/>
              <w:left w:val="single" w:sz="8" w:space="0" w:color="FFFFFF"/>
              <w:right w:val="single" w:sz="24" w:space="0" w:color="FFFFFF"/>
            </w:tcBorders>
            <w:shd w:val="clear" w:color="auto" w:fill="4F81BD"/>
          </w:tcPr>
          <w:p w:rsidR="004579BD" w:rsidRPr="00B774CB" w:rsidRDefault="004579BD" w:rsidP="00082010">
            <w:pPr>
              <w:rPr>
                <w:rFonts w:eastAsia="Times New Roman"/>
                <w:b/>
                <w:bCs/>
                <w:color w:val="000000"/>
                <w:sz w:val="22"/>
                <w:szCs w:val="22"/>
              </w:rPr>
            </w:pPr>
            <w:r w:rsidRPr="00B774CB">
              <w:rPr>
                <w:rFonts w:eastAsia="Times New Roman"/>
                <w:bCs/>
                <w:color w:val="000000"/>
                <w:sz w:val="22"/>
                <w:szCs w:val="22"/>
              </w:rPr>
              <w:t>Governance structure</w:t>
            </w:r>
            <w:r w:rsidR="003E2D6F" w:rsidRPr="00B774CB">
              <w:rPr>
                <w:rFonts w:eastAsia="Times New Roman"/>
                <w:bCs/>
                <w:color w:val="000000"/>
                <w:sz w:val="22"/>
                <w:szCs w:val="22"/>
              </w:rPr>
              <w:t xml:space="preserve"> and process</w:t>
            </w:r>
          </w:p>
        </w:tc>
        <w:tc>
          <w:tcPr>
            <w:tcW w:w="1692" w:type="dxa"/>
            <w:tcBorders>
              <w:top w:val="single" w:sz="4" w:space="0" w:color="auto"/>
              <w:bottom w:val="single" w:sz="4" w:space="0" w:color="FFFFFF" w:themeColor="background1"/>
            </w:tcBorders>
            <w:shd w:val="clear" w:color="auto" w:fill="B8CCE4" w:themeFill="accent1" w:themeFillTint="66"/>
            <w:vAlign w:val="center"/>
          </w:tcPr>
          <w:p w:rsidR="004579BD" w:rsidRPr="00B774CB" w:rsidRDefault="004579BD" w:rsidP="00B774CB">
            <w:pPr>
              <w:jc w:val="center"/>
              <w:rPr>
                <w:rFonts w:eastAsia="Times New Roman"/>
                <w:color w:val="000000"/>
                <w:sz w:val="22"/>
                <w:szCs w:val="22"/>
              </w:rPr>
            </w:pPr>
            <w:r w:rsidRPr="00B774CB">
              <w:rPr>
                <w:rFonts w:eastAsia="Times New Roman"/>
                <w:color w:val="000000"/>
                <w:sz w:val="22"/>
                <w:szCs w:val="22"/>
              </w:rPr>
              <w:t>XX</w:t>
            </w:r>
          </w:p>
        </w:tc>
        <w:tc>
          <w:tcPr>
            <w:tcW w:w="1416" w:type="dxa"/>
            <w:tcBorders>
              <w:top w:val="single" w:sz="4" w:space="0" w:color="auto"/>
            </w:tcBorders>
            <w:shd w:val="clear" w:color="auto" w:fill="B8CCE4" w:themeFill="accent1" w:themeFillTint="66"/>
            <w:vAlign w:val="center"/>
          </w:tcPr>
          <w:p w:rsidR="004579BD" w:rsidRPr="00B774CB" w:rsidRDefault="004579BD" w:rsidP="00B774CB">
            <w:pPr>
              <w:jc w:val="center"/>
              <w:rPr>
                <w:rFonts w:eastAsia="Times New Roman"/>
                <w:color w:val="000000"/>
                <w:sz w:val="22"/>
                <w:szCs w:val="22"/>
              </w:rPr>
            </w:pPr>
            <w:r w:rsidRPr="00B774CB">
              <w:rPr>
                <w:rFonts w:eastAsia="Times New Roman"/>
                <w:color w:val="000000"/>
                <w:sz w:val="22"/>
                <w:szCs w:val="22"/>
              </w:rPr>
              <w:t>XX</w:t>
            </w:r>
          </w:p>
        </w:tc>
        <w:tc>
          <w:tcPr>
            <w:tcW w:w="1249" w:type="dxa"/>
            <w:tcBorders>
              <w:top w:val="single" w:sz="4" w:space="0" w:color="auto"/>
            </w:tcBorders>
            <w:shd w:val="clear" w:color="auto" w:fill="B8CCE4" w:themeFill="accent1" w:themeFillTint="66"/>
            <w:vAlign w:val="center"/>
          </w:tcPr>
          <w:p w:rsidR="004579BD" w:rsidRPr="00B774CB" w:rsidRDefault="004579BD" w:rsidP="00B774CB">
            <w:pPr>
              <w:jc w:val="center"/>
              <w:rPr>
                <w:rFonts w:eastAsia="Times New Roman"/>
                <w:color w:val="000000"/>
                <w:sz w:val="22"/>
                <w:szCs w:val="22"/>
              </w:rPr>
            </w:pPr>
            <w:r w:rsidRPr="00B774CB">
              <w:rPr>
                <w:rFonts w:eastAsia="Times New Roman"/>
                <w:color w:val="000000"/>
                <w:sz w:val="22"/>
                <w:szCs w:val="22"/>
              </w:rPr>
              <w:t>XX</w:t>
            </w:r>
          </w:p>
        </w:tc>
        <w:tc>
          <w:tcPr>
            <w:tcW w:w="1438" w:type="dxa"/>
            <w:tcBorders>
              <w:top w:val="single" w:sz="4" w:space="0" w:color="auto"/>
            </w:tcBorders>
            <w:shd w:val="clear" w:color="auto" w:fill="B8CCE4" w:themeFill="accent1" w:themeFillTint="66"/>
            <w:vAlign w:val="center"/>
          </w:tcPr>
          <w:p w:rsidR="004579BD" w:rsidRPr="00B774CB" w:rsidRDefault="004579BD" w:rsidP="00B774CB">
            <w:pPr>
              <w:jc w:val="center"/>
              <w:rPr>
                <w:rFonts w:eastAsia="Times New Roman"/>
                <w:color w:val="000000"/>
                <w:sz w:val="22"/>
                <w:szCs w:val="22"/>
              </w:rPr>
            </w:pPr>
            <w:r w:rsidRPr="00B774CB">
              <w:rPr>
                <w:rFonts w:eastAsia="Times New Roman"/>
                <w:color w:val="000000"/>
                <w:sz w:val="22"/>
                <w:szCs w:val="22"/>
              </w:rPr>
              <w:t>X</w:t>
            </w:r>
          </w:p>
        </w:tc>
        <w:tc>
          <w:tcPr>
            <w:tcW w:w="1522" w:type="dxa"/>
            <w:tcBorders>
              <w:top w:val="single" w:sz="4" w:space="0" w:color="auto"/>
            </w:tcBorders>
            <w:shd w:val="clear" w:color="auto" w:fill="B8CCE4" w:themeFill="accent1" w:themeFillTint="66"/>
            <w:vAlign w:val="center"/>
          </w:tcPr>
          <w:p w:rsidR="004579BD" w:rsidRPr="00B774CB" w:rsidRDefault="004579BD" w:rsidP="00B774CB">
            <w:pPr>
              <w:jc w:val="center"/>
              <w:rPr>
                <w:rFonts w:eastAsia="Times New Roman"/>
                <w:color w:val="000000"/>
                <w:sz w:val="22"/>
                <w:szCs w:val="22"/>
              </w:rPr>
            </w:pPr>
            <w:r w:rsidRPr="00B774CB">
              <w:rPr>
                <w:rFonts w:eastAsia="Times New Roman"/>
                <w:color w:val="000000"/>
                <w:sz w:val="22"/>
                <w:szCs w:val="22"/>
              </w:rPr>
              <w:t>XX</w:t>
            </w:r>
          </w:p>
        </w:tc>
        <w:tc>
          <w:tcPr>
            <w:tcW w:w="1458" w:type="dxa"/>
            <w:tcBorders>
              <w:top w:val="single" w:sz="4" w:space="0" w:color="auto"/>
            </w:tcBorders>
            <w:shd w:val="clear" w:color="auto" w:fill="B8CCE4" w:themeFill="accent1" w:themeFillTint="66"/>
            <w:vAlign w:val="center"/>
          </w:tcPr>
          <w:p w:rsidR="004579BD" w:rsidRPr="00B774CB" w:rsidRDefault="004579BD" w:rsidP="00B774CB">
            <w:pPr>
              <w:jc w:val="center"/>
              <w:rPr>
                <w:rFonts w:eastAsia="Times New Roman"/>
                <w:color w:val="000000"/>
                <w:sz w:val="22"/>
                <w:szCs w:val="22"/>
              </w:rPr>
            </w:pPr>
            <w:r w:rsidRPr="00B774CB">
              <w:rPr>
                <w:rFonts w:eastAsia="Times New Roman"/>
                <w:color w:val="000000"/>
                <w:sz w:val="22"/>
                <w:szCs w:val="22"/>
              </w:rPr>
              <w:t>X</w:t>
            </w:r>
          </w:p>
        </w:tc>
        <w:tc>
          <w:tcPr>
            <w:tcW w:w="1482" w:type="dxa"/>
            <w:tcBorders>
              <w:top w:val="single" w:sz="4" w:space="0" w:color="auto"/>
            </w:tcBorders>
            <w:shd w:val="clear" w:color="auto" w:fill="B8CCE4" w:themeFill="accent1" w:themeFillTint="66"/>
            <w:vAlign w:val="center"/>
          </w:tcPr>
          <w:p w:rsidR="004579BD"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r>
      <w:tr w:rsidR="004579BD" w:rsidRPr="00B774CB" w:rsidTr="00B774CB">
        <w:trPr>
          <w:trHeight w:val="435"/>
          <w:jc w:val="center"/>
        </w:trPr>
        <w:tc>
          <w:tcPr>
            <w:tcW w:w="3504" w:type="dxa"/>
            <w:tcBorders>
              <w:top w:val="single" w:sz="8" w:space="0" w:color="FFFFFF"/>
              <w:left w:val="single" w:sz="8" w:space="0" w:color="FFFFFF"/>
              <w:bottom w:val="single" w:sz="6" w:space="0" w:color="FFFFFF"/>
              <w:right w:val="single" w:sz="24" w:space="0" w:color="FFFFFF"/>
            </w:tcBorders>
            <w:shd w:val="clear" w:color="auto" w:fill="DBE5F1" w:themeFill="accent1" w:themeFillTint="33"/>
          </w:tcPr>
          <w:p w:rsidR="004579BD" w:rsidRPr="00B774CB" w:rsidRDefault="004579BD" w:rsidP="00082010">
            <w:pPr>
              <w:rPr>
                <w:rFonts w:eastAsia="Times New Roman"/>
                <w:b/>
                <w:bCs/>
                <w:color w:val="000000"/>
                <w:sz w:val="22"/>
                <w:szCs w:val="22"/>
              </w:rPr>
            </w:pPr>
            <w:r w:rsidRPr="00B774CB">
              <w:rPr>
                <w:rFonts w:eastAsia="Times New Roman"/>
                <w:b/>
                <w:bCs/>
                <w:color w:val="000000"/>
                <w:sz w:val="22"/>
                <w:szCs w:val="22"/>
              </w:rPr>
              <w:t>Quality Management</w:t>
            </w:r>
            <w:r w:rsidR="003E2D6F" w:rsidRPr="00B774CB">
              <w:rPr>
                <w:rFonts w:eastAsia="Times New Roman"/>
                <w:b/>
                <w:bCs/>
                <w:color w:val="000000"/>
                <w:sz w:val="22"/>
                <w:szCs w:val="22"/>
              </w:rPr>
              <w:t xml:space="preserve"> System</w:t>
            </w:r>
          </w:p>
        </w:tc>
        <w:tc>
          <w:tcPr>
            <w:tcW w:w="1692" w:type="dxa"/>
            <w:tcBorders>
              <w:top w:val="single" w:sz="4" w:space="0" w:color="FFFFFF" w:themeColor="background1"/>
              <w:left w:val="single" w:sz="8" w:space="0" w:color="FFFFFF"/>
              <w:bottom w:val="single" w:sz="8" w:space="0" w:color="FFFFFF"/>
              <w:right w:val="single" w:sz="8" w:space="0" w:color="FFFFFF"/>
            </w:tcBorders>
            <w:shd w:val="clear" w:color="auto" w:fill="DBE5F1" w:themeFill="accent1" w:themeFillTint="33"/>
            <w:vAlign w:val="center"/>
          </w:tcPr>
          <w:p w:rsidR="004579BD" w:rsidRPr="00B774CB" w:rsidRDefault="004579BD" w:rsidP="00B774CB">
            <w:pPr>
              <w:jc w:val="center"/>
              <w:rPr>
                <w:color w:val="000000"/>
                <w:sz w:val="22"/>
                <w:szCs w:val="22"/>
              </w:rPr>
            </w:pPr>
          </w:p>
        </w:tc>
        <w:tc>
          <w:tcPr>
            <w:tcW w:w="1416"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4579BD" w:rsidRPr="00B774CB" w:rsidRDefault="004579BD" w:rsidP="00B774CB">
            <w:pPr>
              <w:jc w:val="center"/>
              <w:rPr>
                <w:color w:val="000000"/>
                <w:sz w:val="22"/>
                <w:szCs w:val="22"/>
              </w:rPr>
            </w:pPr>
          </w:p>
        </w:tc>
        <w:tc>
          <w:tcPr>
            <w:tcW w:w="1249"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4579BD" w:rsidRPr="00B774CB" w:rsidRDefault="004579BD" w:rsidP="00B774CB">
            <w:pPr>
              <w:jc w:val="center"/>
              <w:rPr>
                <w:color w:val="000000"/>
                <w:sz w:val="22"/>
                <w:szCs w:val="22"/>
              </w:rPr>
            </w:pPr>
          </w:p>
        </w:tc>
        <w:tc>
          <w:tcPr>
            <w:tcW w:w="143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4579BD" w:rsidRPr="00B774CB" w:rsidRDefault="004579BD" w:rsidP="00B774CB">
            <w:pPr>
              <w:jc w:val="center"/>
              <w:rPr>
                <w:color w:val="000000"/>
                <w:sz w:val="22"/>
                <w:szCs w:val="22"/>
              </w:rPr>
            </w:pPr>
          </w:p>
        </w:tc>
        <w:tc>
          <w:tcPr>
            <w:tcW w:w="152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4579BD" w:rsidRPr="00B774CB" w:rsidRDefault="004579BD" w:rsidP="00B774CB">
            <w:pPr>
              <w:jc w:val="center"/>
              <w:rPr>
                <w:color w:val="000000"/>
                <w:sz w:val="22"/>
                <w:szCs w:val="22"/>
              </w:rPr>
            </w:pPr>
          </w:p>
        </w:tc>
        <w:tc>
          <w:tcPr>
            <w:tcW w:w="1458"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4579BD" w:rsidRPr="00B774CB" w:rsidRDefault="004579BD" w:rsidP="00B774CB">
            <w:pPr>
              <w:jc w:val="center"/>
              <w:rPr>
                <w:color w:val="000000"/>
                <w:sz w:val="22"/>
                <w:szCs w:val="22"/>
              </w:rPr>
            </w:pPr>
          </w:p>
        </w:tc>
        <w:tc>
          <w:tcPr>
            <w:tcW w:w="1482" w:type="dxa"/>
            <w:tcBorders>
              <w:top w:val="single" w:sz="8" w:space="0" w:color="FFFFFF"/>
              <w:left w:val="single" w:sz="8" w:space="0" w:color="FFFFFF"/>
              <w:bottom w:val="single" w:sz="8" w:space="0" w:color="FFFFFF"/>
              <w:right w:val="single" w:sz="8" w:space="0" w:color="FFFFFF"/>
            </w:tcBorders>
            <w:shd w:val="clear" w:color="auto" w:fill="DBE5F1" w:themeFill="accent1" w:themeFillTint="33"/>
            <w:vAlign w:val="center"/>
          </w:tcPr>
          <w:p w:rsidR="004579BD" w:rsidRPr="00B774CB" w:rsidRDefault="004579BD" w:rsidP="00B774CB">
            <w:pPr>
              <w:jc w:val="center"/>
              <w:rPr>
                <w:rFonts w:eastAsia="Times New Roman"/>
                <w:color w:val="000000"/>
                <w:sz w:val="22"/>
                <w:szCs w:val="22"/>
              </w:rPr>
            </w:pPr>
          </w:p>
        </w:tc>
      </w:tr>
      <w:tr w:rsidR="004579BD" w:rsidRPr="00B774CB" w:rsidTr="00B774CB">
        <w:trPr>
          <w:trHeight w:val="435"/>
          <w:jc w:val="center"/>
        </w:trPr>
        <w:tc>
          <w:tcPr>
            <w:tcW w:w="3504" w:type="dxa"/>
            <w:tcBorders>
              <w:top w:val="single" w:sz="8" w:space="0" w:color="FFFFFF"/>
              <w:left w:val="single" w:sz="8" w:space="0" w:color="FFFFFF"/>
              <w:bottom w:val="single" w:sz="6" w:space="0" w:color="FFFFFF"/>
              <w:right w:val="single" w:sz="24" w:space="0" w:color="FFFFFF"/>
            </w:tcBorders>
            <w:shd w:val="clear" w:color="auto" w:fill="4F81BD"/>
          </w:tcPr>
          <w:p w:rsidR="004579BD" w:rsidRPr="00B774CB" w:rsidRDefault="004579BD" w:rsidP="00082010">
            <w:pPr>
              <w:rPr>
                <w:rFonts w:eastAsia="Times New Roman"/>
                <w:bCs/>
                <w:color w:val="000000"/>
                <w:sz w:val="22"/>
                <w:szCs w:val="22"/>
              </w:rPr>
            </w:pPr>
            <w:r w:rsidRPr="00B774CB">
              <w:rPr>
                <w:rFonts w:eastAsia="Times New Roman"/>
                <w:bCs/>
                <w:color w:val="000000"/>
                <w:sz w:val="22"/>
                <w:szCs w:val="22"/>
              </w:rPr>
              <w:t>Legal requirements for data collection/handling</w:t>
            </w:r>
          </w:p>
        </w:tc>
        <w:tc>
          <w:tcPr>
            <w:tcW w:w="16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4579BD" w:rsidRPr="00B774CB" w:rsidRDefault="004579BD" w:rsidP="00B774CB">
            <w:pPr>
              <w:jc w:val="center"/>
              <w:rPr>
                <w:color w:val="000000"/>
                <w:sz w:val="22"/>
                <w:szCs w:val="22"/>
              </w:rPr>
            </w:pPr>
            <w:r w:rsidRPr="00B774CB">
              <w:rPr>
                <w:color w:val="000000"/>
                <w:sz w:val="22"/>
                <w:szCs w:val="22"/>
              </w:rPr>
              <w:t>XX</w:t>
            </w:r>
          </w:p>
        </w:tc>
        <w:tc>
          <w:tcPr>
            <w:tcW w:w="141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4579BD" w:rsidRPr="00B774CB" w:rsidRDefault="004579BD" w:rsidP="00B774CB">
            <w:pPr>
              <w:jc w:val="center"/>
              <w:rPr>
                <w:color w:val="000000"/>
                <w:sz w:val="22"/>
                <w:szCs w:val="22"/>
              </w:rPr>
            </w:pPr>
            <w:r w:rsidRPr="00B774CB">
              <w:rPr>
                <w:color w:val="000000"/>
                <w:sz w:val="22"/>
                <w:szCs w:val="22"/>
              </w:rPr>
              <w:t>XX</w:t>
            </w:r>
          </w:p>
        </w:tc>
        <w:tc>
          <w:tcPr>
            <w:tcW w:w="124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4579BD" w:rsidRPr="00B774CB" w:rsidRDefault="004579BD" w:rsidP="00B774CB">
            <w:pPr>
              <w:jc w:val="center"/>
              <w:rPr>
                <w:color w:val="000000"/>
                <w:sz w:val="22"/>
                <w:szCs w:val="22"/>
              </w:rPr>
            </w:pPr>
            <w:r w:rsidRPr="00B774CB">
              <w:rPr>
                <w:color w:val="000000"/>
                <w:sz w:val="22"/>
                <w:szCs w:val="22"/>
              </w:rPr>
              <w:t>XX</w:t>
            </w:r>
          </w:p>
        </w:tc>
        <w:tc>
          <w:tcPr>
            <w:tcW w:w="143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4579BD" w:rsidRPr="00B774CB" w:rsidRDefault="004579BD" w:rsidP="00B774CB">
            <w:pPr>
              <w:jc w:val="center"/>
              <w:rPr>
                <w:color w:val="000000"/>
                <w:sz w:val="22"/>
                <w:szCs w:val="22"/>
              </w:rPr>
            </w:pPr>
            <w:r w:rsidRPr="00B774CB">
              <w:rPr>
                <w:color w:val="000000"/>
                <w:sz w:val="22"/>
                <w:szCs w:val="22"/>
              </w:rPr>
              <w:t>X</w:t>
            </w:r>
          </w:p>
        </w:tc>
        <w:tc>
          <w:tcPr>
            <w:tcW w:w="152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4579BD" w:rsidRPr="00B774CB" w:rsidRDefault="004579BD" w:rsidP="00B774CB">
            <w:pPr>
              <w:jc w:val="center"/>
              <w:rPr>
                <w:color w:val="000000"/>
                <w:sz w:val="22"/>
                <w:szCs w:val="22"/>
              </w:rPr>
            </w:pPr>
            <w:r w:rsidRPr="00B774CB">
              <w:rPr>
                <w:color w:val="000000"/>
                <w:sz w:val="22"/>
                <w:szCs w:val="22"/>
              </w:rPr>
              <w:t>XX</w:t>
            </w:r>
          </w:p>
        </w:tc>
        <w:tc>
          <w:tcPr>
            <w:tcW w:w="145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4579BD" w:rsidRPr="00B774CB" w:rsidRDefault="004579BD" w:rsidP="00B774CB">
            <w:pPr>
              <w:jc w:val="center"/>
              <w:rPr>
                <w:color w:val="000000"/>
                <w:sz w:val="22"/>
                <w:szCs w:val="22"/>
              </w:rPr>
            </w:pPr>
            <w:r w:rsidRPr="00B774CB">
              <w:rPr>
                <w:color w:val="000000"/>
                <w:sz w:val="22"/>
                <w:szCs w:val="22"/>
              </w:rPr>
              <w:t>X</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4579BD"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r>
      <w:tr w:rsidR="00AA7CA9" w:rsidRPr="00B774CB" w:rsidTr="00B774CB">
        <w:trPr>
          <w:trHeight w:val="435"/>
          <w:jc w:val="center"/>
        </w:trPr>
        <w:tc>
          <w:tcPr>
            <w:tcW w:w="3504" w:type="dxa"/>
            <w:tcBorders>
              <w:top w:val="single" w:sz="8" w:space="0" w:color="FFFFFF"/>
              <w:left w:val="single" w:sz="8" w:space="0" w:color="FFFFFF"/>
              <w:bottom w:val="single" w:sz="6" w:space="0" w:color="FFFFFF"/>
              <w:right w:val="single" w:sz="24" w:space="0" w:color="FFFFFF"/>
            </w:tcBorders>
            <w:shd w:val="clear" w:color="auto" w:fill="4F81BD"/>
          </w:tcPr>
          <w:p w:rsidR="00AA7CA9" w:rsidRPr="00B774CB" w:rsidRDefault="00AA7CA9" w:rsidP="00AA7CA9">
            <w:pPr>
              <w:rPr>
                <w:rFonts w:eastAsia="Times New Roman"/>
                <w:bCs/>
                <w:color w:val="000000"/>
                <w:sz w:val="22"/>
                <w:szCs w:val="22"/>
              </w:rPr>
            </w:pPr>
            <w:r w:rsidRPr="00B774CB">
              <w:rPr>
                <w:rFonts w:eastAsia="Times New Roman"/>
                <w:bCs/>
                <w:color w:val="000000"/>
                <w:sz w:val="22"/>
                <w:szCs w:val="22"/>
              </w:rPr>
              <w:t>Information on Patient Data Protection (e.g. if  Exempt from consent, Opt-out, Opt-in)</w:t>
            </w:r>
          </w:p>
        </w:tc>
        <w:tc>
          <w:tcPr>
            <w:tcW w:w="16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41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24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43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49019C" w:rsidP="00B774CB">
            <w:pPr>
              <w:jc w:val="center"/>
              <w:rPr>
                <w:color w:val="000000"/>
                <w:sz w:val="22"/>
                <w:szCs w:val="22"/>
              </w:rPr>
            </w:pPr>
            <w:r w:rsidRPr="00B774CB">
              <w:rPr>
                <w:color w:val="000000"/>
                <w:sz w:val="22"/>
                <w:szCs w:val="22"/>
              </w:rPr>
              <w:t>X</w:t>
            </w:r>
          </w:p>
        </w:tc>
        <w:tc>
          <w:tcPr>
            <w:tcW w:w="152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45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r>
      <w:tr w:rsidR="00AA7CA9" w:rsidRPr="00B774CB" w:rsidTr="00B774CB">
        <w:trPr>
          <w:trHeight w:val="435"/>
          <w:jc w:val="center"/>
        </w:trPr>
        <w:tc>
          <w:tcPr>
            <w:tcW w:w="3504" w:type="dxa"/>
            <w:tcBorders>
              <w:top w:val="single" w:sz="8" w:space="0" w:color="FFFFFF"/>
              <w:left w:val="single" w:sz="8" w:space="0" w:color="FFFFFF"/>
              <w:bottom w:val="single" w:sz="6" w:space="0" w:color="FFFFFF"/>
              <w:right w:val="single" w:sz="24" w:space="0" w:color="FFFFFF"/>
            </w:tcBorders>
            <w:shd w:val="clear" w:color="auto" w:fill="4F81BD"/>
          </w:tcPr>
          <w:p w:rsidR="00AA7CA9" w:rsidRPr="00B774CB" w:rsidRDefault="00AA7CA9" w:rsidP="00AA7CA9">
            <w:pPr>
              <w:rPr>
                <w:rFonts w:eastAsia="Times New Roman"/>
                <w:bCs/>
                <w:color w:val="000000"/>
                <w:sz w:val="22"/>
                <w:szCs w:val="22"/>
              </w:rPr>
            </w:pPr>
            <w:r w:rsidRPr="00B774CB">
              <w:rPr>
                <w:rFonts w:eastAsia="Times New Roman"/>
                <w:bCs/>
                <w:color w:val="000000"/>
                <w:sz w:val="22"/>
                <w:szCs w:val="22"/>
              </w:rPr>
              <w:t>Policy on access to data</w:t>
            </w:r>
          </w:p>
        </w:tc>
        <w:tc>
          <w:tcPr>
            <w:tcW w:w="16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41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24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43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52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45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r>
      <w:tr w:rsidR="00AA7CA9" w:rsidRPr="00B774CB" w:rsidTr="00B774CB">
        <w:trPr>
          <w:trHeight w:val="435"/>
          <w:jc w:val="center"/>
        </w:trPr>
        <w:tc>
          <w:tcPr>
            <w:tcW w:w="3504" w:type="dxa"/>
            <w:tcBorders>
              <w:top w:val="single" w:sz="8" w:space="0" w:color="FFFFFF"/>
              <w:left w:val="single" w:sz="8" w:space="0" w:color="FFFFFF"/>
              <w:bottom w:val="single" w:sz="6" w:space="0" w:color="FFFFFF"/>
              <w:right w:val="single" w:sz="24" w:space="0" w:color="FFFFFF"/>
            </w:tcBorders>
            <w:shd w:val="clear" w:color="auto" w:fill="4F81BD"/>
          </w:tcPr>
          <w:p w:rsidR="00AA7CA9" w:rsidRPr="00B774CB" w:rsidRDefault="00AA7CA9" w:rsidP="00AA7CA9">
            <w:pPr>
              <w:rPr>
                <w:rFonts w:eastAsia="Times New Roman"/>
                <w:bCs/>
                <w:color w:val="000000"/>
                <w:sz w:val="22"/>
                <w:szCs w:val="22"/>
              </w:rPr>
            </w:pPr>
            <w:r w:rsidRPr="00B774CB">
              <w:rPr>
                <w:rFonts w:eastAsia="Times New Roman"/>
                <w:bCs/>
                <w:color w:val="000000"/>
                <w:sz w:val="22"/>
                <w:szCs w:val="22"/>
              </w:rPr>
              <w:t>Essential information available for verification by relevant authority (e.g. competent authority, notified body)</w:t>
            </w:r>
          </w:p>
        </w:tc>
        <w:tc>
          <w:tcPr>
            <w:tcW w:w="16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41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24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43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A7CA9" w:rsidP="00B774CB">
            <w:pPr>
              <w:jc w:val="center"/>
              <w:rPr>
                <w:color w:val="000000"/>
                <w:sz w:val="22"/>
                <w:szCs w:val="22"/>
              </w:rPr>
            </w:pPr>
            <w:r w:rsidRPr="00B774CB">
              <w:rPr>
                <w:color w:val="000000"/>
                <w:sz w:val="22"/>
                <w:szCs w:val="22"/>
              </w:rPr>
              <w:t>XX</w:t>
            </w:r>
          </w:p>
        </w:tc>
        <w:tc>
          <w:tcPr>
            <w:tcW w:w="152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56E29" w:rsidP="00B774CB">
            <w:pPr>
              <w:jc w:val="center"/>
              <w:rPr>
                <w:color w:val="000000"/>
                <w:sz w:val="22"/>
                <w:szCs w:val="22"/>
              </w:rPr>
            </w:pPr>
            <w:r w:rsidRPr="00B774CB">
              <w:rPr>
                <w:color w:val="000000"/>
                <w:sz w:val="22"/>
                <w:szCs w:val="22"/>
              </w:rPr>
              <w:t>XX</w:t>
            </w:r>
          </w:p>
        </w:tc>
        <w:tc>
          <w:tcPr>
            <w:tcW w:w="145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56E29" w:rsidP="00B774CB">
            <w:pPr>
              <w:jc w:val="center"/>
              <w:rPr>
                <w:color w:val="000000"/>
                <w:sz w:val="22"/>
                <w:szCs w:val="22"/>
              </w:rPr>
            </w:pPr>
            <w:r w:rsidRPr="00B774CB">
              <w:rPr>
                <w:color w:val="000000"/>
                <w:sz w:val="22"/>
                <w:szCs w:val="22"/>
              </w:rPr>
              <w:t>XX</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A7CA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r>
      <w:tr w:rsidR="00AA7CA9" w:rsidRPr="00B774CB" w:rsidTr="00B774CB">
        <w:trPr>
          <w:trHeight w:val="346"/>
          <w:jc w:val="center"/>
        </w:trPr>
        <w:tc>
          <w:tcPr>
            <w:tcW w:w="3504" w:type="dxa"/>
            <w:tcBorders>
              <w:left w:val="single" w:sz="8" w:space="0" w:color="FFFFFF"/>
              <w:bottom w:val="single" w:sz="4" w:space="0" w:color="auto"/>
              <w:right w:val="single" w:sz="24" w:space="0" w:color="FFFFFF"/>
            </w:tcBorders>
            <w:shd w:val="clear" w:color="auto" w:fill="DBE5F1" w:themeFill="accent1" w:themeFillTint="33"/>
          </w:tcPr>
          <w:p w:rsidR="00AA7CA9" w:rsidRPr="00B774CB" w:rsidRDefault="00AA7CA9" w:rsidP="00AA7CA9">
            <w:pPr>
              <w:rPr>
                <w:b/>
                <w:color w:val="000000"/>
                <w:sz w:val="22"/>
                <w:szCs w:val="22"/>
              </w:rPr>
            </w:pPr>
            <w:r w:rsidRPr="00B774CB">
              <w:rPr>
                <w:rFonts w:eastAsia="Times New Roman"/>
                <w:b/>
                <w:bCs/>
                <w:color w:val="000000"/>
                <w:sz w:val="22"/>
                <w:szCs w:val="22"/>
              </w:rPr>
              <w:t xml:space="preserve">Data Gathering </w:t>
            </w:r>
          </w:p>
        </w:tc>
        <w:tc>
          <w:tcPr>
            <w:tcW w:w="1692" w:type="dxa"/>
            <w:tcBorders>
              <w:bottom w:val="single" w:sz="4" w:space="0" w:color="auto"/>
            </w:tcBorders>
            <w:shd w:val="clear" w:color="auto" w:fill="DBE5F1" w:themeFill="accent1" w:themeFillTint="33"/>
            <w:vAlign w:val="center"/>
            <w:hideMark/>
          </w:tcPr>
          <w:p w:rsidR="00AA7CA9" w:rsidRPr="00B774CB" w:rsidRDefault="00AA7CA9" w:rsidP="00B774CB">
            <w:pPr>
              <w:jc w:val="center"/>
              <w:rPr>
                <w:rFonts w:eastAsia="Times New Roman"/>
                <w:color w:val="000000"/>
                <w:sz w:val="22"/>
                <w:szCs w:val="22"/>
              </w:rPr>
            </w:pPr>
          </w:p>
        </w:tc>
        <w:tc>
          <w:tcPr>
            <w:tcW w:w="1416" w:type="dxa"/>
            <w:tcBorders>
              <w:bottom w:val="single" w:sz="4" w:space="0" w:color="auto"/>
            </w:tcBorders>
            <w:shd w:val="clear" w:color="auto" w:fill="DBE5F1" w:themeFill="accent1" w:themeFillTint="33"/>
            <w:vAlign w:val="center"/>
            <w:hideMark/>
          </w:tcPr>
          <w:p w:rsidR="00AA7CA9" w:rsidRPr="00B774CB" w:rsidRDefault="00AA7CA9" w:rsidP="00B774CB">
            <w:pPr>
              <w:jc w:val="center"/>
              <w:rPr>
                <w:color w:val="000000"/>
                <w:sz w:val="22"/>
                <w:szCs w:val="22"/>
              </w:rPr>
            </w:pPr>
          </w:p>
        </w:tc>
        <w:tc>
          <w:tcPr>
            <w:tcW w:w="1249" w:type="dxa"/>
            <w:tcBorders>
              <w:bottom w:val="single" w:sz="4" w:space="0" w:color="auto"/>
            </w:tcBorders>
            <w:shd w:val="clear" w:color="auto" w:fill="DBE5F1" w:themeFill="accent1" w:themeFillTint="33"/>
            <w:vAlign w:val="center"/>
            <w:hideMark/>
          </w:tcPr>
          <w:p w:rsidR="00AA7CA9" w:rsidRPr="00B774CB" w:rsidRDefault="00AA7CA9" w:rsidP="00B774CB">
            <w:pPr>
              <w:jc w:val="center"/>
              <w:rPr>
                <w:color w:val="000000"/>
                <w:sz w:val="22"/>
                <w:szCs w:val="22"/>
              </w:rPr>
            </w:pPr>
          </w:p>
        </w:tc>
        <w:tc>
          <w:tcPr>
            <w:tcW w:w="1438" w:type="dxa"/>
            <w:tcBorders>
              <w:bottom w:val="single" w:sz="4" w:space="0" w:color="auto"/>
            </w:tcBorders>
            <w:shd w:val="clear" w:color="auto" w:fill="DBE5F1" w:themeFill="accent1" w:themeFillTint="33"/>
            <w:vAlign w:val="center"/>
            <w:hideMark/>
          </w:tcPr>
          <w:p w:rsidR="00AA7CA9" w:rsidRPr="00B774CB" w:rsidRDefault="00AA7CA9" w:rsidP="00B774CB">
            <w:pPr>
              <w:jc w:val="center"/>
              <w:rPr>
                <w:color w:val="000000"/>
                <w:sz w:val="22"/>
                <w:szCs w:val="22"/>
              </w:rPr>
            </w:pPr>
          </w:p>
        </w:tc>
        <w:tc>
          <w:tcPr>
            <w:tcW w:w="1522" w:type="dxa"/>
            <w:tcBorders>
              <w:bottom w:val="single" w:sz="4" w:space="0" w:color="auto"/>
            </w:tcBorders>
            <w:shd w:val="clear" w:color="auto" w:fill="DBE5F1" w:themeFill="accent1" w:themeFillTint="33"/>
            <w:vAlign w:val="center"/>
            <w:hideMark/>
          </w:tcPr>
          <w:p w:rsidR="00AA7CA9" w:rsidRPr="00B774CB" w:rsidRDefault="00AA7CA9" w:rsidP="00B774CB">
            <w:pPr>
              <w:jc w:val="center"/>
              <w:rPr>
                <w:color w:val="000000"/>
                <w:sz w:val="22"/>
                <w:szCs w:val="22"/>
              </w:rPr>
            </w:pPr>
          </w:p>
        </w:tc>
        <w:tc>
          <w:tcPr>
            <w:tcW w:w="1458" w:type="dxa"/>
            <w:tcBorders>
              <w:bottom w:val="single" w:sz="4" w:space="0" w:color="auto"/>
            </w:tcBorders>
            <w:shd w:val="clear" w:color="auto" w:fill="DBE5F1" w:themeFill="accent1" w:themeFillTint="33"/>
            <w:vAlign w:val="center"/>
            <w:hideMark/>
          </w:tcPr>
          <w:p w:rsidR="00AA7CA9" w:rsidRPr="00B774CB" w:rsidRDefault="00AA7CA9" w:rsidP="00B774CB">
            <w:pPr>
              <w:jc w:val="center"/>
              <w:rPr>
                <w:color w:val="000000"/>
                <w:sz w:val="22"/>
                <w:szCs w:val="22"/>
              </w:rPr>
            </w:pPr>
          </w:p>
        </w:tc>
        <w:tc>
          <w:tcPr>
            <w:tcW w:w="1482" w:type="dxa"/>
            <w:tcBorders>
              <w:bottom w:val="single" w:sz="4" w:space="0" w:color="auto"/>
            </w:tcBorders>
            <w:shd w:val="clear" w:color="auto" w:fill="DBE5F1" w:themeFill="accent1" w:themeFillTint="33"/>
            <w:vAlign w:val="center"/>
          </w:tcPr>
          <w:p w:rsidR="00AA7CA9" w:rsidRPr="00B774CB" w:rsidRDefault="00AA7CA9" w:rsidP="00B774CB">
            <w:pPr>
              <w:jc w:val="center"/>
              <w:rPr>
                <w:color w:val="000000"/>
                <w:sz w:val="22"/>
                <w:szCs w:val="22"/>
              </w:rPr>
            </w:pPr>
          </w:p>
        </w:tc>
      </w:tr>
      <w:tr w:rsidR="00AA7CA9" w:rsidRPr="00B774CB" w:rsidTr="00B774CB">
        <w:trPr>
          <w:trHeight w:val="346"/>
          <w:jc w:val="center"/>
        </w:trPr>
        <w:tc>
          <w:tcPr>
            <w:tcW w:w="3504" w:type="dxa"/>
            <w:tcBorders>
              <w:left w:val="single" w:sz="8" w:space="0" w:color="FFFFFF"/>
              <w:bottom w:val="single" w:sz="4" w:space="0" w:color="auto"/>
              <w:right w:val="single" w:sz="24" w:space="0" w:color="FFFFFF"/>
            </w:tcBorders>
            <w:shd w:val="clear" w:color="auto" w:fill="4F81BD" w:themeFill="accent1"/>
          </w:tcPr>
          <w:p w:rsidR="00AA7CA9" w:rsidRPr="00B774CB" w:rsidRDefault="00AA7CA9" w:rsidP="00AA7CA9">
            <w:pPr>
              <w:rPr>
                <w:rFonts w:eastAsia="Times New Roman"/>
                <w:bCs/>
                <w:color w:val="000000"/>
                <w:sz w:val="22"/>
                <w:szCs w:val="22"/>
              </w:rPr>
            </w:pPr>
            <w:r w:rsidRPr="00B774CB">
              <w:rPr>
                <w:rFonts w:eastAsia="Times New Roman"/>
                <w:bCs/>
                <w:color w:val="000000"/>
                <w:sz w:val="22"/>
                <w:szCs w:val="22"/>
              </w:rPr>
              <w:t>Relevant Variables</w:t>
            </w:r>
          </w:p>
        </w:tc>
        <w:tc>
          <w:tcPr>
            <w:tcW w:w="1692" w:type="dxa"/>
            <w:tcBorders>
              <w:bottom w:val="single" w:sz="4" w:space="0" w:color="auto"/>
            </w:tcBorders>
            <w:shd w:val="clear" w:color="auto" w:fill="B8CCE4" w:themeFill="accent1" w:themeFillTint="66"/>
            <w:vAlign w:val="center"/>
          </w:tcPr>
          <w:p w:rsidR="00AA7CA9" w:rsidRPr="00B774CB" w:rsidRDefault="00AA7CA9" w:rsidP="00B774CB">
            <w:pPr>
              <w:jc w:val="center"/>
              <w:rPr>
                <w:rFonts w:eastAsia="Times New Roman"/>
                <w:color w:val="000000"/>
                <w:sz w:val="22"/>
                <w:szCs w:val="22"/>
              </w:rPr>
            </w:pPr>
            <w:r w:rsidRPr="00B774CB">
              <w:rPr>
                <w:rFonts w:eastAsia="Times New Roman"/>
                <w:color w:val="000000"/>
                <w:sz w:val="22"/>
                <w:szCs w:val="22"/>
              </w:rPr>
              <w:t>XX</w:t>
            </w:r>
          </w:p>
        </w:tc>
        <w:tc>
          <w:tcPr>
            <w:tcW w:w="1416" w:type="dxa"/>
            <w:tcBorders>
              <w:bottom w:val="single" w:sz="4" w:space="0" w:color="auto"/>
            </w:tcBorders>
            <w:shd w:val="clear" w:color="auto" w:fill="B8CCE4" w:themeFill="accent1" w:themeFillTint="66"/>
            <w:vAlign w:val="center"/>
          </w:tcPr>
          <w:p w:rsidR="00AA7CA9" w:rsidRPr="00B774CB" w:rsidRDefault="00AA7CA9" w:rsidP="00B774CB">
            <w:pPr>
              <w:jc w:val="center"/>
              <w:rPr>
                <w:rFonts w:eastAsia="Times New Roman"/>
                <w:color w:val="000000"/>
                <w:sz w:val="22"/>
                <w:szCs w:val="22"/>
              </w:rPr>
            </w:pPr>
            <w:r w:rsidRPr="00B774CB">
              <w:rPr>
                <w:rFonts w:eastAsia="Times New Roman"/>
                <w:color w:val="000000"/>
                <w:sz w:val="22"/>
                <w:szCs w:val="22"/>
              </w:rPr>
              <w:t>XX</w:t>
            </w:r>
          </w:p>
        </w:tc>
        <w:tc>
          <w:tcPr>
            <w:tcW w:w="1249" w:type="dxa"/>
            <w:tcBorders>
              <w:bottom w:val="single" w:sz="4" w:space="0" w:color="auto"/>
            </w:tcBorders>
            <w:shd w:val="clear" w:color="auto" w:fill="B8CCE4" w:themeFill="accent1" w:themeFillTint="66"/>
            <w:vAlign w:val="center"/>
          </w:tcPr>
          <w:p w:rsidR="00AA7CA9" w:rsidRPr="00B774CB" w:rsidRDefault="00AA7CA9" w:rsidP="00B774CB">
            <w:pPr>
              <w:jc w:val="center"/>
              <w:rPr>
                <w:rFonts w:eastAsia="Times New Roman"/>
                <w:color w:val="000000"/>
                <w:sz w:val="22"/>
                <w:szCs w:val="22"/>
              </w:rPr>
            </w:pPr>
            <w:r w:rsidRPr="00B774CB">
              <w:rPr>
                <w:rFonts w:eastAsia="Times New Roman"/>
                <w:color w:val="000000"/>
                <w:sz w:val="22"/>
                <w:szCs w:val="22"/>
              </w:rPr>
              <w:t>XX</w:t>
            </w:r>
          </w:p>
        </w:tc>
        <w:tc>
          <w:tcPr>
            <w:tcW w:w="1438" w:type="dxa"/>
            <w:tcBorders>
              <w:bottom w:val="single" w:sz="4" w:space="0" w:color="auto"/>
            </w:tcBorders>
            <w:shd w:val="clear" w:color="auto" w:fill="B8CCE4" w:themeFill="accent1" w:themeFillTint="66"/>
            <w:vAlign w:val="center"/>
          </w:tcPr>
          <w:p w:rsidR="00AA7CA9" w:rsidRPr="00B774CB" w:rsidRDefault="00AA7CA9" w:rsidP="00B774CB">
            <w:pPr>
              <w:jc w:val="center"/>
              <w:rPr>
                <w:rFonts w:eastAsia="Times New Roman"/>
                <w:color w:val="000000"/>
                <w:sz w:val="22"/>
                <w:szCs w:val="22"/>
              </w:rPr>
            </w:pPr>
            <w:r w:rsidRPr="00B774CB">
              <w:rPr>
                <w:rFonts w:eastAsia="Times New Roman"/>
                <w:color w:val="000000"/>
                <w:sz w:val="22"/>
                <w:szCs w:val="22"/>
              </w:rPr>
              <w:t>XX</w:t>
            </w:r>
          </w:p>
        </w:tc>
        <w:tc>
          <w:tcPr>
            <w:tcW w:w="1522" w:type="dxa"/>
            <w:tcBorders>
              <w:bottom w:val="single" w:sz="4" w:space="0" w:color="auto"/>
            </w:tcBorders>
            <w:shd w:val="clear" w:color="auto" w:fill="B8CCE4" w:themeFill="accent1" w:themeFillTint="66"/>
            <w:vAlign w:val="center"/>
          </w:tcPr>
          <w:p w:rsidR="00AA7CA9" w:rsidRPr="00B774CB" w:rsidRDefault="00AA7CA9" w:rsidP="00B774CB">
            <w:pPr>
              <w:jc w:val="center"/>
              <w:rPr>
                <w:color w:val="000000"/>
                <w:sz w:val="22"/>
                <w:szCs w:val="22"/>
              </w:rPr>
            </w:pPr>
            <w:r w:rsidRPr="00B774CB">
              <w:rPr>
                <w:color w:val="000000"/>
                <w:sz w:val="22"/>
                <w:szCs w:val="22"/>
              </w:rPr>
              <w:t>X</w:t>
            </w:r>
          </w:p>
        </w:tc>
        <w:tc>
          <w:tcPr>
            <w:tcW w:w="1458" w:type="dxa"/>
            <w:tcBorders>
              <w:bottom w:val="single" w:sz="4" w:space="0" w:color="auto"/>
            </w:tcBorders>
            <w:shd w:val="clear" w:color="auto" w:fill="B8CCE4" w:themeFill="accent1" w:themeFillTint="66"/>
            <w:vAlign w:val="center"/>
          </w:tcPr>
          <w:p w:rsidR="00AA7CA9" w:rsidRPr="00B774CB" w:rsidRDefault="00AA7CA9" w:rsidP="00B774CB">
            <w:pPr>
              <w:jc w:val="center"/>
              <w:rPr>
                <w:rFonts w:eastAsia="Times New Roman"/>
                <w:color w:val="000000"/>
                <w:sz w:val="22"/>
                <w:szCs w:val="22"/>
              </w:rPr>
            </w:pPr>
            <w:r w:rsidRPr="00B774CB">
              <w:rPr>
                <w:rFonts w:eastAsia="Times New Roman"/>
                <w:color w:val="000000"/>
                <w:sz w:val="22"/>
                <w:szCs w:val="22"/>
              </w:rPr>
              <w:t>X</w:t>
            </w:r>
          </w:p>
        </w:tc>
        <w:tc>
          <w:tcPr>
            <w:tcW w:w="1482" w:type="dxa"/>
            <w:tcBorders>
              <w:bottom w:val="single" w:sz="4" w:space="0" w:color="auto"/>
            </w:tcBorders>
            <w:shd w:val="clear" w:color="auto" w:fill="B8CCE4" w:themeFill="accent1" w:themeFillTint="66"/>
            <w:vAlign w:val="center"/>
          </w:tcPr>
          <w:p w:rsidR="00AA7CA9" w:rsidRPr="00B774CB" w:rsidRDefault="00AA7CA9" w:rsidP="00B774CB">
            <w:pPr>
              <w:jc w:val="center"/>
              <w:rPr>
                <w:color w:val="000000"/>
                <w:sz w:val="22"/>
                <w:szCs w:val="22"/>
              </w:rPr>
            </w:pPr>
            <w:r w:rsidRPr="00B774CB">
              <w:rPr>
                <w:color w:val="000000"/>
                <w:sz w:val="22"/>
                <w:szCs w:val="22"/>
              </w:rPr>
              <w:t>X</w:t>
            </w:r>
          </w:p>
        </w:tc>
      </w:tr>
      <w:tr w:rsidR="00AA7CA9" w:rsidRPr="00B774CB" w:rsidTr="00B774CB">
        <w:trPr>
          <w:trHeight w:val="858"/>
          <w:jc w:val="center"/>
        </w:trPr>
        <w:tc>
          <w:tcPr>
            <w:tcW w:w="3504" w:type="dxa"/>
            <w:tcBorders>
              <w:left w:val="single" w:sz="8" w:space="0" w:color="FFFFFF"/>
              <w:bottom w:val="single" w:sz="4" w:space="0" w:color="auto"/>
              <w:right w:val="single" w:sz="24" w:space="0" w:color="FFFFFF"/>
            </w:tcBorders>
            <w:shd w:val="clear" w:color="auto" w:fill="4F81BD" w:themeFill="accent1"/>
          </w:tcPr>
          <w:p w:rsidR="00AA7CA9" w:rsidRPr="00B774CB" w:rsidRDefault="00AA7CA9" w:rsidP="00AA7CA9">
            <w:pPr>
              <w:rPr>
                <w:rFonts w:eastAsia="Times New Roman"/>
                <w:bCs/>
                <w:color w:val="000000"/>
                <w:sz w:val="22"/>
                <w:szCs w:val="22"/>
              </w:rPr>
            </w:pPr>
            <w:r w:rsidRPr="00B774CB">
              <w:rPr>
                <w:rFonts w:eastAsia="Times New Roman"/>
                <w:bCs/>
                <w:color w:val="000000"/>
                <w:sz w:val="22"/>
                <w:szCs w:val="22"/>
              </w:rPr>
              <w:t>Unambiguous Device Identification (preferably internationally recognized UDI system)</w:t>
            </w:r>
          </w:p>
        </w:tc>
        <w:tc>
          <w:tcPr>
            <w:tcW w:w="1692" w:type="dxa"/>
            <w:tcBorders>
              <w:bottom w:val="single" w:sz="4" w:space="0" w:color="auto"/>
            </w:tcBorders>
            <w:shd w:val="clear" w:color="auto" w:fill="B8CCE4" w:themeFill="accent1" w:themeFillTint="66"/>
            <w:vAlign w:val="center"/>
          </w:tcPr>
          <w:p w:rsidR="00AA7CA9" w:rsidRPr="00B774CB" w:rsidRDefault="00B36713" w:rsidP="00B774CB">
            <w:pPr>
              <w:jc w:val="center"/>
              <w:rPr>
                <w:rFonts w:eastAsia="Times New Roman"/>
                <w:color w:val="000000"/>
                <w:sz w:val="22"/>
                <w:szCs w:val="22"/>
              </w:rPr>
            </w:pPr>
            <w:r w:rsidRPr="00B774CB">
              <w:rPr>
                <w:rFonts w:eastAsia="Times New Roman"/>
                <w:color w:val="000000"/>
                <w:sz w:val="22"/>
                <w:szCs w:val="22"/>
              </w:rPr>
              <w:t>XX</w:t>
            </w:r>
          </w:p>
        </w:tc>
        <w:tc>
          <w:tcPr>
            <w:tcW w:w="1416" w:type="dxa"/>
            <w:tcBorders>
              <w:bottom w:val="single" w:sz="4" w:space="0" w:color="auto"/>
            </w:tcBorders>
            <w:shd w:val="clear" w:color="auto" w:fill="B8CCE4" w:themeFill="accent1" w:themeFillTint="66"/>
            <w:vAlign w:val="center"/>
          </w:tcPr>
          <w:p w:rsidR="00AA7CA9" w:rsidRPr="00B774CB" w:rsidRDefault="00B36713" w:rsidP="00B774CB">
            <w:pPr>
              <w:jc w:val="center"/>
              <w:rPr>
                <w:color w:val="000000"/>
                <w:sz w:val="22"/>
                <w:szCs w:val="22"/>
              </w:rPr>
            </w:pPr>
            <w:r w:rsidRPr="00B774CB">
              <w:rPr>
                <w:rFonts w:eastAsia="Times New Roman"/>
                <w:color w:val="000000"/>
                <w:sz w:val="22"/>
                <w:szCs w:val="22"/>
              </w:rPr>
              <w:t>XX</w:t>
            </w:r>
          </w:p>
        </w:tc>
        <w:tc>
          <w:tcPr>
            <w:tcW w:w="1249" w:type="dxa"/>
            <w:tcBorders>
              <w:bottom w:val="single" w:sz="4" w:space="0" w:color="auto"/>
            </w:tcBorders>
            <w:shd w:val="clear" w:color="auto" w:fill="B8CCE4" w:themeFill="accent1" w:themeFillTint="66"/>
            <w:vAlign w:val="center"/>
          </w:tcPr>
          <w:p w:rsidR="00AA7CA9" w:rsidRPr="00B774CB" w:rsidRDefault="0022320B" w:rsidP="00B774CB">
            <w:pPr>
              <w:jc w:val="center"/>
              <w:rPr>
                <w:color w:val="000000"/>
                <w:sz w:val="22"/>
                <w:szCs w:val="22"/>
              </w:rPr>
            </w:pPr>
            <w:r w:rsidRPr="00B774CB">
              <w:rPr>
                <w:rFonts w:eastAsia="Times New Roman"/>
                <w:color w:val="000000"/>
                <w:sz w:val="22"/>
                <w:szCs w:val="22"/>
              </w:rPr>
              <w:t>X</w:t>
            </w:r>
            <w:r w:rsidR="0060022D" w:rsidRPr="00B774CB">
              <w:rPr>
                <w:rFonts w:eastAsia="Times New Roman"/>
                <w:color w:val="000000"/>
                <w:sz w:val="22"/>
                <w:szCs w:val="22"/>
              </w:rPr>
              <w:t>X</w:t>
            </w:r>
          </w:p>
        </w:tc>
        <w:tc>
          <w:tcPr>
            <w:tcW w:w="1438" w:type="dxa"/>
            <w:tcBorders>
              <w:bottom w:val="single" w:sz="4" w:space="0" w:color="auto"/>
            </w:tcBorders>
            <w:shd w:val="clear" w:color="auto" w:fill="B8CCE4" w:themeFill="accent1" w:themeFillTint="66"/>
            <w:vAlign w:val="center"/>
          </w:tcPr>
          <w:p w:rsidR="00AA7CA9" w:rsidRPr="00B774CB" w:rsidRDefault="00AA7CA9" w:rsidP="00B774CB">
            <w:pPr>
              <w:jc w:val="center"/>
              <w:rPr>
                <w:color w:val="000000"/>
                <w:sz w:val="22"/>
                <w:szCs w:val="22"/>
              </w:rPr>
            </w:pPr>
            <w:r w:rsidRPr="00B774CB">
              <w:rPr>
                <w:rFonts w:eastAsia="Times New Roman"/>
                <w:color w:val="000000"/>
                <w:sz w:val="22"/>
                <w:szCs w:val="22"/>
              </w:rPr>
              <w:t>X</w:t>
            </w:r>
          </w:p>
        </w:tc>
        <w:tc>
          <w:tcPr>
            <w:tcW w:w="1522" w:type="dxa"/>
            <w:tcBorders>
              <w:bottom w:val="single" w:sz="4" w:space="0" w:color="auto"/>
            </w:tcBorders>
            <w:shd w:val="clear" w:color="auto" w:fill="B8CCE4" w:themeFill="accent1" w:themeFillTint="66"/>
            <w:vAlign w:val="center"/>
          </w:tcPr>
          <w:p w:rsidR="00AA7CA9" w:rsidRPr="00B774CB" w:rsidRDefault="0060022D" w:rsidP="00B774CB">
            <w:pPr>
              <w:jc w:val="center"/>
              <w:rPr>
                <w:color w:val="000000"/>
                <w:sz w:val="22"/>
                <w:szCs w:val="22"/>
              </w:rPr>
            </w:pPr>
            <w:r w:rsidRPr="00B774CB">
              <w:rPr>
                <w:color w:val="000000"/>
                <w:sz w:val="22"/>
                <w:szCs w:val="22"/>
              </w:rPr>
              <w:t>X</w:t>
            </w:r>
          </w:p>
        </w:tc>
        <w:tc>
          <w:tcPr>
            <w:tcW w:w="1458" w:type="dxa"/>
            <w:tcBorders>
              <w:bottom w:val="single" w:sz="4" w:space="0" w:color="auto"/>
            </w:tcBorders>
            <w:shd w:val="clear" w:color="auto" w:fill="B8CCE4" w:themeFill="accent1" w:themeFillTint="66"/>
            <w:vAlign w:val="center"/>
          </w:tcPr>
          <w:p w:rsidR="00AA7CA9" w:rsidRPr="00B774CB" w:rsidRDefault="00AA7CA9" w:rsidP="00B774CB">
            <w:pPr>
              <w:jc w:val="center"/>
              <w:rPr>
                <w:color w:val="000000"/>
                <w:sz w:val="22"/>
                <w:szCs w:val="22"/>
              </w:rPr>
            </w:pPr>
            <w:r w:rsidRPr="00B774CB">
              <w:rPr>
                <w:rFonts w:eastAsia="Times New Roman"/>
                <w:color w:val="000000"/>
                <w:sz w:val="22"/>
                <w:szCs w:val="22"/>
              </w:rPr>
              <w:t>X</w:t>
            </w:r>
          </w:p>
        </w:tc>
        <w:tc>
          <w:tcPr>
            <w:tcW w:w="1482" w:type="dxa"/>
            <w:tcBorders>
              <w:bottom w:val="single" w:sz="4" w:space="0" w:color="auto"/>
            </w:tcBorders>
            <w:shd w:val="clear" w:color="auto" w:fill="B8CCE4" w:themeFill="accent1" w:themeFillTint="66"/>
            <w:vAlign w:val="center"/>
          </w:tcPr>
          <w:p w:rsidR="00AA7CA9" w:rsidRPr="00B774CB" w:rsidRDefault="00AA7CA9" w:rsidP="00B774CB">
            <w:pPr>
              <w:jc w:val="center"/>
              <w:rPr>
                <w:color w:val="000000"/>
                <w:sz w:val="22"/>
                <w:szCs w:val="22"/>
              </w:rPr>
            </w:pPr>
            <w:r w:rsidRPr="00B774CB">
              <w:rPr>
                <w:color w:val="000000"/>
                <w:sz w:val="22"/>
                <w:szCs w:val="22"/>
              </w:rPr>
              <w:t>X</w:t>
            </w:r>
          </w:p>
        </w:tc>
      </w:tr>
      <w:tr w:rsidR="00AA7CA9" w:rsidRPr="00B774CB" w:rsidTr="00B774CB">
        <w:trPr>
          <w:trHeight w:val="614"/>
          <w:jc w:val="center"/>
        </w:trPr>
        <w:tc>
          <w:tcPr>
            <w:tcW w:w="3504" w:type="dxa"/>
            <w:tcBorders>
              <w:left w:val="single" w:sz="8" w:space="0" w:color="FFFFFF"/>
              <w:bottom w:val="single" w:sz="4" w:space="0" w:color="auto"/>
              <w:right w:val="single" w:sz="24" w:space="0" w:color="FFFFFF"/>
            </w:tcBorders>
            <w:shd w:val="clear" w:color="auto" w:fill="4F81BD" w:themeFill="accent1"/>
            <w:hideMark/>
          </w:tcPr>
          <w:p w:rsidR="00AA7CA9" w:rsidRPr="00B774CB" w:rsidRDefault="00AA7CA9" w:rsidP="00AA7CA9">
            <w:pPr>
              <w:rPr>
                <w:color w:val="000000"/>
                <w:sz w:val="22"/>
                <w:szCs w:val="22"/>
              </w:rPr>
            </w:pPr>
            <w:proofErr w:type="spellStart"/>
            <w:r w:rsidRPr="00B774CB">
              <w:rPr>
                <w:rFonts w:eastAsia="Times New Roman"/>
                <w:bCs/>
                <w:color w:val="000000"/>
                <w:sz w:val="22"/>
                <w:szCs w:val="22"/>
              </w:rPr>
              <w:t>Linkability</w:t>
            </w:r>
            <w:proofErr w:type="spellEnd"/>
            <w:r w:rsidRPr="00B774CB">
              <w:rPr>
                <w:rFonts w:eastAsia="Times New Roman"/>
                <w:bCs/>
                <w:color w:val="000000"/>
                <w:sz w:val="22"/>
                <w:szCs w:val="22"/>
              </w:rPr>
              <w:t xml:space="preserve"> (Registry with other data source): </w:t>
            </w:r>
          </w:p>
        </w:tc>
        <w:tc>
          <w:tcPr>
            <w:tcW w:w="1692" w:type="dxa"/>
            <w:tcBorders>
              <w:bottom w:val="single" w:sz="4" w:space="0" w:color="auto"/>
            </w:tcBorders>
            <w:shd w:val="clear" w:color="auto" w:fill="DBE5F1" w:themeFill="accent1" w:themeFillTint="33"/>
            <w:vAlign w:val="center"/>
          </w:tcPr>
          <w:p w:rsidR="00AA7CA9" w:rsidRPr="00B774CB" w:rsidRDefault="00AA7CA9" w:rsidP="00B774CB">
            <w:pPr>
              <w:jc w:val="center"/>
              <w:rPr>
                <w:rFonts w:eastAsia="Times New Roman"/>
                <w:color w:val="000000"/>
                <w:sz w:val="22"/>
                <w:szCs w:val="22"/>
              </w:rPr>
            </w:pPr>
          </w:p>
        </w:tc>
        <w:tc>
          <w:tcPr>
            <w:tcW w:w="1416" w:type="dxa"/>
            <w:tcBorders>
              <w:bottom w:val="single" w:sz="4" w:space="0" w:color="auto"/>
            </w:tcBorders>
            <w:shd w:val="clear" w:color="auto" w:fill="DBE5F1" w:themeFill="accent1" w:themeFillTint="33"/>
            <w:vAlign w:val="center"/>
          </w:tcPr>
          <w:p w:rsidR="00AA7CA9" w:rsidRPr="00B774CB" w:rsidRDefault="00AA7CA9" w:rsidP="00B774CB">
            <w:pPr>
              <w:jc w:val="center"/>
              <w:rPr>
                <w:rFonts w:eastAsia="Times New Roman"/>
                <w:color w:val="000000"/>
                <w:sz w:val="22"/>
                <w:szCs w:val="22"/>
              </w:rPr>
            </w:pPr>
          </w:p>
        </w:tc>
        <w:tc>
          <w:tcPr>
            <w:tcW w:w="1249" w:type="dxa"/>
            <w:tcBorders>
              <w:bottom w:val="single" w:sz="4" w:space="0" w:color="auto"/>
            </w:tcBorders>
            <w:shd w:val="clear" w:color="auto" w:fill="DBE5F1" w:themeFill="accent1" w:themeFillTint="33"/>
            <w:vAlign w:val="center"/>
          </w:tcPr>
          <w:p w:rsidR="00AA7CA9" w:rsidRPr="00B774CB" w:rsidRDefault="00AA7CA9" w:rsidP="00B774CB">
            <w:pPr>
              <w:jc w:val="center"/>
              <w:rPr>
                <w:rFonts w:eastAsia="Times New Roman"/>
                <w:color w:val="000000"/>
                <w:sz w:val="22"/>
                <w:szCs w:val="22"/>
              </w:rPr>
            </w:pPr>
          </w:p>
        </w:tc>
        <w:tc>
          <w:tcPr>
            <w:tcW w:w="1438" w:type="dxa"/>
            <w:tcBorders>
              <w:bottom w:val="single" w:sz="4" w:space="0" w:color="auto"/>
            </w:tcBorders>
            <w:shd w:val="clear" w:color="auto" w:fill="DBE5F1" w:themeFill="accent1" w:themeFillTint="33"/>
            <w:vAlign w:val="center"/>
          </w:tcPr>
          <w:p w:rsidR="00AA7CA9" w:rsidRPr="00B774CB" w:rsidRDefault="00AA7CA9" w:rsidP="00B774CB">
            <w:pPr>
              <w:jc w:val="center"/>
              <w:rPr>
                <w:rFonts w:eastAsia="Times New Roman"/>
                <w:color w:val="000000"/>
                <w:sz w:val="22"/>
                <w:szCs w:val="22"/>
              </w:rPr>
            </w:pPr>
          </w:p>
        </w:tc>
        <w:tc>
          <w:tcPr>
            <w:tcW w:w="1522" w:type="dxa"/>
            <w:tcBorders>
              <w:bottom w:val="single" w:sz="4" w:space="0" w:color="auto"/>
            </w:tcBorders>
            <w:shd w:val="clear" w:color="auto" w:fill="DBE5F1" w:themeFill="accent1" w:themeFillTint="33"/>
            <w:vAlign w:val="center"/>
          </w:tcPr>
          <w:p w:rsidR="00AA7CA9" w:rsidRPr="00B774CB" w:rsidRDefault="00AA7CA9" w:rsidP="00B774CB">
            <w:pPr>
              <w:jc w:val="center"/>
              <w:rPr>
                <w:rFonts w:eastAsia="Times New Roman"/>
                <w:color w:val="000000"/>
                <w:sz w:val="22"/>
                <w:szCs w:val="22"/>
              </w:rPr>
            </w:pPr>
          </w:p>
        </w:tc>
        <w:tc>
          <w:tcPr>
            <w:tcW w:w="1458" w:type="dxa"/>
            <w:tcBorders>
              <w:bottom w:val="single" w:sz="4" w:space="0" w:color="auto"/>
            </w:tcBorders>
            <w:shd w:val="clear" w:color="auto" w:fill="DBE5F1" w:themeFill="accent1" w:themeFillTint="33"/>
            <w:vAlign w:val="center"/>
          </w:tcPr>
          <w:p w:rsidR="00AA7CA9" w:rsidRPr="00B774CB" w:rsidRDefault="00AA7CA9" w:rsidP="00B774CB">
            <w:pPr>
              <w:jc w:val="center"/>
              <w:rPr>
                <w:rFonts w:eastAsia="Times New Roman"/>
                <w:color w:val="000000"/>
                <w:sz w:val="22"/>
                <w:szCs w:val="22"/>
              </w:rPr>
            </w:pPr>
          </w:p>
        </w:tc>
        <w:tc>
          <w:tcPr>
            <w:tcW w:w="1482" w:type="dxa"/>
            <w:tcBorders>
              <w:bottom w:val="single" w:sz="4" w:space="0" w:color="auto"/>
            </w:tcBorders>
            <w:shd w:val="clear" w:color="auto" w:fill="DBE5F1" w:themeFill="accent1" w:themeFillTint="33"/>
            <w:vAlign w:val="center"/>
          </w:tcPr>
          <w:p w:rsidR="00AA7CA9" w:rsidRPr="00B774CB" w:rsidRDefault="00AA7CA9" w:rsidP="00B774CB">
            <w:pPr>
              <w:jc w:val="center"/>
              <w:rPr>
                <w:rFonts w:eastAsia="Times New Roman"/>
                <w:color w:val="000000"/>
                <w:sz w:val="22"/>
                <w:szCs w:val="22"/>
              </w:rPr>
            </w:pPr>
          </w:p>
        </w:tc>
      </w:tr>
      <w:tr w:rsidR="00A56E29" w:rsidRPr="00B774CB" w:rsidTr="00B774CB">
        <w:trPr>
          <w:trHeight w:val="614"/>
          <w:jc w:val="center"/>
        </w:trPr>
        <w:tc>
          <w:tcPr>
            <w:tcW w:w="3504" w:type="dxa"/>
            <w:tcBorders>
              <w:left w:val="single" w:sz="8" w:space="0" w:color="FFFFFF"/>
              <w:bottom w:val="single" w:sz="4" w:space="0" w:color="auto"/>
              <w:right w:val="single" w:sz="24" w:space="0" w:color="FFFFFF"/>
            </w:tcBorders>
            <w:shd w:val="clear" w:color="auto" w:fill="4F81BD" w:themeFill="accent1"/>
          </w:tcPr>
          <w:p w:rsidR="00A56E29" w:rsidRPr="00B774CB" w:rsidRDefault="0060022D" w:rsidP="00A56E29">
            <w:pPr>
              <w:rPr>
                <w:rFonts w:eastAsia="Times New Roman"/>
                <w:bCs/>
                <w:color w:val="000000"/>
                <w:sz w:val="22"/>
                <w:szCs w:val="22"/>
              </w:rPr>
            </w:pPr>
            <w:r w:rsidRPr="00B774CB">
              <w:rPr>
                <w:rFonts w:eastAsia="Times New Roman"/>
                <w:bCs/>
                <w:color w:val="000000"/>
                <w:sz w:val="22"/>
                <w:szCs w:val="22"/>
              </w:rPr>
              <w:t xml:space="preserve">    </w:t>
            </w:r>
            <w:r w:rsidR="00A56E29" w:rsidRPr="00B774CB">
              <w:rPr>
                <w:rFonts w:eastAsia="Times New Roman"/>
                <w:bCs/>
                <w:color w:val="000000"/>
                <w:sz w:val="22"/>
                <w:szCs w:val="22"/>
              </w:rPr>
              <w:t>Deterministic</w:t>
            </w:r>
          </w:p>
        </w:tc>
        <w:tc>
          <w:tcPr>
            <w:tcW w:w="1692" w:type="dxa"/>
            <w:tcBorders>
              <w:bottom w:val="single" w:sz="4" w:space="0" w:color="auto"/>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c>
          <w:tcPr>
            <w:tcW w:w="1416" w:type="dxa"/>
            <w:tcBorders>
              <w:bottom w:val="single" w:sz="4" w:space="0" w:color="auto"/>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c>
          <w:tcPr>
            <w:tcW w:w="1249" w:type="dxa"/>
            <w:tcBorders>
              <w:bottom w:val="single" w:sz="4" w:space="0" w:color="auto"/>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c>
          <w:tcPr>
            <w:tcW w:w="1438" w:type="dxa"/>
            <w:tcBorders>
              <w:bottom w:val="single" w:sz="4" w:space="0" w:color="auto"/>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c>
          <w:tcPr>
            <w:tcW w:w="1522" w:type="dxa"/>
            <w:tcBorders>
              <w:bottom w:val="single" w:sz="4" w:space="0" w:color="auto"/>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c>
          <w:tcPr>
            <w:tcW w:w="1458" w:type="dxa"/>
            <w:tcBorders>
              <w:bottom w:val="single" w:sz="4" w:space="0" w:color="auto"/>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c>
          <w:tcPr>
            <w:tcW w:w="1482" w:type="dxa"/>
            <w:tcBorders>
              <w:bottom w:val="single" w:sz="4" w:space="0" w:color="auto"/>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r>
      <w:tr w:rsidR="00A56E29" w:rsidRPr="00B774CB" w:rsidTr="00B774CB">
        <w:trPr>
          <w:trHeight w:val="637"/>
          <w:jc w:val="center"/>
        </w:trPr>
        <w:tc>
          <w:tcPr>
            <w:tcW w:w="3504" w:type="dxa"/>
            <w:tcBorders>
              <w:top w:val="single" w:sz="8" w:space="0" w:color="FFFFFF"/>
              <w:left w:val="single" w:sz="8" w:space="0" w:color="FFFFFF"/>
              <w:bottom w:val="single" w:sz="8" w:space="0" w:color="FFFFFF"/>
              <w:right w:val="single" w:sz="24" w:space="0" w:color="FFFFFF"/>
            </w:tcBorders>
            <w:shd w:val="clear" w:color="auto" w:fill="4F81BD"/>
            <w:hideMark/>
          </w:tcPr>
          <w:p w:rsidR="00A56E29" w:rsidRPr="00B774CB" w:rsidRDefault="0060022D" w:rsidP="00A56E29">
            <w:pPr>
              <w:rPr>
                <w:b/>
                <w:color w:val="000000"/>
              </w:rPr>
            </w:pPr>
            <w:r w:rsidRPr="00B774CB">
              <w:rPr>
                <w:rFonts w:eastAsia="Times New Roman"/>
                <w:bCs/>
                <w:color w:val="000000"/>
                <w:szCs w:val="24"/>
              </w:rPr>
              <w:lastRenderedPageBreak/>
              <w:t xml:space="preserve">    </w:t>
            </w:r>
            <w:r w:rsidR="00A56E29" w:rsidRPr="00B774CB">
              <w:rPr>
                <w:rFonts w:eastAsia="Times New Roman"/>
                <w:bCs/>
                <w:color w:val="000000"/>
                <w:szCs w:val="24"/>
              </w:rPr>
              <w:t>Probabilistic</w:t>
            </w:r>
          </w:p>
        </w:tc>
        <w:tc>
          <w:tcPr>
            <w:tcW w:w="1692"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56E29" w:rsidRPr="00B774CB" w:rsidRDefault="005B2FEB" w:rsidP="00B774CB">
            <w:pPr>
              <w:jc w:val="center"/>
              <w:rPr>
                <w:color w:val="000000"/>
              </w:rPr>
            </w:pPr>
            <w:r w:rsidRPr="00B774CB">
              <w:rPr>
                <w:rFonts w:eastAsia="Times New Roman"/>
                <w:color w:val="000000"/>
                <w:szCs w:val="24"/>
              </w:rPr>
              <w:t>NR</w:t>
            </w:r>
          </w:p>
        </w:tc>
        <w:tc>
          <w:tcPr>
            <w:tcW w:w="1416"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56E29" w:rsidRPr="00B774CB" w:rsidRDefault="00A56E29" w:rsidP="00B774CB">
            <w:pPr>
              <w:jc w:val="center"/>
              <w:rPr>
                <w:color w:val="000000"/>
              </w:rPr>
            </w:pPr>
            <w:r w:rsidRPr="00B774CB">
              <w:rPr>
                <w:rFonts w:eastAsia="Times New Roman"/>
                <w:color w:val="000000"/>
                <w:szCs w:val="24"/>
              </w:rPr>
              <w:t>X</w:t>
            </w:r>
          </w:p>
        </w:tc>
        <w:tc>
          <w:tcPr>
            <w:tcW w:w="1249"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56E29" w:rsidRPr="00B774CB" w:rsidRDefault="00A56E29" w:rsidP="00B774CB">
            <w:pPr>
              <w:jc w:val="center"/>
              <w:rPr>
                <w:color w:val="000000"/>
              </w:rPr>
            </w:pPr>
            <w:r w:rsidRPr="00B774CB">
              <w:rPr>
                <w:rFonts w:eastAsia="Times New Roman"/>
                <w:color w:val="000000"/>
                <w:szCs w:val="24"/>
              </w:rPr>
              <w:t>X</w:t>
            </w:r>
          </w:p>
        </w:tc>
        <w:tc>
          <w:tcPr>
            <w:tcW w:w="143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56E29" w:rsidRPr="00B774CB" w:rsidRDefault="00A56E29" w:rsidP="00B774CB">
            <w:pPr>
              <w:jc w:val="center"/>
              <w:rPr>
                <w:color w:val="000000"/>
              </w:rPr>
            </w:pPr>
            <w:r w:rsidRPr="00B774CB">
              <w:rPr>
                <w:rFonts w:eastAsia="Times New Roman"/>
                <w:color w:val="000000"/>
                <w:szCs w:val="24"/>
              </w:rPr>
              <w:t>X</w:t>
            </w:r>
          </w:p>
        </w:tc>
        <w:tc>
          <w:tcPr>
            <w:tcW w:w="1522"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56E29" w:rsidRPr="00B774CB" w:rsidRDefault="005B2FEB" w:rsidP="00B774CB">
            <w:pPr>
              <w:jc w:val="center"/>
              <w:rPr>
                <w:color w:val="000000"/>
              </w:rPr>
            </w:pPr>
            <w:r w:rsidRPr="00B774CB">
              <w:rPr>
                <w:rFonts w:eastAsia="Times New Roman"/>
                <w:color w:val="000000"/>
                <w:szCs w:val="24"/>
              </w:rPr>
              <w:t>X</w:t>
            </w:r>
          </w:p>
        </w:tc>
        <w:tc>
          <w:tcPr>
            <w:tcW w:w="145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56E29" w:rsidRPr="00B774CB" w:rsidRDefault="005B2FEB" w:rsidP="00B774CB">
            <w:pPr>
              <w:jc w:val="center"/>
              <w:rPr>
                <w:color w:val="000000"/>
              </w:rPr>
            </w:pPr>
            <w:r w:rsidRPr="00B774CB">
              <w:rPr>
                <w:rFonts w:eastAsia="Times New Roman"/>
                <w:color w:val="000000"/>
                <w:szCs w:val="24"/>
              </w:rPr>
              <w:t>X</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5B2FEB" w:rsidP="00B774CB">
            <w:pPr>
              <w:jc w:val="center"/>
              <w:rPr>
                <w:rFonts w:eastAsia="Times New Roman"/>
                <w:color w:val="000000"/>
                <w:szCs w:val="24"/>
              </w:rPr>
            </w:pPr>
            <w:r w:rsidRPr="00B774CB">
              <w:rPr>
                <w:rFonts w:eastAsia="Times New Roman"/>
                <w:color w:val="000000"/>
                <w:szCs w:val="24"/>
              </w:rPr>
              <w:t>X</w:t>
            </w:r>
          </w:p>
        </w:tc>
      </w:tr>
      <w:tr w:rsidR="00A56E29" w:rsidRPr="00B774CB" w:rsidTr="00B774CB">
        <w:trPr>
          <w:trHeight w:val="614"/>
          <w:jc w:val="center"/>
        </w:trPr>
        <w:tc>
          <w:tcPr>
            <w:tcW w:w="3504" w:type="dxa"/>
            <w:tcBorders>
              <w:left w:val="single" w:sz="8" w:space="0" w:color="FFFFFF"/>
              <w:bottom w:val="single" w:sz="4" w:space="0" w:color="auto"/>
              <w:right w:val="single" w:sz="24" w:space="0" w:color="FFFFFF"/>
            </w:tcBorders>
            <w:shd w:val="clear" w:color="auto" w:fill="4F81BD" w:themeFill="accent1"/>
          </w:tcPr>
          <w:p w:rsidR="00A56E29" w:rsidRPr="00B774CB" w:rsidRDefault="00A56E29" w:rsidP="00A56E29">
            <w:pPr>
              <w:rPr>
                <w:sz w:val="22"/>
                <w:szCs w:val="22"/>
              </w:rPr>
            </w:pPr>
            <w:r w:rsidRPr="00B774CB">
              <w:rPr>
                <w:sz w:val="22"/>
                <w:szCs w:val="22"/>
              </w:rPr>
              <w:t>Use of Controlled Vocabularies</w:t>
            </w:r>
          </w:p>
        </w:tc>
        <w:tc>
          <w:tcPr>
            <w:tcW w:w="1692" w:type="dxa"/>
            <w:tcBorders>
              <w:bottom w:val="single" w:sz="4" w:space="0" w:color="auto"/>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c>
          <w:tcPr>
            <w:tcW w:w="1416"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XX</w:t>
            </w:r>
          </w:p>
        </w:tc>
        <w:tc>
          <w:tcPr>
            <w:tcW w:w="1249"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XX</w:t>
            </w:r>
          </w:p>
        </w:tc>
        <w:tc>
          <w:tcPr>
            <w:tcW w:w="1438"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522"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458"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482"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w:t>
            </w:r>
          </w:p>
        </w:tc>
      </w:tr>
      <w:tr w:rsidR="00A56E29" w:rsidRPr="00B774CB" w:rsidTr="00B774CB">
        <w:trPr>
          <w:trHeight w:val="637"/>
          <w:jc w:val="center"/>
        </w:trPr>
        <w:tc>
          <w:tcPr>
            <w:tcW w:w="3504" w:type="dxa"/>
            <w:tcBorders>
              <w:top w:val="single" w:sz="8" w:space="0" w:color="FFFFFF"/>
              <w:left w:val="single" w:sz="8" w:space="0" w:color="FFFFFF"/>
              <w:right w:val="single" w:sz="24" w:space="0" w:color="FFFFFF"/>
            </w:tcBorders>
            <w:shd w:val="clear" w:color="auto" w:fill="4F81BD"/>
            <w:hideMark/>
          </w:tcPr>
          <w:p w:rsidR="00A56E29" w:rsidRPr="00B774CB" w:rsidRDefault="00A56E29" w:rsidP="00A56E29">
            <w:pPr>
              <w:rPr>
                <w:sz w:val="22"/>
                <w:szCs w:val="22"/>
              </w:rPr>
            </w:pPr>
            <w:r w:rsidRPr="00B774CB">
              <w:rPr>
                <w:sz w:val="22"/>
                <w:szCs w:val="22"/>
              </w:rPr>
              <w:t xml:space="preserve">Use of nationally/internationally harmonized minimum data model </w:t>
            </w:r>
          </w:p>
        </w:tc>
        <w:tc>
          <w:tcPr>
            <w:tcW w:w="1692"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c>
          <w:tcPr>
            <w:tcW w:w="1416"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56E29" w:rsidRPr="00B774CB" w:rsidRDefault="00A56E29" w:rsidP="00B774CB">
            <w:pPr>
              <w:jc w:val="center"/>
              <w:rPr>
                <w:color w:val="000000"/>
                <w:sz w:val="22"/>
                <w:szCs w:val="22"/>
              </w:rPr>
            </w:pPr>
            <w:r w:rsidRPr="00B774CB">
              <w:rPr>
                <w:color w:val="000000"/>
                <w:sz w:val="22"/>
                <w:szCs w:val="22"/>
              </w:rPr>
              <w:t>X</w:t>
            </w:r>
          </w:p>
        </w:tc>
        <w:tc>
          <w:tcPr>
            <w:tcW w:w="1249"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56E29" w:rsidRPr="00B774CB" w:rsidRDefault="00A56E29" w:rsidP="00B774CB">
            <w:pPr>
              <w:jc w:val="center"/>
              <w:rPr>
                <w:color w:val="000000"/>
                <w:sz w:val="22"/>
                <w:szCs w:val="22"/>
              </w:rPr>
            </w:pPr>
            <w:r w:rsidRPr="00B774CB">
              <w:rPr>
                <w:color w:val="000000"/>
                <w:sz w:val="22"/>
                <w:szCs w:val="22"/>
              </w:rPr>
              <w:t>X</w:t>
            </w:r>
          </w:p>
        </w:tc>
        <w:tc>
          <w:tcPr>
            <w:tcW w:w="143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56E29" w:rsidRPr="00B774CB" w:rsidRDefault="00A56E29" w:rsidP="00B774CB">
            <w:pPr>
              <w:jc w:val="center"/>
              <w:rPr>
                <w:color w:val="000000"/>
                <w:sz w:val="22"/>
                <w:szCs w:val="22"/>
              </w:rPr>
            </w:pPr>
            <w:r w:rsidRPr="00B774CB">
              <w:rPr>
                <w:color w:val="000000"/>
                <w:sz w:val="22"/>
                <w:szCs w:val="22"/>
              </w:rPr>
              <w:t>X</w:t>
            </w:r>
          </w:p>
        </w:tc>
        <w:tc>
          <w:tcPr>
            <w:tcW w:w="152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458" w:type="dxa"/>
            <w:tcBorders>
              <w:top w:val="single" w:sz="8" w:space="0" w:color="FFFFFF"/>
              <w:left w:val="single" w:sz="8" w:space="0" w:color="FFFFFF"/>
              <w:bottom w:val="single" w:sz="8" w:space="0" w:color="FFFFFF"/>
              <w:right w:val="single" w:sz="8" w:space="0" w:color="FFFFFF"/>
            </w:tcBorders>
            <w:shd w:val="clear" w:color="auto" w:fill="A7BFDE"/>
            <w:vAlign w:val="center"/>
            <w:hideMark/>
          </w:tcPr>
          <w:p w:rsidR="00A56E29" w:rsidRPr="00B774CB" w:rsidRDefault="00A56E29" w:rsidP="00B774CB">
            <w:pPr>
              <w:jc w:val="center"/>
              <w:rPr>
                <w:color w:val="000000"/>
                <w:sz w:val="22"/>
                <w:szCs w:val="22"/>
              </w:rPr>
            </w:pPr>
            <w:r w:rsidRPr="00B774CB">
              <w:rPr>
                <w:color w:val="000000"/>
                <w:sz w:val="22"/>
                <w:szCs w:val="22"/>
              </w:rPr>
              <w:t>X</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r>
      <w:tr w:rsidR="00A56E29" w:rsidRPr="00B774CB" w:rsidTr="00B774CB">
        <w:trPr>
          <w:trHeight w:val="346"/>
          <w:jc w:val="center"/>
        </w:trPr>
        <w:tc>
          <w:tcPr>
            <w:tcW w:w="3504" w:type="dxa"/>
            <w:tcBorders>
              <w:left w:val="single" w:sz="8" w:space="0" w:color="FFFFFF"/>
              <w:bottom w:val="single" w:sz="4" w:space="0" w:color="auto"/>
              <w:right w:val="single" w:sz="24" w:space="0" w:color="FFFFFF"/>
            </w:tcBorders>
            <w:shd w:val="clear" w:color="auto" w:fill="DBE5F1" w:themeFill="accent1" w:themeFillTint="33"/>
          </w:tcPr>
          <w:p w:rsidR="00A56E29" w:rsidRPr="00B774CB" w:rsidRDefault="00A56E29" w:rsidP="00A56E29">
            <w:pPr>
              <w:rPr>
                <w:rFonts w:eastAsia="Times New Roman"/>
                <w:b/>
                <w:bCs/>
                <w:color w:val="000000"/>
                <w:sz w:val="22"/>
                <w:szCs w:val="22"/>
              </w:rPr>
            </w:pPr>
            <w:r w:rsidRPr="00B774CB">
              <w:rPr>
                <w:rFonts w:eastAsia="Times New Roman"/>
                <w:b/>
                <w:bCs/>
                <w:color w:val="000000"/>
                <w:sz w:val="22"/>
                <w:szCs w:val="22"/>
              </w:rPr>
              <w:t>Data Storage</w:t>
            </w:r>
          </w:p>
        </w:tc>
        <w:tc>
          <w:tcPr>
            <w:tcW w:w="1692" w:type="dxa"/>
            <w:tcBorders>
              <w:bottom w:val="single" w:sz="4" w:space="0" w:color="auto"/>
            </w:tcBorders>
            <w:shd w:val="clear" w:color="auto" w:fill="DBE5F1" w:themeFill="accent1" w:themeFillTint="33"/>
            <w:vAlign w:val="center"/>
          </w:tcPr>
          <w:p w:rsidR="00A56E29" w:rsidRPr="00B774CB" w:rsidRDefault="00A56E29" w:rsidP="00B774CB">
            <w:pPr>
              <w:jc w:val="center"/>
              <w:rPr>
                <w:rFonts w:eastAsia="Times New Roman"/>
                <w:color w:val="000000"/>
                <w:sz w:val="22"/>
                <w:szCs w:val="22"/>
              </w:rPr>
            </w:pPr>
          </w:p>
        </w:tc>
        <w:tc>
          <w:tcPr>
            <w:tcW w:w="1416"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249"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438"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522"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458"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482"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r>
      <w:tr w:rsidR="00A56E29" w:rsidRPr="00B774CB" w:rsidTr="00B774CB">
        <w:trPr>
          <w:trHeight w:val="346"/>
          <w:jc w:val="center"/>
        </w:trPr>
        <w:tc>
          <w:tcPr>
            <w:tcW w:w="3504" w:type="dxa"/>
            <w:tcBorders>
              <w:left w:val="single" w:sz="8" w:space="0" w:color="FFFFFF"/>
              <w:bottom w:val="single" w:sz="4" w:space="0" w:color="auto"/>
              <w:right w:val="single" w:sz="24" w:space="0" w:color="FFFFFF"/>
            </w:tcBorders>
            <w:shd w:val="clear" w:color="auto" w:fill="4F81BD" w:themeFill="accent1"/>
          </w:tcPr>
          <w:p w:rsidR="00A56E29" w:rsidRPr="00B774CB" w:rsidRDefault="00A56E29" w:rsidP="00A56E29">
            <w:pPr>
              <w:rPr>
                <w:rFonts w:eastAsia="Times New Roman"/>
                <w:b/>
                <w:bCs/>
                <w:color w:val="000000"/>
                <w:sz w:val="22"/>
                <w:szCs w:val="22"/>
              </w:rPr>
            </w:pPr>
            <w:r w:rsidRPr="00B774CB">
              <w:rPr>
                <w:sz w:val="22"/>
                <w:szCs w:val="22"/>
              </w:rPr>
              <w:t>Security Protection against hacking, altering, deleting or stealing data</w:t>
            </w:r>
          </w:p>
        </w:tc>
        <w:tc>
          <w:tcPr>
            <w:tcW w:w="1692" w:type="dxa"/>
            <w:tcBorders>
              <w:bottom w:val="single" w:sz="4" w:space="0" w:color="auto"/>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c>
          <w:tcPr>
            <w:tcW w:w="1416"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XX</w:t>
            </w:r>
          </w:p>
        </w:tc>
        <w:tc>
          <w:tcPr>
            <w:tcW w:w="1249"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XX</w:t>
            </w:r>
          </w:p>
        </w:tc>
        <w:tc>
          <w:tcPr>
            <w:tcW w:w="1438"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XX</w:t>
            </w:r>
          </w:p>
        </w:tc>
        <w:tc>
          <w:tcPr>
            <w:tcW w:w="1522"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XX</w:t>
            </w:r>
          </w:p>
        </w:tc>
        <w:tc>
          <w:tcPr>
            <w:tcW w:w="1458"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XX</w:t>
            </w:r>
          </w:p>
        </w:tc>
        <w:tc>
          <w:tcPr>
            <w:tcW w:w="1482" w:type="dxa"/>
            <w:tcBorders>
              <w:bottom w:val="single" w:sz="4" w:space="0" w:color="auto"/>
            </w:tcBorders>
            <w:shd w:val="clear" w:color="auto" w:fill="B8CCE4" w:themeFill="accent1" w:themeFillTint="66"/>
            <w:vAlign w:val="center"/>
          </w:tcPr>
          <w:p w:rsidR="00A56E29" w:rsidRPr="00B774CB" w:rsidRDefault="00A56E29" w:rsidP="00B774CB">
            <w:pPr>
              <w:jc w:val="center"/>
              <w:rPr>
                <w:color w:val="000000"/>
                <w:sz w:val="22"/>
                <w:szCs w:val="22"/>
              </w:rPr>
            </w:pPr>
            <w:r w:rsidRPr="00B774CB">
              <w:rPr>
                <w:color w:val="000000"/>
                <w:sz w:val="22"/>
                <w:szCs w:val="22"/>
              </w:rPr>
              <w:t>XX</w:t>
            </w:r>
          </w:p>
        </w:tc>
      </w:tr>
      <w:tr w:rsidR="00A56E29" w:rsidRPr="00B774CB" w:rsidTr="00B774CB">
        <w:trPr>
          <w:trHeight w:val="346"/>
          <w:jc w:val="center"/>
        </w:trPr>
        <w:tc>
          <w:tcPr>
            <w:tcW w:w="3504" w:type="dxa"/>
            <w:tcBorders>
              <w:top w:val="single" w:sz="6" w:space="0" w:color="FFFFFF"/>
              <w:left w:val="single" w:sz="8" w:space="0" w:color="FFFFFF"/>
              <w:bottom w:val="single" w:sz="4" w:space="0" w:color="auto"/>
              <w:right w:val="single" w:sz="24" w:space="0" w:color="FFFFFF"/>
            </w:tcBorders>
            <w:shd w:val="clear" w:color="auto" w:fill="DBE5F1" w:themeFill="accent1" w:themeFillTint="33"/>
          </w:tcPr>
          <w:p w:rsidR="00A56E29" w:rsidRPr="004D5746" w:rsidRDefault="00A56E29" w:rsidP="00A56E29">
            <w:pPr>
              <w:rPr>
                <w:b/>
                <w:sz w:val="22"/>
                <w:szCs w:val="22"/>
              </w:rPr>
            </w:pPr>
            <w:r w:rsidRPr="004D5746">
              <w:rPr>
                <w:b/>
                <w:sz w:val="22"/>
                <w:szCs w:val="22"/>
              </w:rPr>
              <w:t>Methodologies Leading to Actionable Data</w:t>
            </w:r>
          </w:p>
        </w:tc>
        <w:tc>
          <w:tcPr>
            <w:tcW w:w="1692" w:type="dxa"/>
            <w:tcBorders>
              <w:top w:val="single" w:sz="6" w:space="0" w:color="FFFFFF"/>
              <w:left w:val="single" w:sz="6" w:space="0" w:color="FFFFFF"/>
              <w:bottom w:val="single" w:sz="4" w:space="0" w:color="auto"/>
              <w:right w:val="single" w:sz="6" w:space="0" w:color="FFFFFF"/>
            </w:tcBorders>
            <w:shd w:val="clear" w:color="auto" w:fill="DBE5F1" w:themeFill="accent1" w:themeFillTint="33"/>
            <w:vAlign w:val="center"/>
          </w:tcPr>
          <w:p w:rsidR="00A56E29" w:rsidRPr="00B774CB" w:rsidRDefault="00A56E29" w:rsidP="00B774CB">
            <w:pPr>
              <w:jc w:val="center"/>
              <w:rPr>
                <w:rFonts w:eastAsia="Times New Roman"/>
                <w:color w:val="000000"/>
                <w:sz w:val="22"/>
                <w:szCs w:val="22"/>
              </w:rPr>
            </w:pPr>
          </w:p>
        </w:tc>
        <w:tc>
          <w:tcPr>
            <w:tcW w:w="1416" w:type="dxa"/>
            <w:tcBorders>
              <w:top w:val="single" w:sz="6" w:space="0" w:color="FFFFFF"/>
              <w:left w:val="single" w:sz="6" w:space="0" w:color="FFFFFF"/>
              <w:bottom w:val="single" w:sz="4" w:space="0" w:color="auto"/>
              <w:right w:val="single" w:sz="6" w:space="0" w:color="FFFFFF"/>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249" w:type="dxa"/>
            <w:tcBorders>
              <w:top w:val="single" w:sz="6" w:space="0" w:color="FFFFFF"/>
              <w:left w:val="single" w:sz="6" w:space="0" w:color="FFFFFF"/>
              <w:bottom w:val="single" w:sz="4" w:space="0" w:color="auto"/>
              <w:right w:val="single" w:sz="6" w:space="0" w:color="FFFFFF"/>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438" w:type="dxa"/>
            <w:tcBorders>
              <w:top w:val="single" w:sz="6" w:space="0" w:color="FFFFFF"/>
              <w:left w:val="single" w:sz="6" w:space="0" w:color="FFFFFF"/>
              <w:bottom w:val="single" w:sz="4" w:space="0" w:color="auto"/>
              <w:right w:val="single" w:sz="6" w:space="0" w:color="FFFFFF"/>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522" w:type="dxa"/>
            <w:tcBorders>
              <w:top w:val="single" w:sz="6" w:space="0" w:color="FFFFFF"/>
              <w:left w:val="single" w:sz="6" w:space="0" w:color="FFFFFF"/>
              <w:bottom w:val="single" w:sz="4" w:space="0" w:color="auto"/>
              <w:right w:val="single" w:sz="6" w:space="0" w:color="FFFFFF"/>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458" w:type="dxa"/>
            <w:tcBorders>
              <w:top w:val="single" w:sz="6" w:space="0" w:color="FFFFFF"/>
              <w:left w:val="single" w:sz="6" w:space="0" w:color="FFFFFF"/>
              <w:bottom w:val="single" w:sz="4" w:space="0" w:color="auto"/>
              <w:right w:val="single" w:sz="6" w:space="0" w:color="FFFFFF"/>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482" w:type="dxa"/>
            <w:tcBorders>
              <w:top w:val="single" w:sz="6" w:space="0" w:color="FFFFFF"/>
              <w:left w:val="single" w:sz="6" w:space="0" w:color="FFFFFF"/>
              <w:bottom w:val="single" w:sz="4" w:space="0" w:color="auto"/>
              <w:right w:val="single" w:sz="8" w:space="0" w:color="FFFFFF"/>
            </w:tcBorders>
            <w:shd w:val="clear" w:color="auto" w:fill="DBE5F1" w:themeFill="accent1" w:themeFillTint="33"/>
            <w:vAlign w:val="center"/>
          </w:tcPr>
          <w:p w:rsidR="00A56E29" w:rsidRPr="00B774CB" w:rsidRDefault="00A56E29" w:rsidP="00B774CB">
            <w:pPr>
              <w:jc w:val="center"/>
              <w:rPr>
                <w:color w:val="000000"/>
                <w:sz w:val="22"/>
                <w:szCs w:val="22"/>
              </w:rPr>
            </w:pPr>
          </w:p>
        </w:tc>
      </w:tr>
      <w:tr w:rsidR="00A56E29" w:rsidRPr="00B774CB" w:rsidTr="00B774CB">
        <w:trPr>
          <w:trHeight w:val="690"/>
          <w:jc w:val="center"/>
        </w:trPr>
        <w:tc>
          <w:tcPr>
            <w:tcW w:w="3504" w:type="dxa"/>
            <w:tcBorders>
              <w:left w:val="single" w:sz="8" w:space="0" w:color="FFFFFF"/>
              <w:right w:val="single" w:sz="24" w:space="0" w:color="FFFFFF"/>
            </w:tcBorders>
            <w:shd w:val="clear" w:color="auto" w:fill="4F81BD"/>
          </w:tcPr>
          <w:p w:rsidR="00A56E29" w:rsidRPr="00B774CB" w:rsidRDefault="00A56E29" w:rsidP="00A56E29">
            <w:pPr>
              <w:rPr>
                <w:rFonts w:eastAsia="Times New Roman"/>
                <w:b/>
                <w:bCs/>
                <w:color w:val="000000"/>
                <w:sz w:val="22"/>
                <w:szCs w:val="22"/>
              </w:rPr>
            </w:pPr>
            <w:r w:rsidRPr="00B774CB">
              <w:rPr>
                <w:rFonts w:eastAsia="Times New Roman"/>
                <w:bCs/>
                <w:color w:val="000000"/>
                <w:sz w:val="22"/>
                <w:szCs w:val="22"/>
              </w:rPr>
              <w:t>Conduct of analyses across different types of analysis frameworks</w:t>
            </w:r>
          </w:p>
        </w:tc>
        <w:tc>
          <w:tcPr>
            <w:tcW w:w="1692" w:type="dxa"/>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c>
          <w:tcPr>
            <w:tcW w:w="1416" w:type="dxa"/>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c>
          <w:tcPr>
            <w:tcW w:w="1249" w:type="dxa"/>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c>
          <w:tcPr>
            <w:tcW w:w="1438" w:type="dxa"/>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c>
          <w:tcPr>
            <w:tcW w:w="1522" w:type="dxa"/>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r w:rsidR="00B36713" w:rsidRPr="00B774CB">
              <w:rPr>
                <w:rFonts w:eastAsia="Times New Roman"/>
                <w:color w:val="000000"/>
                <w:sz w:val="22"/>
                <w:szCs w:val="22"/>
              </w:rPr>
              <w:t>X</w:t>
            </w:r>
          </w:p>
        </w:tc>
        <w:tc>
          <w:tcPr>
            <w:tcW w:w="1458" w:type="dxa"/>
            <w:shd w:val="clear" w:color="auto" w:fill="B8CCE4" w:themeFill="accent1" w:themeFillTint="66"/>
            <w:vAlign w:val="center"/>
          </w:tcPr>
          <w:p w:rsidR="00A56E29" w:rsidRPr="00B774CB" w:rsidRDefault="00510E5F" w:rsidP="00B774CB">
            <w:pPr>
              <w:jc w:val="center"/>
              <w:rPr>
                <w:rFonts w:eastAsia="Times New Roman"/>
                <w:color w:val="000000"/>
                <w:sz w:val="22"/>
                <w:szCs w:val="22"/>
              </w:rPr>
            </w:pPr>
            <w:r w:rsidRPr="00B774CB">
              <w:rPr>
                <w:rFonts w:eastAsia="Times New Roman"/>
                <w:color w:val="000000"/>
                <w:sz w:val="22"/>
                <w:szCs w:val="22"/>
              </w:rPr>
              <w:t>X</w:t>
            </w:r>
          </w:p>
        </w:tc>
        <w:tc>
          <w:tcPr>
            <w:tcW w:w="1482" w:type="dxa"/>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r>
      <w:tr w:rsidR="00A56E29" w:rsidRPr="00B774CB" w:rsidTr="00B774CB">
        <w:trPr>
          <w:trHeight w:val="435"/>
          <w:jc w:val="center"/>
        </w:trPr>
        <w:tc>
          <w:tcPr>
            <w:tcW w:w="3504" w:type="dxa"/>
            <w:tcBorders>
              <w:top w:val="single" w:sz="8" w:space="0" w:color="FFFFFF"/>
              <w:left w:val="single" w:sz="8" w:space="0" w:color="FFFFFF"/>
              <w:right w:val="single" w:sz="24" w:space="0" w:color="FFFFFF"/>
            </w:tcBorders>
            <w:shd w:val="clear" w:color="auto" w:fill="4F81BD" w:themeFill="accent1"/>
          </w:tcPr>
          <w:p w:rsidR="00A56E29" w:rsidRPr="00B774CB" w:rsidRDefault="00A56E29" w:rsidP="00A56E29">
            <w:pPr>
              <w:rPr>
                <w:rFonts w:eastAsia="Times New Roman"/>
                <w:bCs/>
                <w:color w:val="000000"/>
                <w:sz w:val="22"/>
                <w:szCs w:val="22"/>
              </w:rPr>
            </w:pPr>
            <w:r w:rsidRPr="00B774CB">
              <w:rPr>
                <w:rFonts w:eastAsia="Times New Roman"/>
                <w:bCs/>
                <w:color w:val="000000"/>
                <w:sz w:val="22"/>
                <w:szCs w:val="22"/>
              </w:rPr>
              <w:t>Data Interpretation</w:t>
            </w:r>
          </w:p>
        </w:tc>
        <w:tc>
          <w:tcPr>
            <w:tcW w:w="169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c>
          <w:tcPr>
            <w:tcW w:w="1416"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c>
          <w:tcPr>
            <w:tcW w:w="1249"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c>
          <w:tcPr>
            <w:tcW w:w="143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XX</w:t>
            </w:r>
          </w:p>
        </w:tc>
        <w:tc>
          <w:tcPr>
            <w:tcW w:w="152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r w:rsidR="00B36713" w:rsidRPr="00B774CB">
              <w:rPr>
                <w:rFonts w:eastAsia="Times New Roman"/>
                <w:color w:val="000000"/>
                <w:sz w:val="22"/>
                <w:szCs w:val="22"/>
              </w:rPr>
              <w:t>X</w:t>
            </w:r>
          </w:p>
        </w:tc>
        <w:tc>
          <w:tcPr>
            <w:tcW w:w="1458"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c>
          <w:tcPr>
            <w:tcW w:w="1482" w:type="dxa"/>
            <w:tcBorders>
              <w:top w:val="single" w:sz="8" w:space="0" w:color="FFFFFF"/>
              <w:left w:val="single" w:sz="8" w:space="0" w:color="FFFFFF"/>
              <w:bottom w:val="single" w:sz="8" w:space="0" w:color="FFFFFF"/>
              <w:right w:val="single" w:sz="8" w:space="0" w:color="FFFFFF"/>
            </w:tcBorders>
            <w:shd w:val="clear" w:color="auto" w:fill="B8CCE4" w:themeFill="accent1" w:themeFillTint="66"/>
            <w:vAlign w:val="center"/>
          </w:tcPr>
          <w:p w:rsidR="00A56E29" w:rsidRPr="00B774CB" w:rsidRDefault="00A56E29" w:rsidP="00B774CB">
            <w:pPr>
              <w:jc w:val="center"/>
              <w:rPr>
                <w:rFonts w:eastAsia="Times New Roman"/>
                <w:color w:val="000000"/>
                <w:sz w:val="22"/>
                <w:szCs w:val="22"/>
              </w:rPr>
            </w:pPr>
            <w:r w:rsidRPr="00B774CB">
              <w:rPr>
                <w:rFonts w:eastAsia="Times New Roman"/>
                <w:color w:val="000000"/>
                <w:sz w:val="22"/>
                <w:szCs w:val="22"/>
              </w:rPr>
              <w:t>X</w:t>
            </w:r>
          </w:p>
        </w:tc>
      </w:tr>
      <w:tr w:rsidR="00A56E29" w:rsidRPr="00B774CB" w:rsidTr="00B774CB">
        <w:trPr>
          <w:trHeight w:val="346"/>
          <w:jc w:val="center"/>
        </w:trPr>
        <w:tc>
          <w:tcPr>
            <w:tcW w:w="3504" w:type="dxa"/>
            <w:tcBorders>
              <w:left w:val="single" w:sz="8" w:space="0" w:color="FFFFFF"/>
              <w:bottom w:val="single" w:sz="4" w:space="0" w:color="auto"/>
              <w:right w:val="single" w:sz="24" w:space="0" w:color="FFFFFF"/>
            </w:tcBorders>
            <w:shd w:val="clear" w:color="auto" w:fill="DBE5F1" w:themeFill="accent1" w:themeFillTint="33"/>
          </w:tcPr>
          <w:p w:rsidR="00A56E29" w:rsidRPr="00B774CB" w:rsidRDefault="00A56E29" w:rsidP="00A56E29">
            <w:pPr>
              <w:rPr>
                <w:b/>
                <w:color w:val="000000"/>
                <w:sz w:val="22"/>
                <w:szCs w:val="22"/>
              </w:rPr>
            </w:pPr>
            <w:r w:rsidRPr="00B774CB">
              <w:rPr>
                <w:b/>
                <w:sz w:val="22"/>
                <w:szCs w:val="22"/>
              </w:rPr>
              <w:t>Transparency/ Display/ Distribution</w:t>
            </w:r>
          </w:p>
        </w:tc>
        <w:tc>
          <w:tcPr>
            <w:tcW w:w="1692" w:type="dxa"/>
            <w:tcBorders>
              <w:bottom w:val="single" w:sz="4" w:space="0" w:color="auto"/>
            </w:tcBorders>
            <w:shd w:val="clear" w:color="auto" w:fill="DBE5F1" w:themeFill="accent1" w:themeFillTint="33"/>
            <w:vAlign w:val="center"/>
          </w:tcPr>
          <w:p w:rsidR="00A56E29" w:rsidRPr="00B774CB" w:rsidRDefault="00A56E29" w:rsidP="00B774CB">
            <w:pPr>
              <w:jc w:val="center"/>
              <w:rPr>
                <w:rFonts w:eastAsia="Times New Roman"/>
                <w:color w:val="000000"/>
                <w:sz w:val="22"/>
                <w:szCs w:val="22"/>
              </w:rPr>
            </w:pPr>
          </w:p>
        </w:tc>
        <w:tc>
          <w:tcPr>
            <w:tcW w:w="1416"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249"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438"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522"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458"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c>
          <w:tcPr>
            <w:tcW w:w="1482" w:type="dxa"/>
            <w:tcBorders>
              <w:bottom w:val="single" w:sz="4" w:space="0" w:color="auto"/>
            </w:tcBorders>
            <w:shd w:val="clear" w:color="auto" w:fill="DBE5F1" w:themeFill="accent1" w:themeFillTint="33"/>
            <w:vAlign w:val="center"/>
          </w:tcPr>
          <w:p w:rsidR="00A56E29" w:rsidRPr="00B774CB" w:rsidRDefault="00A56E29" w:rsidP="00B774CB">
            <w:pPr>
              <w:jc w:val="center"/>
              <w:rPr>
                <w:color w:val="000000"/>
                <w:sz w:val="22"/>
                <w:szCs w:val="22"/>
              </w:rPr>
            </w:pPr>
          </w:p>
        </w:tc>
      </w:tr>
      <w:tr w:rsidR="00A56E29" w:rsidRPr="00B774CB" w:rsidTr="00B774CB">
        <w:trPr>
          <w:trHeight w:val="435"/>
          <w:jc w:val="center"/>
        </w:trPr>
        <w:tc>
          <w:tcPr>
            <w:tcW w:w="3504" w:type="dxa"/>
            <w:tcBorders>
              <w:top w:val="single" w:sz="8" w:space="0" w:color="FFFFFF"/>
              <w:left w:val="single" w:sz="8" w:space="0" w:color="FFFFFF"/>
              <w:bottom w:val="single" w:sz="6" w:space="0" w:color="FFFFFF"/>
              <w:right w:val="single" w:sz="24" w:space="0" w:color="FFFFFF"/>
            </w:tcBorders>
            <w:shd w:val="clear" w:color="auto" w:fill="4F81BD"/>
          </w:tcPr>
          <w:p w:rsidR="00A56E29" w:rsidRPr="00B774CB" w:rsidRDefault="00A56E29" w:rsidP="00A56E29">
            <w:pPr>
              <w:rPr>
                <w:rFonts w:eastAsia="Times New Roman"/>
                <w:bCs/>
                <w:color w:val="000000"/>
                <w:sz w:val="22"/>
                <w:szCs w:val="22"/>
              </w:rPr>
            </w:pPr>
            <w:r w:rsidRPr="00B774CB">
              <w:rPr>
                <w:rFonts w:eastAsia="Times New Roman"/>
                <w:bCs/>
                <w:color w:val="000000"/>
                <w:sz w:val="22"/>
                <w:szCs w:val="22"/>
              </w:rPr>
              <w:t xml:space="preserve">Report; Key elements and frequency of reports </w:t>
            </w:r>
          </w:p>
        </w:tc>
        <w:tc>
          <w:tcPr>
            <w:tcW w:w="16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41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24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43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52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45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rFonts w:eastAsia="Times New Roman"/>
                <w:color w:val="000000"/>
                <w:sz w:val="22"/>
                <w:szCs w:val="22"/>
              </w:rPr>
            </w:pPr>
          </w:p>
        </w:tc>
      </w:tr>
      <w:tr w:rsidR="00A56E29" w:rsidRPr="00B774CB" w:rsidTr="00B774CB">
        <w:trPr>
          <w:trHeight w:val="435"/>
          <w:jc w:val="center"/>
        </w:trPr>
        <w:tc>
          <w:tcPr>
            <w:tcW w:w="3504" w:type="dxa"/>
            <w:tcBorders>
              <w:top w:val="single" w:sz="8" w:space="0" w:color="FFFFFF"/>
              <w:left w:val="single" w:sz="8" w:space="0" w:color="FFFFFF"/>
              <w:bottom w:val="single" w:sz="6" w:space="0" w:color="FFFFFF"/>
              <w:right w:val="single" w:sz="24" w:space="0" w:color="FFFFFF"/>
            </w:tcBorders>
            <w:shd w:val="clear" w:color="auto" w:fill="4F81BD"/>
          </w:tcPr>
          <w:p w:rsidR="00A56E29" w:rsidRPr="00B774CB" w:rsidRDefault="00A56E29" w:rsidP="00A56E29">
            <w:pPr>
              <w:rPr>
                <w:rFonts w:eastAsia="Times New Roman"/>
                <w:bCs/>
                <w:color w:val="000000"/>
                <w:sz w:val="22"/>
                <w:szCs w:val="22"/>
              </w:rPr>
            </w:pPr>
            <w:r w:rsidRPr="00B774CB">
              <w:rPr>
                <w:rFonts w:eastAsia="Times New Roman"/>
                <w:bCs/>
                <w:color w:val="000000"/>
                <w:sz w:val="22"/>
                <w:szCs w:val="22"/>
              </w:rPr>
              <w:t xml:space="preserve">Website and web-reporting </w:t>
            </w:r>
          </w:p>
        </w:tc>
        <w:tc>
          <w:tcPr>
            <w:tcW w:w="169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416"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249"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43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52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458"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color w:val="000000"/>
                <w:sz w:val="22"/>
                <w:szCs w:val="22"/>
              </w:rPr>
            </w:pPr>
            <w:r w:rsidRPr="00B774CB">
              <w:rPr>
                <w:color w:val="000000"/>
                <w:sz w:val="22"/>
                <w:szCs w:val="22"/>
              </w:rPr>
              <w:t>X</w:t>
            </w:r>
          </w:p>
        </w:tc>
        <w:tc>
          <w:tcPr>
            <w:tcW w:w="1482" w:type="dxa"/>
            <w:tcBorders>
              <w:top w:val="single" w:sz="8" w:space="0" w:color="FFFFFF"/>
              <w:left w:val="single" w:sz="8" w:space="0" w:color="FFFFFF"/>
              <w:bottom w:val="single" w:sz="8" w:space="0" w:color="FFFFFF"/>
              <w:right w:val="single" w:sz="8" w:space="0" w:color="FFFFFF"/>
            </w:tcBorders>
            <w:shd w:val="clear" w:color="auto" w:fill="A7BFDE"/>
            <w:vAlign w:val="center"/>
          </w:tcPr>
          <w:p w:rsidR="00A56E29" w:rsidRPr="00B774CB" w:rsidRDefault="00A56E29" w:rsidP="00B774CB">
            <w:pPr>
              <w:jc w:val="center"/>
              <w:rPr>
                <w:rFonts w:eastAsia="Times New Roman"/>
                <w:color w:val="000000"/>
                <w:sz w:val="22"/>
                <w:szCs w:val="22"/>
              </w:rPr>
            </w:pPr>
          </w:p>
        </w:tc>
      </w:tr>
    </w:tbl>
    <w:tbl>
      <w:tblPr>
        <w:tblStyle w:val="TableGrid"/>
        <w:tblpPr w:leftFromText="180" w:rightFromText="180" w:vertAnchor="text" w:horzAnchor="margin" w:tblpY="83"/>
        <w:tblW w:w="0" w:type="auto"/>
        <w:tblLook w:val="04A0" w:firstRow="1" w:lastRow="0" w:firstColumn="1" w:lastColumn="0" w:noHBand="0" w:noVBand="1"/>
      </w:tblPr>
      <w:tblGrid>
        <w:gridCol w:w="3258"/>
      </w:tblGrid>
      <w:tr w:rsidR="00363EC6" w:rsidRPr="00B774CB" w:rsidTr="00DF5B8D">
        <w:trPr>
          <w:trHeight w:val="1547"/>
        </w:trPr>
        <w:tc>
          <w:tcPr>
            <w:tcW w:w="3258" w:type="dxa"/>
            <w:tcBorders>
              <w:top w:val="nil"/>
              <w:left w:val="nil"/>
              <w:bottom w:val="nil"/>
              <w:right w:val="nil"/>
            </w:tcBorders>
            <w:shd w:val="clear" w:color="auto" w:fill="B8CCE4" w:themeFill="accent1" w:themeFillTint="66"/>
          </w:tcPr>
          <w:p w:rsidR="00363EC6" w:rsidRPr="00B774CB" w:rsidRDefault="00363EC6" w:rsidP="00363EC6">
            <w:pPr>
              <w:ind w:left="-270"/>
              <w:rPr>
                <w:b/>
                <w:lang w:eastAsia="ja-JP"/>
              </w:rPr>
            </w:pPr>
            <w:r w:rsidRPr="00B774CB">
              <w:rPr>
                <w:b/>
                <w:lang w:eastAsia="ja-JP"/>
              </w:rPr>
              <w:t xml:space="preserve">                     Legend  </w:t>
            </w:r>
          </w:p>
          <w:p w:rsidR="00363EC6" w:rsidRPr="00B774CB" w:rsidRDefault="00363EC6" w:rsidP="00363EC6">
            <w:pPr>
              <w:rPr>
                <w:i/>
                <w:lang w:eastAsia="ja-JP"/>
              </w:rPr>
            </w:pPr>
            <w:r w:rsidRPr="00B774CB">
              <w:rPr>
                <w:i/>
                <w:lang w:eastAsia="ja-JP"/>
              </w:rPr>
              <w:t xml:space="preserve">XX  -    Highly Recommended   </w:t>
            </w:r>
          </w:p>
          <w:p w:rsidR="00363EC6" w:rsidRPr="00B774CB" w:rsidRDefault="00363EC6" w:rsidP="00363EC6">
            <w:pPr>
              <w:rPr>
                <w:i/>
                <w:lang w:eastAsia="ja-JP"/>
              </w:rPr>
            </w:pPr>
            <w:r w:rsidRPr="00B774CB">
              <w:rPr>
                <w:i/>
                <w:lang w:eastAsia="ja-JP"/>
              </w:rPr>
              <w:t xml:space="preserve">  X  -    </w:t>
            </w:r>
            <w:r w:rsidR="00E70CE4" w:rsidRPr="00B774CB">
              <w:rPr>
                <w:i/>
                <w:lang w:eastAsia="ja-JP"/>
              </w:rPr>
              <w:t xml:space="preserve">Recommended </w:t>
            </w:r>
          </w:p>
          <w:p w:rsidR="00363EC6" w:rsidRPr="00B774CB" w:rsidRDefault="00363EC6" w:rsidP="00363EC6">
            <w:pPr>
              <w:pStyle w:val="ListParagraph"/>
              <w:numPr>
                <w:ilvl w:val="0"/>
                <w:numId w:val="35"/>
              </w:numPr>
              <w:ind w:leftChars="0"/>
              <w:rPr>
                <w:i/>
                <w:lang w:eastAsia="ja-JP"/>
              </w:rPr>
            </w:pPr>
            <w:r w:rsidRPr="00B774CB">
              <w:rPr>
                <w:i/>
                <w:noProof/>
                <w:lang w:val="en-AU" w:eastAsia="en-AU"/>
              </w:rPr>
              <mc:AlternateContent>
                <mc:Choice Requires="wps">
                  <w:drawing>
                    <wp:anchor distT="0" distB="0" distL="114300" distR="114300" simplePos="0" relativeHeight="251659264" behindDoc="0" locked="0" layoutInCell="1" allowOverlap="1" wp14:anchorId="35D763DA" wp14:editId="231E7046">
                      <wp:simplePos x="0" y="0"/>
                      <wp:positionH relativeFrom="column">
                        <wp:posOffset>-635</wp:posOffset>
                      </wp:positionH>
                      <wp:positionV relativeFrom="paragraph">
                        <wp:posOffset>21590</wp:posOffset>
                      </wp:positionV>
                      <wp:extent cx="161925" cy="1524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161925" cy="152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037D3" w:rsidRDefault="000037D3" w:rsidP="00363E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014346D3" id="Text Box 9" o:spid="_x0000_s1027" type="#_x0000_t202" style="position:absolute;left:0;text-align:left;margin-left:-.05pt;margin-top:1.7pt;width:12.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" fillcolor="white [3201]" strokeweight=".5pt">
                      <v:textbox>
                        <w:txbxContent>
                          <w:p w:rsidR="000037D3" w:rsidRDefault="000037D3" w:rsidP="00363EC6"/>
                        </w:txbxContent>
                      </v:textbox>
                    </v:shape>
                  </w:pict>
                </mc:Fallback>
              </mc:AlternateContent>
            </w:r>
            <w:r w:rsidRPr="00B774CB">
              <w:rPr>
                <w:i/>
                <w:lang w:eastAsia="ja-JP"/>
              </w:rPr>
              <w:t xml:space="preserve">Optional </w:t>
            </w:r>
          </w:p>
          <w:p w:rsidR="00AA7CA9" w:rsidRPr="00B774CB" w:rsidRDefault="00AA7CA9" w:rsidP="00363EC6">
            <w:pPr>
              <w:rPr>
                <w:i/>
                <w:lang w:eastAsia="ja-JP"/>
              </w:rPr>
            </w:pPr>
            <w:r w:rsidRPr="00B774CB">
              <w:rPr>
                <w:i/>
                <w:lang w:eastAsia="ja-JP"/>
              </w:rPr>
              <w:t>NR-     Not Recommended</w:t>
            </w:r>
          </w:p>
        </w:tc>
      </w:tr>
    </w:tbl>
    <w:p w:rsidR="00A56E29" w:rsidRPr="00B774CB" w:rsidRDefault="00A56E29" w:rsidP="00A56E29">
      <w:pPr>
        <w:ind w:leftChars="150" w:left="709" w:hangingChars="166" w:hanging="349"/>
        <w:rPr>
          <w:sz w:val="21"/>
          <w:szCs w:val="21"/>
        </w:rPr>
      </w:pPr>
      <w:r w:rsidRPr="00B774CB">
        <w:rPr>
          <w:color w:val="000000"/>
          <w:sz w:val="21"/>
          <w:szCs w:val="21"/>
        </w:rPr>
        <w:t>*Situations where registry data are used for purposes of initial approval are likely to be narrow at present, and include use as a concurrent control group for a clinical trial or for an orphan disease or device.</w:t>
      </w:r>
    </w:p>
    <w:p w:rsidR="00085C86" w:rsidRPr="00B774CB" w:rsidRDefault="00A56E29" w:rsidP="00F75D66">
      <w:pPr>
        <w:ind w:leftChars="150" w:left="709" w:hangingChars="166" w:hanging="349"/>
        <w:rPr>
          <w:i/>
          <w:lang w:eastAsia="ja-JP"/>
        </w:rPr>
      </w:pPr>
      <w:r w:rsidRPr="00B774CB">
        <w:rPr>
          <w:sz w:val="21"/>
          <w:szCs w:val="21"/>
        </w:rPr>
        <w:t>**While the clinical data collected in registries can involve unapproved uses of marketed devices (“off-label use”), this document does not explicitly encourage such off-label use beyond that which would occur as part of standard clinical practice.  Systematic collection of clinical data involving off-label use should comply with any relevant regu</w:t>
      </w:r>
      <w:r w:rsidR="00F75D66" w:rsidRPr="00B774CB">
        <w:rPr>
          <w:sz w:val="21"/>
          <w:szCs w:val="21"/>
        </w:rPr>
        <w:t xml:space="preserve">lations in a given jurisdiction. </w:t>
      </w:r>
    </w:p>
    <w:sectPr w:rsidR="00085C86" w:rsidRPr="00B774CB" w:rsidSect="00F75D66">
      <w:footerReference w:type="default" r:id="rId34"/>
      <w:pgSz w:w="15840" w:h="12240" w:orient="landscape" w:code="1"/>
      <w:pgMar w:top="1170" w:right="1134" w:bottom="1440" w:left="1440" w:header="720" w:footer="690" w:gutter="0"/>
      <w:lnNumType w:countBy="1" w:restart="continuou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102" w:rsidRDefault="00CE7102">
      <w:r>
        <w:separator/>
      </w:r>
    </w:p>
  </w:endnote>
  <w:endnote w:type="continuationSeparator" w:id="0">
    <w:p w:rsidR="00CE7102" w:rsidRDefault="00CE7102">
      <w:r>
        <w:continuationSeparator/>
      </w:r>
    </w:p>
  </w:endnote>
  <w:endnote w:type="continuationNotice" w:id="1">
    <w:p w:rsidR="00CE7102" w:rsidRDefault="00CE7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D3" w:rsidRDefault="000037D3" w:rsidP="00930351">
    <w:pPr>
      <w:pStyle w:val="Footer"/>
      <w:jc w:val="righ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075011597"/>
      <w:docPartObj>
        <w:docPartGallery w:val="Page Numbers (Bottom of Page)"/>
        <w:docPartUnique/>
      </w:docPartObj>
    </w:sdtPr>
    <w:sdtEndPr/>
    <w:sdtContent>
      <w:sdt>
        <w:sdtPr>
          <w:rPr>
            <w:sz w:val="20"/>
          </w:rPr>
          <w:id w:val="98381352"/>
          <w:docPartObj>
            <w:docPartGallery w:val="Page Numbers (Top of Page)"/>
            <w:docPartUnique/>
          </w:docPartObj>
        </w:sdtPr>
        <w:sdtEndPr/>
        <w:sdtContent>
          <w:p w:rsidR="00420838" w:rsidRDefault="00420838" w:rsidP="00420838">
            <w:pPr>
              <w:pStyle w:val="Footer"/>
              <w:jc w:val="right"/>
            </w:pPr>
          </w:p>
          <w:p w:rsidR="000037D3" w:rsidRPr="00930351" w:rsidRDefault="00E21886" w:rsidP="00930351">
            <w:pPr>
              <w:pStyle w:val="Footer"/>
              <w:jc w:val="right"/>
              <w:rPr>
                <w:sz w:val="20"/>
              </w:rPr>
            </w:pPr>
          </w:p>
        </w:sdtContent>
      </w:sdt>
    </w:sdtContent>
  </w:sdt>
  <w:p w:rsidR="000037D3" w:rsidRPr="00930351" w:rsidRDefault="000037D3">
    <w:pPr>
      <w:pStyle w:val="Foo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D3" w:rsidRDefault="00224062">
    <w:pPr>
      <w:pStyle w:val="Footer"/>
    </w:pPr>
    <w:r>
      <w:rPr>
        <w:rFonts w:eastAsia="SimSun"/>
        <w:sz w:val="20"/>
        <w:lang w:eastAsia="zh-CN"/>
      </w:rPr>
      <w:t>________________________________________________________________________________________________</w:t>
    </w:r>
    <w:r w:rsidR="000037D3">
      <w:rPr>
        <w:rFonts w:eastAsia="SimSun" w:hint="eastAsia"/>
        <w:sz w:val="20"/>
        <w:lang w:eastAsia="zh-CN"/>
      </w:rPr>
      <w:t>27 March 2018</w:t>
    </w:r>
    <w:r w:rsidR="000037D3" w:rsidRPr="00886C91">
      <w:rPr>
        <w:sz w:val="20"/>
      </w:rPr>
      <w:t xml:space="preserve"> </w:t>
    </w:r>
    <w:r w:rsidR="000037D3">
      <w:rPr>
        <w:rFonts w:eastAsia="SimSun" w:hint="eastAsia"/>
        <w:sz w:val="20"/>
        <w:lang w:eastAsia="zh-CN"/>
      </w:rPr>
      <w:t xml:space="preserve">                                                                                                                                               </w:t>
    </w:r>
    <w:r w:rsidR="000037D3" w:rsidRPr="00930351">
      <w:rPr>
        <w:sz w:val="20"/>
      </w:rPr>
      <w:t xml:space="preserve">Page </w:t>
    </w:r>
    <w:r w:rsidR="000037D3" w:rsidRPr="00930351">
      <w:rPr>
        <w:bCs/>
        <w:sz w:val="20"/>
      </w:rPr>
      <w:fldChar w:fldCharType="begin"/>
    </w:r>
    <w:r w:rsidR="000037D3" w:rsidRPr="00930351">
      <w:rPr>
        <w:bCs/>
        <w:sz w:val="20"/>
      </w:rPr>
      <w:instrText xml:space="preserve"> PAGE </w:instrText>
    </w:r>
    <w:r w:rsidR="000037D3" w:rsidRPr="00930351">
      <w:rPr>
        <w:bCs/>
        <w:sz w:val="20"/>
      </w:rPr>
      <w:fldChar w:fldCharType="separate"/>
    </w:r>
    <w:r w:rsidR="00E21886">
      <w:rPr>
        <w:bCs/>
        <w:noProof/>
        <w:sz w:val="20"/>
      </w:rPr>
      <w:t>15</w:t>
    </w:r>
    <w:r w:rsidR="000037D3" w:rsidRPr="00930351">
      <w:rPr>
        <w:bCs/>
        <w:sz w:val="20"/>
      </w:rPr>
      <w:fldChar w:fldCharType="end"/>
    </w:r>
    <w:r w:rsidR="000037D3" w:rsidRPr="00930351">
      <w:rPr>
        <w:sz w:val="20"/>
      </w:rPr>
      <w:t xml:space="preserve"> of </w:t>
    </w:r>
    <w:r w:rsidR="000037D3" w:rsidRPr="00930351">
      <w:rPr>
        <w:bCs/>
        <w:sz w:val="20"/>
      </w:rPr>
      <w:fldChar w:fldCharType="begin"/>
    </w:r>
    <w:r w:rsidR="000037D3" w:rsidRPr="00930351">
      <w:rPr>
        <w:bCs/>
        <w:sz w:val="20"/>
      </w:rPr>
      <w:instrText xml:space="preserve"> NUMPAGES  </w:instrText>
    </w:r>
    <w:r w:rsidR="000037D3" w:rsidRPr="00930351">
      <w:rPr>
        <w:bCs/>
        <w:sz w:val="20"/>
      </w:rPr>
      <w:fldChar w:fldCharType="separate"/>
    </w:r>
    <w:r w:rsidR="00E21886">
      <w:rPr>
        <w:bCs/>
        <w:noProof/>
        <w:sz w:val="20"/>
      </w:rPr>
      <w:t>15</w:t>
    </w:r>
    <w:r w:rsidR="000037D3" w:rsidRPr="00930351">
      <w:rPr>
        <w:bCs/>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859" w:rsidRDefault="00785859">
    <w:pPr>
      <w:pStyle w:val="Footer"/>
      <w:pBdr>
        <w:bottom w:val="single" w:sz="12" w:space="1" w:color="auto"/>
      </w:pBdr>
      <w:rPr>
        <w:rFonts w:eastAsia="SimSun"/>
        <w:sz w:val="20"/>
        <w:lang w:eastAsia="zh-CN"/>
      </w:rPr>
    </w:pPr>
  </w:p>
  <w:p w:rsidR="00785859" w:rsidRDefault="00785859">
    <w:pPr>
      <w:pStyle w:val="Footer"/>
    </w:pPr>
    <w:r>
      <w:rPr>
        <w:rFonts w:eastAsia="SimSun" w:hint="eastAsia"/>
        <w:sz w:val="20"/>
        <w:lang w:eastAsia="zh-CN"/>
      </w:rPr>
      <w:t>27 March 2018</w:t>
    </w:r>
    <w:r w:rsidRPr="00886C91">
      <w:rPr>
        <w:sz w:val="20"/>
      </w:rPr>
      <w:t xml:space="preserve"> </w:t>
    </w:r>
    <w:r>
      <w:rPr>
        <w:rFonts w:eastAsia="SimSun" w:hint="eastAsia"/>
        <w:sz w:val="20"/>
        <w:lang w:eastAsia="zh-CN"/>
      </w:rPr>
      <w:t xml:space="preserve">                                                                                                                                         </w:t>
    </w:r>
    <w:r>
      <w:rPr>
        <w:rFonts w:eastAsia="SimSun"/>
        <w:sz w:val="20"/>
        <w:lang w:eastAsia="zh-CN"/>
      </w:rPr>
      <w:t xml:space="preserve">                                                                        </w:t>
    </w:r>
    <w:r>
      <w:rPr>
        <w:rFonts w:eastAsia="SimSun" w:hint="eastAsia"/>
        <w:sz w:val="20"/>
        <w:lang w:eastAsia="zh-CN"/>
      </w:rPr>
      <w:t xml:space="preserve">      </w:t>
    </w:r>
    <w:r w:rsidRPr="00930351">
      <w:rPr>
        <w:sz w:val="20"/>
      </w:rPr>
      <w:t xml:space="preserve">Page </w:t>
    </w:r>
    <w:r w:rsidRPr="00930351">
      <w:rPr>
        <w:bCs/>
        <w:sz w:val="20"/>
      </w:rPr>
      <w:fldChar w:fldCharType="begin"/>
    </w:r>
    <w:r w:rsidRPr="00930351">
      <w:rPr>
        <w:bCs/>
        <w:sz w:val="20"/>
      </w:rPr>
      <w:instrText xml:space="preserve"> PAGE </w:instrText>
    </w:r>
    <w:r w:rsidRPr="00930351">
      <w:rPr>
        <w:bCs/>
        <w:sz w:val="20"/>
      </w:rPr>
      <w:fldChar w:fldCharType="separate"/>
    </w:r>
    <w:r w:rsidR="00E21886">
      <w:rPr>
        <w:bCs/>
        <w:noProof/>
        <w:sz w:val="20"/>
      </w:rPr>
      <w:t>17</w:t>
    </w:r>
    <w:r w:rsidRPr="00930351">
      <w:rPr>
        <w:bCs/>
        <w:sz w:val="20"/>
      </w:rPr>
      <w:fldChar w:fldCharType="end"/>
    </w:r>
    <w:r w:rsidRPr="00930351">
      <w:rPr>
        <w:sz w:val="20"/>
      </w:rPr>
      <w:t xml:space="preserve"> of </w:t>
    </w:r>
    <w:r w:rsidRPr="00930351">
      <w:rPr>
        <w:bCs/>
        <w:sz w:val="20"/>
      </w:rPr>
      <w:fldChar w:fldCharType="begin"/>
    </w:r>
    <w:r w:rsidRPr="00930351">
      <w:rPr>
        <w:bCs/>
        <w:sz w:val="20"/>
      </w:rPr>
      <w:instrText xml:space="preserve"> NUMPAGES  </w:instrText>
    </w:r>
    <w:r w:rsidRPr="00930351">
      <w:rPr>
        <w:bCs/>
        <w:sz w:val="20"/>
      </w:rPr>
      <w:fldChar w:fldCharType="separate"/>
    </w:r>
    <w:r w:rsidR="00E21886">
      <w:rPr>
        <w:bCs/>
        <w:noProof/>
        <w:sz w:val="20"/>
      </w:rPr>
      <w:t>17</w:t>
    </w:r>
    <w:r w:rsidRPr="00930351">
      <w:rPr>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102" w:rsidRDefault="00CE7102">
      <w:r>
        <w:separator/>
      </w:r>
    </w:p>
  </w:footnote>
  <w:footnote w:type="continuationSeparator" w:id="0">
    <w:p w:rsidR="00CE7102" w:rsidRDefault="00CE7102">
      <w:r>
        <w:continuationSeparator/>
      </w:r>
    </w:p>
  </w:footnote>
  <w:footnote w:type="continuationNotice" w:id="1">
    <w:p w:rsidR="00CE7102" w:rsidRDefault="00CE710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D3" w:rsidRDefault="000037D3" w:rsidP="00D07C55">
    <w:pPr>
      <w:pStyle w:val="Header"/>
      <w:jc w:val="center"/>
    </w:pPr>
    <w:r>
      <w:t>IMDRF/Regis</w:t>
    </w:r>
    <w:r w:rsidR="000505B3">
      <w:t>try WG/N46 FINAL</w:t>
    </w:r>
    <w:proofErr w:type="gramStart"/>
    <w:r w:rsidR="000505B3">
      <w:t>:2018</w:t>
    </w:r>
    <w:proofErr w:type="gramEnd"/>
  </w:p>
  <w:p w:rsidR="00DB445F" w:rsidRPr="000505B3" w:rsidRDefault="00DB445F" w:rsidP="00D07C55">
    <w:pPr>
      <w:pStyle w:val="Header"/>
      <w:jc w:val="center"/>
      <w:rPr>
        <w:rFonts w:eastAsia="SimSun"/>
        <w:lang w:eastAsia="zh-CN"/>
      </w:rPr>
    </w:pPr>
    <w:r>
      <w:t>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7D3" w:rsidRPr="00C968D9" w:rsidRDefault="000037D3" w:rsidP="0015757E">
    <w:pPr>
      <w:pStyle w:val="Header"/>
      <w:jc w:val="center"/>
      <w:rPr>
        <w:rFonts w:eastAsia="SimSun"/>
        <w:sz w:val="20"/>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9110CF9"/>
    <w:multiLevelType w:val="hybridMultilevel"/>
    <w:tmpl w:val="BC0CA596"/>
    <w:lvl w:ilvl="0" w:tplc="D9C85E4A">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
    <w:nsid w:val="0E115636"/>
    <w:multiLevelType w:val="hybridMultilevel"/>
    <w:tmpl w:val="327C3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5D0DDD"/>
    <w:multiLevelType w:val="multilevel"/>
    <w:tmpl w:val="0FD6CE0E"/>
    <w:lvl w:ilvl="0">
      <w:start w:val="5"/>
      <w:numFmt w:val="decimal"/>
      <w:lvlText w:val="%1."/>
      <w:lvlJc w:val="left"/>
      <w:pPr>
        <w:ind w:left="450" w:hanging="450"/>
      </w:pPr>
      <w:rPr>
        <w:rFonts w:hint="default"/>
        <w:sz w:val="28"/>
      </w:rPr>
    </w:lvl>
    <w:lvl w:ilvl="1">
      <w:start w:val="3"/>
      <w:numFmt w:val="decimal"/>
      <w:lvlText w:val="%1.%2."/>
      <w:lvlJc w:val="left"/>
      <w:pPr>
        <w:ind w:left="630" w:hanging="450"/>
      </w:pPr>
      <w:rPr>
        <w:rFonts w:hint="default"/>
        <w:sz w:val="28"/>
      </w:rPr>
    </w:lvl>
    <w:lvl w:ilvl="2">
      <w:start w:val="1"/>
      <w:numFmt w:val="decimal"/>
      <w:lvlText w:val="%1.%2.%3."/>
      <w:lvlJc w:val="left"/>
      <w:pPr>
        <w:ind w:left="126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7">
    <w:nsid w:val="13640646"/>
    <w:multiLevelType w:val="hybridMultilevel"/>
    <w:tmpl w:val="560200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A23051"/>
    <w:multiLevelType w:val="multilevel"/>
    <w:tmpl w:val="F6D8518C"/>
    <w:lvl w:ilvl="0">
      <w:start w:val="1"/>
      <w:numFmt w:val="decimal"/>
      <w:lvlText w:val="%1."/>
      <w:lvlJc w:val="left"/>
      <w:pPr>
        <w:ind w:left="360" w:hanging="360"/>
      </w:pPr>
      <w:rPr>
        <w:rFonts w:hint="default"/>
      </w:rPr>
    </w:lvl>
    <w:lvl w:ilvl="1">
      <w:start w:val="2"/>
      <w:numFmt w:val="decimal"/>
      <w:isLgl/>
      <w:lvlText w:val="%1.%2."/>
      <w:lvlJc w:val="left"/>
      <w:pPr>
        <w:ind w:left="540" w:hanging="540"/>
      </w:pPr>
      <w:rPr>
        <w:rFonts w:eastAsia="MS Mincho" w:cs="Times New Roman" w:hint="default"/>
      </w:rPr>
    </w:lvl>
    <w:lvl w:ilvl="2">
      <w:start w:val="2"/>
      <w:numFmt w:val="decimal"/>
      <w:isLgl/>
      <w:lvlText w:val="%1.%2.%3."/>
      <w:lvlJc w:val="left"/>
      <w:pPr>
        <w:ind w:left="720" w:hanging="720"/>
      </w:pPr>
      <w:rPr>
        <w:rFonts w:eastAsia="MS Mincho" w:cs="Times New Roman" w:hint="default"/>
      </w:rPr>
    </w:lvl>
    <w:lvl w:ilvl="3">
      <w:start w:val="1"/>
      <w:numFmt w:val="decimal"/>
      <w:isLgl/>
      <w:lvlText w:val="%1.%2.%3.%4."/>
      <w:lvlJc w:val="left"/>
      <w:pPr>
        <w:ind w:left="720" w:hanging="720"/>
      </w:pPr>
      <w:rPr>
        <w:rFonts w:eastAsia="MS Mincho" w:cs="Times New Roman" w:hint="default"/>
      </w:rPr>
    </w:lvl>
    <w:lvl w:ilvl="4">
      <w:start w:val="1"/>
      <w:numFmt w:val="decimal"/>
      <w:isLgl/>
      <w:lvlText w:val="%1.%2.%3.%4.%5."/>
      <w:lvlJc w:val="left"/>
      <w:pPr>
        <w:ind w:left="1080" w:hanging="1080"/>
      </w:pPr>
      <w:rPr>
        <w:rFonts w:eastAsia="MS Mincho" w:cs="Times New Roman" w:hint="default"/>
      </w:rPr>
    </w:lvl>
    <w:lvl w:ilvl="5">
      <w:start w:val="1"/>
      <w:numFmt w:val="decimal"/>
      <w:isLgl/>
      <w:lvlText w:val="%1.%2.%3.%4.%5.%6."/>
      <w:lvlJc w:val="left"/>
      <w:pPr>
        <w:ind w:left="1080" w:hanging="1080"/>
      </w:pPr>
      <w:rPr>
        <w:rFonts w:eastAsia="MS Mincho" w:cs="Times New Roman" w:hint="default"/>
      </w:rPr>
    </w:lvl>
    <w:lvl w:ilvl="6">
      <w:start w:val="1"/>
      <w:numFmt w:val="decimal"/>
      <w:isLgl/>
      <w:lvlText w:val="%1.%2.%3.%4.%5.%6.%7."/>
      <w:lvlJc w:val="left"/>
      <w:pPr>
        <w:ind w:left="1440" w:hanging="1440"/>
      </w:pPr>
      <w:rPr>
        <w:rFonts w:eastAsia="MS Mincho" w:cs="Times New Roman" w:hint="default"/>
      </w:rPr>
    </w:lvl>
    <w:lvl w:ilvl="7">
      <w:start w:val="1"/>
      <w:numFmt w:val="decimal"/>
      <w:isLgl/>
      <w:lvlText w:val="%1.%2.%3.%4.%5.%6.%7.%8."/>
      <w:lvlJc w:val="left"/>
      <w:pPr>
        <w:ind w:left="1440" w:hanging="1440"/>
      </w:pPr>
      <w:rPr>
        <w:rFonts w:eastAsia="MS Mincho" w:cs="Times New Roman" w:hint="default"/>
      </w:rPr>
    </w:lvl>
    <w:lvl w:ilvl="8">
      <w:start w:val="1"/>
      <w:numFmt w:val="decimal"/>
      <w:isLgl/>
      <w:lvlText w:val="%1.%2.%3.%4.%5.%6.%7.%8.%9."/>
      <w:lvlJc w:val="left"/>
      <w:pPr>
        <w:ind w:left="1800" w:hanging="1800"/>
      </w:pPr>
      <w:rPr>
        <w:rFonts w:eastAsia="MS Mincho" w:cs="Times New Roman" w:hint="default"/>
      </w:rPr>
    </w:lvl>
  </w:abstractNum>
  <w:abstractNum w:abstractNumId="9">
    <w:nsid w:val="16E92B8B"/>
    <w:multiLevelType w:val="hybridMultilevel"/>
    <w:tmpl w:val="55C846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14019E"/>
    <w:multiLevelType w:val="hybridMultilevel"/>
    <w:tmpl w:val="26281E2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18006E81"/>
    <w:multiLevelType w:val="hybridMultilevel"/>
    <w:tmpl w:val="B4F241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004D55"/>
    <w:multiLevelType w:val="multilevel"/>
    <w:tmpl w:val="05BA071A"/>
    <w:lvl w:ilvl="0">
      <w:start w:val="5"/>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nsid w:val="21056E6E"/>
    <w:multiLevelType w:val="hybridMultilevel"/>
    <w:tmpl w:val="9D30C2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3B5B7E"/>
    <w:multiLevelType w:val="multilevel"/>
    <w:tmpl w:val="48C4E3D2"/>
    <w:lvl w:ilvl="0">
      <w:start w:val="1"/>
      <w:numFmt w:val="decimal"/>
      <w:pStyle w:val="Heading1"/>
      <w:lvlText w:val="%1.0"/>
      <w:lvlJc w:val="left"/>
      <w:pPr>
        <w:tabs>
          <w:tab w:val="num" w:pos="522"/>
        </w:tabs>
        <w:ind w:left="52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080"/>
        </w:tabs>
        <w:ind w:left="108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5">
    <w:nsid w:val="24545D00"/>
    <w:multiLevelType w:val="hybridMultilevel"/>
    <w:tmpl w:val="3C1C46EC"/>
    <w:lvl w:ilvl="0" w:tplc="FA0E79E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E2DB7"/>
    <w:multiLevelType w:val="hybridMultilevel"/>
    <w:tmpl w:val="451A59AA"/>
    <w:lvl w:ilvl="0" w:tplc="2D3CA220">
      <w:numFmt w:val="bullet"/>
      <w:lvlText w:val="-"/>
      <w:lvlJc w:val="left"/>
      <w:pPr>
        <w:ind w:left="780" w:hanging="360"/>
      </w:pPr>
      <w:rPr>
        <w:rFonts w:ascii="Times New Roman" w:eastAsia="MS Mincho"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2B35423F"/>
    <w:multiLevelType w:val="multilevel"/>
    <w:tmpl w:val="0FD6CE0E"/>
    <w:lvl w:ilvl="0">
      <w:start w:val="5"/>
      <w:numFmt w:val="decimal"/>
      <w:lvlText w:val="%1."/>
      <w:lvlJc w:val="left"/>
      <w:pPr>
        <w:ind w:left="450" w:hanging="450"/>
      </w:pPr>
      <w:rPr>
        <w:rFonts w:hint="default"/>
        <w:sz w:val="28"/>
      </w:rPr>
    </w:lvl>
    <w:lvl w:ilvl="1">
      <w:start w:val="3"/>
      <w:numFmt w:val="decimal"/>
      <w:lvlText w:val="%1.%2."/>
      <w:lvlJc w:val="left"/>
      <w:pPr>
        <w:ind w:left="630" w:hanging="450"/>
      </w:pPr>
      <w:rPr>
        <w:rFonts w:hint="default"/>
        <w:sz w:val="28"/>
      </w:rPr>
    </w:lvl>
    <w:lvl w:ilvl="2">
      <w:start w:val="1"/>
      <w:numFmt w:val="decimal"/>
      <w:lvlText w:val="%1.%2.%3."/>
      <w:lvlJc w:val="left"/>
      <w:pPr>
        <w:ind w:left="1350" w:hanging="720"/>
      </w:pPr>
      <w:rPr>
        <w:rFonts w:hint="default"/>
        <w:sz w:val="28"/>
      </w:rPr>
    </w:lvl>
    <w:lvl w:ilvl="3">
      <w:start w:val="1"/>
      <w:numFmt w:val="decimal"/>
      <w:lvlText w:val="%1.%2.%3.%4."/>
      <w:lvlJc w:val="left"/>
      <w:pPr>
        <w:ind w:left="1800" w:hanging="720"/>
      </w:pPr>
      <w:rPr>
        <w:rFonts w:hint="default"/>
        <w:sz w:val="28"/>
      </w:rPr>
    </w:lvl>
    <w:lvl w:ilvl="4">
      <w:start w:val="1"/>
      <w:numFmt w:val="decimal"/>
      <w:lvlText w:val="%1.%2.%3.%4.%5."/>
      <w:lvlJc w:val="left"/>
      <w:pPr>
        <w:ind w:left="2520" w:hanging="1080"/>
      </w:pPr>
      <w:rPr>
        <w:rFonts w:hint="default"/>
        <w:sz w:val="28"/>
      </w:rPr>
    </w:lvl>
    <w:lvl w:ilvl="5">
      <w:start w:val="1"/>
      <w:numFmt w:val="decimal"/>
      <w:lvlText w:val="%1.%2.%3.%4.%5.%6."/>
      <w:lvlJc w:val="left"/>
      <w:pPr>
        <w:ind w:left="2880" w:hanging="1080"/>
      </w:pPr>
      <w:rPr>
        <w:rFonts w:hint="default"/>
        <w:sz w:val="28"/>
      </w:rPr>
    </w:lvl>
    <w:lvl w:ilvl="6">
      <w:start w:val="1"/>
      <w:numFmt w:val="decimal"/>
      <w:lvlText w:val="%1.%2.%3.%4.%5.%6.%7."/>
      <w:lvlJc w:val="left"/>
      <w:pPr>
        <w:ind w:left="3600" w:hanging="1440"/>
      </w:pPr>
      <w:rPr>
        <w:rFonts w:hint="default"/>
        <w:sz w:val="28"/>
      </w:rPr>
    </w:lvl>
    <w:lvl w:ilvl="7">
      <w:start w:val="1"/>
      <w:numFmt w:val="decimal"/>
      <w:lvlText w:val="%1.%2.%3.%4.%5.%6.%7.%8."/>
      <w:lvlJc w:val="left"/>
      <w:pPr>
        <w:ind w:left="3960" w:hanging="1440"/>
      </w:pPr>
      <w:rPr>
        <w:rFonts w:hint="default"/>
        <w:sz w:val="28"/>
      </w:rPr>
    </w:lvl>
    <w:lvl w:ilvl="8">
      <w:start w:val="1"/>
      <w:numFmt w:val="decimal"/>
      <w:lvlText w:val="%1.%2.%3.%4.%5.%6.%7.%8.%9."/>
      <w:lvlJc w:val="left"/>
      <w:pPr>
        <w:ind w:left="4680" w:hanging="1800"/>
      </w:pPr>
      <w:rPr>
        <w:rFonts w:hint="default"/>
        <w:sz w:val="28"/>
      </w:rPr>
    </w:lvl>
  </w:abstractNum>
  <w:abstractNum w:abstractNumId="18">
    <w:nsid w:val="2B912386"/>
    <w:multiLevelType w:val="hybridMultilevel"/>
    <w:tmpl w:val="1AD0E2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7E654B"/>
    <w:multiLevelType w:val="hybridMultilevel"/>
    <w:tmpl w:val="9AF2DA2C"/>
    <w:lvl w:ilvl="0" w:tplc="4B9E4ABA">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82D6517"/>
    <w:multiLevelType w:val="multilevel"/>
    <w:tmpl w:val="F0768188"/>
    <w:lvl w:ilvl="0">
      <w:start w:val="1"/>
      <w:numFmt w:val="bullet"/>
      <w:lvlText w:val="o"/>
      <w:lvlJc w:val="left"/>
      <w:pPr>
        <w:ind w:left="540" w:hanging="540"/>
      </w:pPr>
      <w:rPr>
        <w:rFonts w:ascii="Courier New" w:hAnsi="Courier New" w:cs="Courier New" w:hint="default"/>
      </w:rPr>
    </w:lvl>
    <w:lvl w:ilvl="1">
      <w:start w:val="2"/>
      <w:numFmt w:val="decimal"/>
      <w:lvlText w:val="%1.%2."/>
      <w:lvlJc w:val="left"/>
      <w:pPr>
        <w:ind w:left="900" w:hanging="540"/>
      </w:pPr>
      <w:rPr>
        <w:rFonts w:eastAsia="MS Mincho" w:cs="Times New Roman" w:hint="default"/>
      </w:rPr>
    </w:lvl>
    <w:lvl w:ilvl="2">
      <w:start w:val="1"/>
      <w:numFmt w:val="decimal"/>
      <w:lvlText w:val="%1.%2.%3."/>
      <w:lvlJc w:val="left"/>
      <w:pPr>
        <w:ind w:left="1440" w:hanging="720"/>
      </w:pPr>
      <w:rPr>
        <w:rFonts w:eastAsia="MS Mincho" w:cs="Times New Roman" w:hint="default"/>
      </w:rPr>
    </w:lvl>
    <w:lvl w:ilvl="3">
      <w:start w:val="1"/>
      <w:numFmt w:val="decimal"/>
      <w:lvlText w:val="%1.%2.%3.%4."/>
      <w:lvlJc w:val="left"/>
      <w:pPr>
        <w:ind w:left="1800" w:hanging="720"/>
      </w:pPr>
      <w:rPr>
        <w:rFonts w:eastAsia="MS Mincho" w:cs="Times New Roman" w:hint="default"/>
      </w:rPr>
    </w:lvl>
    <w:lvl w:ilvl="4">
      <w:start w:val="1"/>
      <w:numFmt w:val="decimal"/>
      <w:lvlText w:val="%1.%2.%3.%4.%5."/>
      <w:lvlJc w:val="left"/>
      <w:pPr>
        <w:ind w:left="2520" w:hanging="1080"/>
      </w:pPr>
      <w:rPr>
        <w:rFonts w:eastAsia="MS Mincho" w:cs="Times New Roman" w:hint="default"/>
      </w:rPr>
    </w:lvl>
    <w:lvl w:ilvl="5">
      <w:start w:val="1"/>
      <w:numFmt w:val="decimal"/>
      <w:lvlText w:val="%1.%2.%3.%4.%5.%6."/>
      <w:lvlJc w:val="left"/>
      <w:pPr>
        <w:ind w:left="2880" w:hanging="1080"/>
      </w:pPr>
      <w:rPr>
        <w:rFonts w:eastAsia="MS Mincho" w:cs="Times New Roman" w:hint="default"/>
      </w:rPr>
    </w:lvl>
    <w:lvl w:ilvl="6">
      <w:start w:val="1"/>
      <w:numFmt w:val="decimal"/>
      <w:lvlText w:val="%1.%2.%3.%4.%5.%6.%7."/>
      <w:lvlJc w:val="left"/>
      <w:pPr>
        <w:ind w:left="3600" w:hanging="1440"/>
      </w:pPr>
      <w:rPr>
        <w:rFonts w:eastAsia="MS Mincho" w:cs="Times New Roman" w:hint="default"/>
      </w:rPr>
    </w:lvl>
    <w:lvl w:ilvl="7">
      <w:start w:val="1"/>
      <w:numFmt w:val="decimal"/>
      <w:lvlText w:val="%1.%2.%3.%4.%5.%6.%7.%8."/>
      <w:lvlJc w:val="left"/>
      <w:pPr>
        <w:ind w:left="3960" w:hanging="1440"/>
      </w:pPr>
      <w:rPr>
        <w:rFonts w:eastAsia="MS Mincho" w:cs="Times New Roman" w:hint="default"/>
      </w:rPr>
    </w:lvl>
    <w:lvl w:ilvl="8">
      <w:start w:val="1"/>
      <w:numFmt w:val="decimal"/>
      <w:lvlText w:val="%1.%2.%3.%4.%5.%6.%7.%8.%9."/>
      <w:lvlJc w:val="left"/>
      <w:pPr>
        <w:ind w:left="4680" w:hanging="1800"/>
      </w:pPr>
      <w:rPr>
        <w:rFonts w:eastAsia="MS Mincho" w:cs="Times New Roman" w:hint="default"/>
      </w:rPr>
    </w:lvl>
  </w:abstractNum>
  <w:abstractNum w:abstractNumId="21">
    <w:nsid w:val="3ACB4722"/>
    <w:multiLevelType w:val="hybridMultilevel"/>
    <w:tmpl w:val="5D98172E"/>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D4289F"/>
    <w:multiLevelType w:val="multilevel"/>
    <w:tmpl w:val="34FE646E"/>
    <w:lvl w:ilvl="0">
      <w:start w:val="5"/>
      <w:numFmt w:val="decimal"/>
      <w:lvlText w:val="%1."/>
      <w:lvlJc w:val="left"/>
      <w:pPr>
        <w:ind w:left="540" w:hanging="540"/>
      </w:pPr>
      <w:rPr>
        <w:rFonts w:eastAsia="MS Mincho" w:cs="Times New Roman" w:hint="default"/>
      </w:rPr>
    </w:lvl>
    <w:lvl w:ilvl="1">
      <w:start w:val="2"/>
      <w:numFmt w:val="decimal"/>
      <w:lvlText w:val="%1.%2."/>
      <w:lvlJc w:val="left"/>
      <w:pPr>
        <w:ind w:left="900" w:hanging="540"/>
      </w:pPr>
      <w:rPr>
        <w:rFonts w:eastAsia="MS Mincho" w:cs="Times New Roman" w:hint="default"/>
      </w:rPr>
    </w:lvl>
    <w:lvl w:ilvl="2">
      <w:start w:val="1"/>
      <w:numFmt w:val="decimal"/>
      <w:lvlText w:val="%1.%2.%3."/>
      <w:lvlJc w:val="left"/>
      <w:pPr>
        <w:ind w:left="1440" w:hanging="720"/>
      </w:pPr>
      <w:rPr>
        <w:rFonts w:eastAsia="MS Mincho" w:cs="Times New Roman" w:hint="default"/>
      </w:rPr>
    </w:lvl>
    <w:lvl w:ilvl="3">
      <w:start w:val="1"/>
      <w:numFmt w:val="decimal"/>
      <w:lvlText w:val="%1.%2.%3.%4."/>
      <w:lvlJc w:val="left"/>
      <w:pPr>
        <w:ind w:left="1800" w:hanging="720"/>
      </w:pPr>
      <w:rPr>
        <w:rFonts w:eastAsia="MS Mincho" w:cs="Times New Roman" w:hint="default"/>
      </w:rPr>
    </w:lvl>
    <w:lvl w:ilvl="4">
      <w:start w:val="1"/>
      <w:numFmt w:val="decimal"/>
      <w:lvlText w:val="%1.%2.%3.%4.%5."/>
      <w:lvlJc w:val="left"/>
      <w:pPr>
        <w:ind w:left="2520" w:hanging="1080"/>
      </w:pPr>
      <w:rPr>
        <w:rFonts w:eastAsia="MS Mincho" w:cs="Times New Roman" w:hint="default"/>
      </w:rPr>
    </w:lvl>
    <w:lvl w:ilvl="5">
      <w:start w:val="1"/>
      <w:numFmt w:val="decimal"/>
      <w:lvlText w:val="%1.%2.%3.%4.%5.%6."/>
      <w:lvlJc w:val="left"/>
      <w:pPr>
        <w:ind w:left="2880" w:hanging="1080"/>
      </w:pPr>
      <w:rPr>
        <w:rFonts w:eastAsia="MS Mincho" w:cs="Times New Roman" w:hint="default"/>
      </w:rPr>
    </w:lvl>
    <w:lvl w:ilvl="6">
      <w:start w:val="1"/>
      <w:numFmt w:val="decimal"/>
      <w:lvlText w:val="%1.%2.%3.%4.%5.%6.%7."/>
      <w:lvlJc w:val="left"/>
      <w:pPr>
        <w:ind w:left="3600" w:hanging="1440"/>
      </w:pPr>
      <w:rPr>
        <w:rFonts w:eastAsia="MS Mincho" w:cs="Times New Roman" w:hint="default"/>
      </w:rPr>
    </w:lvl>
    <w:lvl w:ilvl="7">
      <w:start w:val="1"/>
      <w:numFmt w:val="decimal"/>
      <w:lvlText w:val="%1.%2.%3.%4.%5.%6.%7.%8."/>
      <w:lvlJc w:val="left"/>
      <w:pPr>
        <w:ind w:left="3960" w:hanging="1440"/>
      </w:pPr>
      <w:rPr>
        <w:rFonts w:eastAsia="MS Mincho" w:cs="Times New Roman" w:hint="default"/>
      </w:rPr>
    </w:lvl>
    <w:lvl w:ilvl="8">
      <w:start w:val="1"/>
      <w:numFmt w:val="decimal"/>
      <w:lvlText w:val="%1.%2.%3.%4.%5.%6.%7.%8.%9."/>
      <w:lvlJc w:val="left"/>
      <w:pPr>
        <w:ind w:left="4680" w:hanging="1800"/>
      </w:pPr>
      <w:rPr>
        <w:rFonts w:eastAsia="MS Mincho" w:cs="Times New Roman" w:hint="default"/>
      </w:rPr>
    </w:lvl>
  </w:abstractNum>
  <w:abstractNum w:abstractNumId="23">
    <w:nsid w:val="3C3330E0"/>
    <w:multiLevelType w:val="hybridMultilevel"/>
    <w:tmpl w:val="3746F41E"/>
    <w:lvl w:ilvl="0" w:tplc="4B9E4ABA">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213BD9"/>
    <w:multiLevelType w:val="hybridMultilevel"/>
    <w:tmpl w:val="470E5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1825AA1"/>
    <w:multiLevelType w:val="hybridMultilevel"/>
    <w:tmpl w:val="D4BCB9F2"/>
    <w:lvl w:ilvl="0" w:tplc="6638E90A">
      <w:numFmt w:val="bullet"/>
      <w:lvlText w:val="-"/>
      <w:lvlJc w:val="left"/>
      <w:pPr>
        <w:ind w:left="780" w:hanging="360"/>
      </w:pPr>
      <w:rPr>
        <w:rFonts w:ascii="Times New Roman" w:eastAsia="MS Mincho"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nsid w:val="43A84737"/>
    <w:multiLevelType w:val="hybridMultilevel"/>
    <w:tmpl w:val="34180B84"/>
    <w:lvl w:ilvl="0" w:tplc="F4201A96">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CB44CA"/>
    <w:multiLevelType w:val="hybridMultilevel"/>
    <w:tmpl w:val="69FC4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845679"/>
    <w:multiLevelType w:val="hybridMultilevel"/>
    <w:tmpl w:val="50EE2C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51A15584"/>
    <w:multiLevelType w:val="hybridMultilevel"/>
    <w:tmpl w:val="DD80F6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E40EA0"/>
    <w:multiLevelType w:val="hybridMultilevel"/>
    <w:tmpl w:val="5D283BB6"/>
    <w:lvl w:ilvl="0" w:tplc="31F046FC">
      <w:start w:val="1"/>
      <w:numFmt w:val="decimal"/>
      <w:lvlText w:val="%1."/>
      <w:lvlJc w:val="left"/>
      <w:pPr>
        <w:ind w:left="720" w:hanging="360"/>
      </w:pPr>
      <w:rPr>
        <w:rFonts w:ascii="Calibri" w:hAnsi="Calibri" w:hint="default"/>
        <w:b w:val="0"/>
        <w:i w:val="0"/>
        <w:color w:val="auto"/>
        <w:sz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7D6EC7"/>
    <w:multiLevelType w:val="hybridMultilevel"/>
    <w:tmpl w:val="49B054F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A66C18"/>
    <w:multiLevelType w:val="multilevel"/>
    <w:tmpl w:val="3774D2B2"/>
    <w:lvl w:ilvl="0">
      <w:start w:val="1"/>
      <w:numFmt w:val="bullet"/>
      <w:lvlText w:val=""/>
      <w:lvlJc w:val="left"/>
      <w:pPr>
        <w:ind w:left="540" w:hanging="540"/>
      </w:pPr>
      <w:rPr>
        <w:rFonts w:ascii="Symbol" w:hAnsi="Symbol" w:hint="default"/>
      </w:rPr>
    </w:lvl>
    <w:lvl w:ilvl="1">
      <w:start w:val="2"/>
      <w:numFmt w:val="decimal"/>
      <w:lvlText w:val="%1.%2."/>
      <w:lvlJc w:val="left"/>
      <w:pPr>
        <w:ind w:left="900" w:hanging="540"/>
      </w:pPr>
      <w:rPr>
        <w:rFonts w:eastAsia="MS Mincho" w:cs="Times New Roman" w:hint="default"/>
      </w:rPr>
    </w:lvl>
    <w:lvl w:ilvl="2">
      <w:start w:val="1"/>
      <w:numFmt w:val="decimal"/>
      <w:lvlText w:val="%1.%2.%3."/>
      <w:lvlJc w:val="left"/>
      <w:pPr>
        <w:ind w:left="1440" w:hanging="720"/>
      </w:pPr>
      <w:rPr>
        <w:rFonts w:eastAsia="MS Mincho" w:cs="Times New Roman" w:hint="default"/>
      </w:rPr>
    </w:lvl>
    <w:lvl w:ilvl="3">
      <w:start w:val="1"/>
      <w:numFmt w:val="decimal"/>
      <w:lvlText w:val="%1.%2.%3.%4."/>
      <w:lvlJc w:val="left"/>
      <w:pPr>
        <w:ind w:left="1800" w:hanging="720"/>
      </w:pPr>
      <w:rPr>
        <w:rFonts w:eastAsia="MS Mincho" w:cs="Times New Roman" w:hint="default"/>
      </w:rPr>
    </w:lvl>
    <w:lvl w:ilvl="4">
      <w:start w:val="1"/>
      <w:numFmt w:val="decimal"/>
      <w:lvlText w:val="%1.%2.%3.%4.%5."/>
      <w:lvlJc w:val="left"/>
      <w:pPr>
        <w:ind w:left="2520" w:hanging="1080"/>
      </w:pPr>
      <w:rPr>
        <w:rFonts w:eastAsia="MS Mincho" w:cs="Times New Roman" w:hint="default"/>
      </w:rPr>
    </w:lvl>
    <w:lvl w:ilvl="5">
      <w:start w:val="1"/>
      <w:numFmt w:val="decimal"/>
      <w:lvlText w:val="%1.%2.%3.%4.%5.%6."/>
      <w:lvlJc w:val="left"/>
      <w:pPr>
        <w:ind w:left="2880" w:hanging="1080"/>
      </w:pPr>
      <w:rPr>
        <w:rFonts w:eastAsia="MS Mincho" w:cs="Times New Roman" w:hint="default"/>
      </w:rPr>
    </w:lvl>
    <w:lvl w:ilvl="6">
      <w:start w:val="1"/>
      <w:numFmt w:val="decimal"/>
      <w:lvlText w:val="%1.%2.%3.%4.%5.%6.%7."/>
      <w:lvlJc w:val="left"/>
      <w:pPr>
        <w:ind w:left="3600" w:hanging="1440"/>
      </w:pPr>
      <w:rPr>
        <w:rFonts w:eastAsia="MS Mincho" w:cs="Times New Roman" w:hint="default"/>
      </w:rPr>
    </w:lvl>
    <w:lvl w:ilvl="7">
      <w:start w:val="1"/>
      <w:numFmt w:val="decimal"/>
      <w:lvlText w:val="%1.%2.%3.%4.%5.%6.%7.%8."/>
      <w:lvlJc w:val="left"/>
      <w:pPr>
        <w:ind w:left="3960" w:hanging="1440"/>
      </w:pPr>
      <w:rPr>
        <w:rFonts w:eastAsia="MS Mincho" w:cs="Times New Roman" w:hint="default"/>
      </w:rPr>
    </w:lvl>
    <w:lvl w:ilvl="8">
      <w:start w:val="1"/>
      <w:numFmt w:val="decimal"/>
      <w:lvlText w:val="%1.%2.%3.%4.%5.%6.%7.%8.%9."/>
      <w:lvlJc w:val="left"/>
      <w:pPr>
        <w:ind w:left="4680" w:hanging="1800"/>
      </w:pPr>
      <w:rPr>
        <w:rFonts w:eastAsia="MS Mincho" w:cs="Times New Roman" w:hint="default"/>
      </w:rPr>
    </w:lvl>
  </w:abstractNum>
  <w:abstractNum w:abstractNumId="33">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nsid w:val="69E071EB"/>
    <w:multiLevelType w:val="hybridMultilevel"/>
    <w:tmpl w:val="2CB80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742022"/>
    <w:multiLevelType w:val="hybridMultilevel"/>
    <w:tmpl w:val="888E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5F0CAD"/>
    <w:multiLevelType w:val="hybridMultilevel"/>
    <w:tmpl w:val="27762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24058CB"/>
    <w:multiLevelType w:val="hybridMultilevel"/>
    <w:tmpl w:val="AC0A85E2"/>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3683121"/>
    <w:multiLevelType w:val="hybridMultilevel"/>
    <w:tmpl w:val="E97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E332FD"/>
    <w:multiLevelType w:val="hybridMultilevel"/>
    <w:tmpl w:val="CA141888"/>
    <w:lvl w:ilvl="0" w:tplc="8696D124">
      <w:start w:val="1"/>
      <w:numFmt w:val="decimal"/>
      <w:pStyle w:val="TOC2"/>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40">
    <w:nsid w:val="7FC320FA"/>
    <w:multiLevelType w:val="hybridMultilevel"/>
    <w:tmpl w:val="CCB271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14"/>
  </w:num>
  <w:num w:numId="5">
    <w:abstractNumId w:val="33"/>
  </w:num>
  <w:num w:numId="6">
    <w:abstractNumId w:val="0"/>
  </w:num>
  <w:num w:numId="7">
    <w:abstractNumId w:val="8"/>
  </w:num>
  <w:num w:numId="8">
    <w:abstractNumId w:val="28"/>
  </w:num>
  <w:num w:numId="9">
    <w:abstractNumId w:val="37"/>
  </w:num>
  <w:num w:numId="10">
    <w:abstractNumId w:val="23"/>
  </w:num>
  <w:num w:numId="11">
    <w:abstractNumId w:val="35"/>
  </w:num>
  <w:num w:numId="12">
    <w:abstractNumId w:val="2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9"/>
  </w:num>
  <w:num w:numId="16">
    <w:abstractNumId w:val="40"/>
  </w:num>
  <w:num w:numId="17">
    <w:abstractNumId w:val="24"/>
  </w:num>
  <w:num w:numId="18">
    <w:abstractNumId w:val="7"/>
  </w:num>
  <w:num w:numId="19">
    <w:abstractNumId w:val="10"/>
  </w:num>
  <w:num w:numId="20">
    <w:abstractNumId w:val="21"/>
  </w:num>
  <w:num w:numId="21">
    <w:abstractNumId w:val="9"/>
  </w:num>
  <w:num w:numId="22">
    <w:abstractNumId w:val="32"/>
  </w:num>
  <w:num w:numId="23">
    <w:abstractNumId w:val="20"/>
  </w:num>
  <w:num w:numId="24">
    <w:abstractNumId w:val="13"/>
  </w:num>
  <w:num w:numId="25">
    <w:abstractNumId w:val="34"/>
  </w:num>
  <w:num w:numId="26">
    <w:abstractNumId w:val="11"/>
  </w:num>
  <w:num w:numId="27">
    <w:abstractNumId w:val="38"/>
  </w:num>
  <w:num w:numId="28">
    <w:abstractNumId w:val="5"/>
  </w:num>
  <w:num w:numId="29">
    <w:abstractNumId w:val="6"/>
  </w:num>
  <w:num w:numId="30">
    <w:abstractNumId w:val="30"/>
  </w:num>
  <w:num w:numId="31">
    <w:abstractNumId w:val="36"/>
  </w:num>
  <w:num w:numId="32">
    <w:abstractNumId w:val="25"/>
  </w:num>
  <w:num w:numId="33">
    <w:abstractNumId w:val="15"/>
  </w:num>
  <w:num w:numId="34">
    <w:abstractNumId w:val="16"/>
  </w:num>
  <w:num w:numId="35">
    <w:abstractNumId w:val="26"/>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14"/>
    <w:lvlOverride w:ilvl="0">
      <w:startOverride w:val="5"/>
    </w:lvlOverride>
    <w:lvlOverride w:ilvl="1">
      <w:startOverride w:val="3"/>
    </w:lvlOverride>
    <w:lvlOverride w:ilvl="2">
      <w:startOverride w:val="1"/>
    </w:lvlOverride>
  </w:num>
  <w:num w:numId="40">
    <w:abstractNumId w:val="14"/>
    <w:lvlOverride w:ilvl="0">
      <w:startOverride w:val="5"/>
    </w:lvlOverride>
    <w:lvlOverride w:ilvl="1">
      <w:startOverride w:val="3"/>
    </w:lvlOverride>
    <w:lvlOverride w:ilvl="2">
      <w:startOverride w:val="1"/>
    </w:lvlOverride>
  </w:num>
  <w:num w:numId="41">
    <w:abstractNumId w:val="14"/>
    <w:lvlOverride w:ilvl="0">
      <w:startOverride w:val="5"/>
    </w:lvlOverride>
    <w:lvlOverride w:ilvl="1">
      <w:startOverride w:val="3"/>
    </w:lvlOverride>
    <w:lvlOverride w:ilvl="2">
      <w:startOverride w:val="1"/>
    </w:lvlOverride>
  </w:num>
  <w:num w:numId="42">
    <w:abstractNumId w:val="4"/>
  </w:num>
  <w:num w:numId="43">
    <w:abstractNumId w:val="14"/>
    <w:lvlOverride w:ilvl="0">
      <w:startOverride w:val="5"/>
    </w:lvlOverride>
    <w:lvlOverride w:ilvl="1">
      <w:startOverride w:val="2"/>
    </w:lvlOverride>
    <w:lvlOverride w:ilvl="2">
      <w:startOverride w:val="4"/>
    </w:lvlOverride>
  </w:num>
  <w:num w:numId="44">
    <w:abstractNumId w:val="27"/>
  </w:num>
  <w:num w:numId="45">
    <w:abstractNumId w:val="18"/>
  </w:num>
  <w:num w:numId="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1"/>
  </w:num>
  <w:num w:numId="48">
    <w:abstractNumId w:val="14"/>
    <w:lvlOverride w:ilvl="0">
      <w:startOverride w:val="5"/>
    </w:lvlOverride>
    <w:lvlOverride w:ilvl="1">
      <w:startOverride w:val="5"/>
    </w:lvlOverride>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819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37D3"/>
    <w:rsid w:val="00015503"/>
    <w:rsid w:val="00015871"/>
    <w:rsid w:val="00021F7C"/>
    <w:rsid w:val="0002669B"/>
    <w:rsid w:val="00027F2C"/>
    <w:rsid w:val="00033D89"/>
    <w:rsid w:val="000406DB"/>
    <w:rsid w:val="00046135"/>
    <w:rsid w:val="00047D9E"/>
    <w:rsid w:val="000500D1"/>
    <w:rsid w:val="000505B3"/>
    <w:rsid w:val="00057440"/>
    <w:rsid w:val="00061C0A"/>
    <w:rsid w:val="00061F89"/>
    <w:rsid w:val="000630AB"/>
    <w:rsid w:val="000652CA"/>
    <w:rsid w:val="000675C3"/>
    <w:rsid w:val="00073135"/>
    <w:rsid w:val="0007493C"/>
    <w:rsid w:val="00082010"/>
    <w:rsid w:val="00085C86"/>
    <w:rsid w:val="0008731A"/>
    <w:rsid w:val="00087578"/>
    <w:rsid w:val="000877F8"/>
    <w:rsid w:val="0009173C"/>
    <w:rsid w:val="00094830"/>
    <w:rsid w:val="000A2933"/>
    <w:rsid w:val="000A57BE"/>
    <w:rsid w:val="000B1E9B"/>
    <w:rsid w:val="000B29C2"/>
    <w:rsid w:val="000B3177"/>
    <w:rsid w:val="000B6F8B"/>
    <w:rsid w:val="000C184C"/>
    <w:rsid w:val="000C256C"/>
    <w:rsid w:val="000C54D7"/>
    <w:rsid w:val="000D0BAD"/>
    <w:rsid w:val="000D3A2E"/>
    <w:rsid w:val="000D3CDC"/>
    <w:rsid w:val="000E065A"/>
    <w:rsid w:val="000E12A5"/>
    <w:rsid w:val="000E2766"/>
    <w:rsid w:val="000E635F"/>
    <w:rsid w:val="000E6833"/>
    <w:rsid w:val="000E7536"/>
    <w:rsid w:val="000F4C07"/>
    <w:rsid w:val="000F7175"/>
    <w:rsid w:val="00101FE6"/>
    <w:rsid w:val="0010205F"/>
    <w:rsid w:val="0010415C"/>
    <w:rsid w:val="00104557"/>
    <w:rsid w:val="00104619"/>
    <w:rsid w:val="001066B8"/>
    <w:rsid w:val="00106A88"/>
    <w:rsid w:val="00106CF2"/>
    <w:rsid w:val="0011588C"/>
    <w:rsid w:val="001169A1"/>
    <w:rsid w:val="00122820"/>
    <w:rsid w:val="001228F1"/>
    <w:rsid w:val="00122D40"/>
    <w:rsid w:val="00130675"/>
    <w:rsid w:val="00131274"/>
    <w:rsid w:val="0013172A"/>
    <w:rsid w:val="00132BC2"/>
    <w:rsid w:val="001330B5"/>
    <w:rsid w:val="0013493D"/>
    <w:rsid w:val="00137F2D"/>
    <w:rsid w:val="00142642"/>
    <w:rsid w:val="00142C8A"/>
    <w:rsid w:val="00143540"/>
    <w:rsid w:val="00147DD5"/>
    <w:rsid w:val="00150436"/>
    <w:rsid w:val="0015202B"/>
    <w:rsid w:val="001545F7"/>
    <w:rsid w:val="0015757E"/>
    <w:rsid w:val="0016216D"/>
    <w:rsid w:val="001638DA"/>
    <w:rsid w:val="001659B7"/>
    <w:rsid w:val="00166ACE"/>
    <w:rsid w:val="001671FF"/>
    <w:rsid w:val="0017240C"/>
    <w:rsid w:val="00172579"/>
    <w:rsid w:val="00173726"/>
    <w:rsid w:val="00184DBA"/>
    <w:rsid w:val="001865B6"/>
    <w:rsid w:val="00186683"/>
    <w:rsid w:val="00191DE8"/>
    <w:rsid w:val="00192215"/>
    <w:rsid w:val="00193E15"/>
    <w:rsid w:val="00197C20"/>
    <w:rsid w:val="001A2745"/>
    <w:rsid w:val="001A4C6F"/>
    <w:rsid w:val="001A4EF2"/>
    <w:rsid w:val="001A67B5"/>
    <w:rsid w:val="001A6A32"/>
    <w:rsid w:val="001B2388"/>
    <w:rsid w:val="001B48BC"/>
    <w:rsid w:val="001B6C27"/>
    <w:rsid w:val="001C3985"/>
    <w:rsid w:val="001C5586"/>
    <w:rsid w:val="001D0062"/>
    <w:rsid w:val="001D2ED3"/>
    <w:rsid w:val="001D3893"/>
    <w:rsid w:val="001D588B"/>
    <w:rsid w:val="001D63C5"/>
    <w:rsid w:val="001D74B3"/>
    <w:rsid w:val="001E7BCC"/>
    <w:rsid w:val="001F0122"/>
    <w:rsid w:val="001F0AB2"/>
    <w:rsid w:val="001F27F6"/>
    <w:rsid w:val="001F4C28"/>
    <w:rsid w:val="001F659B"/>
    <w:rsid w:val="0020187E"/>
    <w:rsid w:val="0022320B"/>
    <w:rsid w:val="00224062"/>
    <w:rsid w:val="00227C7B"/>
    <w:rsid w:val="00236F8A"/>
    <w:rsid w:val="00237C79"/>
    <w:rsid w:val="00244A0C"/>
    <w:rsid w:val="00247BCF"/>
    <w:rsid w:val="00252D80"/>
    <w:rsid w:val="00263250"/>
    <w:rsid w:val="0028323E"/>
    <w:rsid w:val="00286F06"/>
    <w:rsid w:val="00287F6B"/>
    <w:rsid w:val="002917DE"/>
    <w:rsid w:val="00296872"/>
    <w:rsid w:val="002A267B"/>
    <w:rsid w:val="002A3401"/>
    <w:rsid w:val="002A668D"/>
    <w:rsid w:val="002B1AA5"/>
    <w:rsid w:val="002B6ACC"/>
    <w:rsid w:val="002C3926"/>
    <w:rsid w:val="002E40C9"/>
    <w:rsid w:val="002E5150"/>
    <w:rsid w:val="002F1CC2"/>
    <w:rsid w:val="002F3B68"/>
    <w:rsid w:val="002F47F2"/>
    <w:rsid w:val="002F4EBF"/>
    <w:rsid w:val="002F548A"/>
    <w:rsid w:val="002F60E8"/>
    <w:rsid w:val="00302D3B"/>
    <w:rsid w:val="00303762"/>
    <w:rsid w:val="003040CC"/>
    <w:rsid w:val="00313075"/>
    <w:rsid w:val="003144B5"/>
    <w:rsid w:val="003162AA"/>
    <w:rsid w:val="003166FC"/>
    <w:rsid w:val="00316B25"/>
    <w:rsid w:val="00317860"/>
    <w:rsid w:val="0032141E"/>
    <w:rsid w:val="00322B3E"/>
    <w:rsid w:val="00324728"/>
    <w:rsid w:val="00327AEF"/>
    <w:rsid w:val="003347DA"/>
    <w:rsid w:val="00334B97"/>
    <w:rsid w:val="00337EB0"/>
    <w:rsid w:val="00340CF5"/>
    <w:rsid w:val="00341862"/>
    <w:rsid w:val="003463ED"/>
    <w:rsid w:val="00351484"/>
    <w:rsid w:val="00351E21"/>
    <w:rsid w:val="00352560"/>
    <w:rsid w:val="003609A1"/>
    <w:rsid w:val="00363EC6"/>
    <w:rsid w:val="0037308F"/>
    <w:rsid w:val="0037328F"/>
    <w:rsid w:val="00380A0C"/>
    <w:rsid w:val="003864E8"/>
    <w:rsid w:val="00386550"/>
    <w:rsid w:val="00392B5F"/>
    <w:rsid w:val="003952B9"/>
    <w:rsid w:val="00395753"/>
    <w:rsid w:val="00396571"/>
    <w:rsid w:val="003A5E4B"/>
    <w:rsid w:val="003A6943"/>
    <w:rsid w:val="003A6D81"/>
    <w:rsid w:val="003A76E0"/>
    <w:rsid w:val="003B2B4B"/>
    <w:rsid w:val="003B3986"/>
    <w:rsid w:val="003B4A09"/>
    <w:rsid w:val="003B4AFC"/>
    <w:rsid w:val="003C30C6"/>
    <w:rsid w:val="003D4536"/>
    <w:rsid w:val="003D47CB"/>
    <w:rsid w:val="003D655C"/>
    <w:rsid w:val="003E1829"/>
    <w:rsid w:val="003E2D6F"/>
    <w:rsid w:val="003E2F9A"/>
    <w:rsid w:val="003F1905"/>
    <w:rsid w:val="003F2150"/>
    <w:rsid w:val="003F67EB"/>
    <w:rsid w:val="003F7EFE"/>
    <w:rsid w:val="0040245C"/>
    <w:rsid w:val="00405AF4"/>
    <w:rsid w:val="0041110B"/>
    <w:rsid w:val="00413A27"/>
    <w:rsid w:val="004148F9"/>
    <w:rsid w:val="0042048B"/>
    <w:rsid w:val="00420838"/>
    <w:rsid w:val="0042094C"/>
    <w:rsid w:val="0042276B"/>
    <w:rsid w:val="0042301A"/>
    <w:rsid w:val="004274E2"/>
    <w:rsid w:val="00433C59"/>
    <w:rsid w:val="004340BF"/>
    <w:rsid w:val="004373AA"/>
    <w:rsid w:val="00444060"/>
    <w:rsid w:val="00447DCF"/>
    <w:rsid w:val="00453A28"/>
    <w:rsid w:val="0045498F"/>
    <w:rsid w:val="00454F33"/>
    <w:rsid w:val="00457668"/>
    <w:rsid w:val="004579BD"/>
    <w:rsid w:val="00461352"/>
    <w:rsid w:val="004617AC"/>
    <w:rsid w:val="00461948"/>
    <w:rsid w:val="00465515"/>
    <w:rsid w:val="004658BA"/>
    <w:rsid w:val="00466AD3"/>
    <w:rsid w:val="00466C1D"/>
    <w:rsid w:val="00467F85"/>
    <w:rsid w:val="004708B3"/>
    <w:rsid w:val="00471D62"/>
    <w:rsid w:val="00472D1E"/>
    <w:rsid w:val="00475A15"/>
    <w:rsid w:val="004831AA"/>
    <w:rsid w:val="0048741C"/>
    <w:rsid w:val="0049019C"/>
    <w:rsid w:val="0049072F"/>
    <w:rsid w:val="00490851"/>
    <w:rsid w:val="0049238F"/>
    <w:rsid w:val="00493B0B"/>
    <w:rsid w:val="004978F3"/>
    <w:rsid w:val="004A2044"/>
    <w:rsid w:val="004A2C18"/>
    <w:rsid w:val="004A46BB"/>
    <w:rsid w:val="004A6819"/>
    <w:rsid w:val="004A7CE8"/>
    <w:rsid w:val="004B317E"/>
    <w:rsid w:val="004B330B"/>
    <w:rsid w:val="004B39A2"/>
    <w:rsid w:val="004B6C7B"/>
    <w:rsid w:val="004B7126"/>
    <w:rsid w:val="004B782D"/>
    <w:rsid w:val="004C3C10"/>
    <w:rsid w:val="004C5BD6"/>
    <w:rsid w:val="004D2146"/>
    <w:rsid w:val="004D3D89"/>
    <w:rsid w:val="004D4270"/>
    <w:rsid w:val="004D5074"/>
    <w:rsid w:val="004D5746"/>
    <w:rsid w:val="004D669C"/>
    <w:rsid w:val="004D7638"/>
    <w:rsid w:val="004E3B58"/>
    <w:rsid w:val="004E48D2"/>
    <w:rsid w:val="004E6F18"/>
    <w:rsid w:val="004F01F1"/>
    <w:rsid w:val="004F0F2C"/>
    <w:rsid w:val="004F141A"/>
    <w:rsid w:val="004F3F10"/>
    <w:rsid w:val="004F6B64"/>
    <w:rsid w:val="0050351E"/>
    <w:rsid w:val="005051CC"/>
    <w:rsid w:val="00505284"/>
    <w:rsid w:val="005079D7"/>
    <w:rsid w:val="0051011F"/>
    <w:rsid w:val="00510E5F"/>
    <w:rsid w:val="00512243"/>
    <w:rsid w:val="00513421"/>
    <w:rsid w:val="00515E53"/>
    <w:rsid w:val="00516BCB"/>
    <w:rsid w:val="00520895"/>
    <w:rsid w:val="00521653"/>
    <w:rsid w:val="005219B9"/>
    <w:rsid w:val="005224FA"/>
    <w:rsid w:val="00533DA1"/>
    <w:rsid w:val="00546AA4"/>
    <w:rsid w:val="00554C61"/>
    <w:rsid w:val="00561ABC"/>
    <w:rsid w:val="00567A28"/>
    <w:rsid w:val="005727D2"/>
    <w:rsid w:val="00573BAA"/>
    <w:rsid w:val="00574488"/>
    <w:rsid w:val="00576C18"/>
    <w:rsid w:val="0057784C"/>
    <w:rsid w:val="005808F4"/>
    <w:rsid w:val="0058110E"/>
    <w:rsid w:val="00581569"/>
    <w:rsid w:val="005839DA"/>
    <w:rsid w:val="00584779"/>
    <w:rsid w:val="00592269"/>
    <w:rsid w:val="00593436"/>
    <w:rsid w:val="00596B55"/>
    <w:rsid w:val="005A2A08"/>
    <w:rsid w:val="005A43A6"/>
    <w:rsid w:val="005A46E5"/>
    <w:rsid w:val="005A7B8C"/>
    <w:rsid w:val="005B14BD"/>
    <w:rsid w:val="005B2FEB"/>
    <w:rsid w:val="005B332F"/>
    <w:rsid w:val="005B626B"/>
    <w:rsid w:val="005B6587"/>
    <w:rsid w:val="005C02D7"/>
    <w:rsid w:val="005C15CA"/>
    <w:rsid w:val="005C1620"/>
    <w:rsid w:val="005C270C"/>
    <w:rsid w:val="005C5F50"/>
    <w:rsid w:val="005C6021"/>
    <w:rsid w:val="005C6F4B"/>
    <w:rsid w:val="005E14EC"/>
    <w:rsid w:val="005F3D3C"/>
    <w:rsid w:val="005F445A"/>
    <w:rsid w:val="005F73F4"/>
    <w:rsid w:val="0060022D"/>
    <w:rsid w:val="00602829"/>
    <w:rsid w:val="00613399"/>
    <w:rsid w:val="006142A3"/>
    <w:rsid w:val="00621BB0"/>
    <w:rsid w:val="00625295"/>
    <w:rsid w:val="00625EF6"/>
    <w:rsid w:val="0062762A"/>
    <w:rsid w:val="006319AE"/>
    <w:rsid w:val="00631B52"/>
    <w:rsid w:val="00633B83"/>
    <w:rsid w:val="00635B09"/>
    <w:rsid w:val="00641DCC"/>
    <w:rsid w:val="00642490"/>
    <w:rsid w:val="00643A49"/>
    <w:rsid w:val="00643CBC"/>
    <w:rsid w:val="00645BC7"/>
    <w:rsid w:val="00647D7E"/>
    <w:rsid w:val="006502C7"/>
    <w:rsid w:val="00660712"/>
    <w:rsid w:val="00662B38"/>
    <w:rsid w:val="00662DEA"/>
    <w:rsid w:val="00666A7A"/>
    <w:rsid w:val="00666B07"/>
    <w:rsid w:val="0067212D"/>
    <w:rsid w:val="00672E29"/>
    <w:rsid w:val="00673E2D"/>
    <w:rsid w:val="0067710F"/>
    <w:rsid w:val="006809CD"/>
    <w:rsid w:val="00680D47"/>
    <w:rsid w:val="0068159A"/>
    <w:rsid w:val="00697641"/>
    <w:rsid w:val="006A0525"/>
    <w:rsid w:val="006A1771"/>
    <w:rsid w:val="006A1FD6"/>
    <w:rsid w:val="006C1D71"/>
    <w:rsid w:val="006C205C"/>
    <w:rsid w:val="006C5C11"/>
    <w:rsid w:val="006C5F03"/>
    <w:rsid w:val="006C78BE"/>
    <w:rsid w:val="006D01D0"/>
    <w:rsid w:val="006D0C5B"/>
    <w:rsid w:val="006D0F99"/>
    <w:rsid w:val="006D1266"/>
    <w:rsid w:val="006D41A6"/>
    <w:rsid w:val="006E163B"/>
    <w:rsid w:val="006E64CC"/>
    <w:rsid w:val="006E704A"/>
    <w:rsid w:val="006F441B"/>
    <w:rsid w:val="006F4978"/>
    <w:rsid w:val="00701DFF"/>
    <w:rsid w:val="00703669"/>
    <w:rsid w:val="00713613"/>
    <w:rsid w:val="00716AAE"/>
    <w:rsid w:val="00720B37"/>
    <w:rsid w:val="007276D4"/>
    <w:rsid w:val="007325B5"/>
    <w:rsid w:val="00732A94"/>
    <w:rsid w:val="00735781"/>
    <w:rsid w:val="007406B8"/>
    <w:rsid w:val="00744B6E"/>
    <w:rsid w:val="00772BA8"/>
    <w:rsid w:val="00774BE4"/>
    <w:rsid w:val="00775B7B"/>
    <w:rsid w:val="00776A88"/>
    <w:rsid w:val="00781B10"/>
    <w:rsid w:val="00784FA3"/>
    <w:rsid w:val="00785859"/>
    <w:rsid w:val="00785DEC"/>
    <w:rsid w:val="00792549"/>
    <w:rsid w:val="00792ED8"/>
    <w:rsid w:val="00794682"/>
    <w:rsid w:val="00796510"/>
    <w:rsid w:val="00796903"/>
    <w:rsid w:val="007A29AA"/>
    <w:rsid w:val="007A39D8"/>
    <w:rsid w:val="007A3A41"/>
    <w:rsid w:val="007A504F"/>
    <w:rsid w:val="007A778F"/>
    <w:rsid w:val="007B314B"/>
    <w:rsid w:val="007B430C"/>
    <w:rsid w:val="007B4CFA"/>
    <w:rsid w:val="007B5488"/>
    <w:rsid w:val="007B6518"/>
    <w:rsid w:val="007C0E59"/>
    <w:rsid w:val="007C2771"/>
    <w:rsid w:val="007C330C"/>
    <w:rsid w:val="007C55E7"/>
    <w:rsid w:val="007C55EF"/>
    <w:rsid w:val="007C5D5A"/>
    <w:rsid w:val="007C5E6A"/>
    <w:rsid w:val="007D0EAC"/>
    <w:rsid w:val="007D6E69"/>
    <w:rsid w:val="007D6EE7"/>
    <w:rsid w:val="007D721C"/>
    <w:rsid w:val="007E12E0"/>
    <w:rsid w:val="007E14A9"/>
    <w:rsid w:val="007E2738"/>
    <w:rsid w:val="007F0E1B"/>
    <w:rsid w:val="007F11F3"/>
    <w:rsid w:val="007F4887"/>
    <w:rsid w:val="007F7DF1"/>
    <w:rsid w:val="00802546"/>
    <w:rsid w:val="008029AB"/>
    <w:rsid w:val="00804456"/>
    <w:rsid w:val="008054A3"/>
    <w:rsid w:val="00806313"/>
    <w:rsid w:val="00811774"/>
    <w:rsid w:val="008138BA"/>
    <w:rsid w:val="008207B5"/>
    <w:rsid w:val="008208EB"/>
    <w:rsid w:val="00822365"/>
    <w:rsid w:val="00825ACA"/>
    <w:rsid w:val="008326E8"/>
    <w:rsid w:val="0083436F"/>
    <w:rsid w:val="00837A68"/>
    <w:rsid w:val="00842364"/>
    <w:rsid w:val="00844C42"/>
    <w:rsid w:val="008466F2"/>
    <w:rsid w:val="00847E84"/>
    <w:rsid w:val="008518ED"/>
    <w:rsid w:val="00853154"/>
    <w:rsid w:val="0085779B"/>
    <w:rsid w:val="00863F55"/>
    <w:rsid w:val="0086598B"/>
    <w:rsid w:val="00865C12"/>
    <w:rsid w:val="008701B2"/>
    <w:rsid w:val="00884B8B"/>
    <w:rsid w:val="00886C91"/>
    <w:rsid w:val="00890648"/>
    <w:rsid w:val="00893EFE"/>
    <w:rsid w:val="00896866"/>
    <w:rsid w:val="00896A6A"/>
    <w:rsid w:val="008A05D8"/>
    <w:rsid w:val="008A6785"/>
    <w:rsid w:val="008B2303"/>
    <w:rsid w:val="008B71C4"/>
    <w:rsid w:val="008C577B"/>
    <w:rsid w:val="008C6733"/>
    <w:rsid w:val="008C7D0A"/>
    <w:rsid w:val="008D097B"/>
    <w:rsid w:val="008D0D70"/>
    <w:rsid w:val="008D4676"/>
    <w:rsid w:val="008F2E2D"/>
    <w:rsid w:val="008F3BF0"/>
    <w:rsid w:val="008F4EEF"/>
    <w:rsid w:val="008F671E"/>
    <w:rsid w:val="008F7C49"/>
    <w:rsid w:val="0090027E"/>
    <w:rsid w:val="00900C63"/>
    <w:rsid w:val="00904F70"/>
    <w:rsid w:val="0090682E"/>
    <w:rsid w:val="009151AF"/>
    <w:rsid w:val="00915D0E"/>
    <w:rsid w:val="00915DD0"/>
    <w:rsid w:val="009165BF"/>
    <w:rsid w:val="00916BBA"/>
    <w:rsid w:val="00927A1F"/>
    <w:rsid w:val="00930351"/>
    <w:rsid w:val="0093171B"/>
    <w:rsid w:val="00933580"/>
    <w:rsid w:val="009340CF"/>
    <w:rsid w:val="00937A81"/>
    <w:rsid w:val="00940DB1"/>
    <w:rsid w:val="0094205C"/>
    <w:rsid w:val="009451AF"/>
    <w:rsid w:val="0094768A"/>
    <w:rsid w:val="00950248"/>
    <w:rsid w:val="00950831"/>
    <w:rsid w:val="00956525"/>
    <w:rsid w:val="00960224"/>
    <w:rsid w:val="009674BE"/>
    <w:rsid w:val="0097019E"/>
    <w:rsid w:val="009761BE"/>
    <w:rsid w:val="00976DEB"/>
    <w:rsid w:val="00980795"/>
    <w:rsid w:val="00980B0E"/>
    <w:rsid w:val="009850FD"/>
    <w:rsid w:val="009935C1"/>
    <w:rsid w:val="00995A0E"/>
    <w:rsid w:val="009A0CB9"/>
    <w:rsid w:val="009A32B9"/>
    <w:rsid w:val="009A663E"/>
    <w:rsid w:val="009B0C6D"/>
    <w:rsid w:val="009B6A09"/>
    <w:rsid w:val="009B6BF9"/>
    <w:rsid w:val="009C0AEF"/>
    <w:rsid w:val="009C130D"/>
    <w:rsid w:val="009C25AC"/>
    <w:rsid w:val="009D514D"/>
    <w:rsid w:val="009D73E8"/>
    <w:rsid w:val="009E502A"/>
    <w:rsid w:val="009E7A9C"/>
    <w:rsid w:val="009F19EA"/>
    <w:rsid w:val="009F1EFC"/>
    <w:rsid w:val="009F4459"/>
    <w:rsid w:val="009F4E9E"/>
    <w:rsid w:val="009F5A56"/>
    <w:rsid w:val="00A03E2F"/>
    <w:rsid w:val="00A05BF6"/>
    <w:rsid w:val="00A0642D"/>
    <w:rsid w:val="00A06999"/>
    <w:rsid w:val="00A07018"/>
    <w:rsid w:val="00A13770"/>
    <w:rsid w:val="00A26256"/>
    <w:rsid w:val="00A3392B"/>
    <w:rsid w:val="00A33F26"/>
    <w:rsid w:val="00A42430"/>
    <w:rsid w:val="00A44D90"/>
    <w:rsid w:val="00A45130"/>
    <w:rsid w:val="00A45854"/>
    <w:rsid w:val="00A45C4F"/>
    <w:rsid w:val="00A46148"/>
    <w:rsid w:val="00A4619A"/>
    <w:rsid w:val="00A50353"/>
    <w:rsid w:val="00A51609"/>
    <w:rsid w:val="00A51946"/>
    <w:rsid w:val="00A530BB"/>
    <w:rsid w:val="00A56E29"/>
    <w:rsid w:val="00A675FE"/>
    <w:rsid w:val="00A724D3"/>
    <w:rsid w:val="00A74C9E"/>
    <w:rsid w:val="00A75804"/>
    <w:rsid w:val="00A77269"/>
    <w:rsid w:val="00A80292"/>
    <w:rsid w:val="00A80508"/>
    <w:rsid w:val="00A818BD"/>
    <w:rsid w:val="00A828E6"/>
    <w:rsid w:val="00A839FA"/>
    <w:rsid w:val="00A907B2"/>
    <w:rsid w:val="00A92714"/>
    <w:rsid w:val="00A92A02"/>
    <w:rsid w:val="00A94B13"/>
    <w:rsid w:val="00A966A5"/>
    <w:rsid w:val="00AA07C5"/>
    <w:rsid w:val="00AA7CA9"/>
    <w:rsid w:val="00AB3BCF"/>
    <w:rsid w:val="00AB56A8"/>
    <w:rsid w:val="00AB7D67"/>
    <w:rsid w:val="00AC3326"/>
    <w:rsid w:val="00AC5C56"/>
    <w:rsid w:val="00AC6FD9"/>
    <w:rsid w:val="00AD0C87"/>
    <w:rsid w:val="00AD3291"/>
    <w:rsid w:val="00AD338D"/>
    <w:rsid w:val="00AD6290"/>
    <w:rsid w:val="00AD73A1"/>
    <w:rsid w:val="00AE10F7"/>
    <w:rsid w:val="00AE2FC1"/>
    <w:rsid w:val="00AE321E"/>
    <w:rsid w:val="00AE366E"/>
    <w:rsid w:val="00AF21B5"/>
    <w:rsid w:val="00B0154B"/>
    <w:rsid w:val="00B10372"/>
    <w:rsid w:val="00B120BB"/>
    <w:rsid w:val="00B143CB"/>
    <w:rsid w:val="00B15770"/>
    <w:rsid w:val="00B22EE2"/>
    <w:rsid w:val="00B27A2A"/>
    <w:rsid w:val="00B36713"/>
    <w:rsid w:val="00B41351"/>
    <w:rsid w:val="00B41DBD"/>
    <w:rsid w:val="00B44197"/>
    <w:rsid w:val="00B4757B"/>
    <w:rsid w:val="00B523ED"/>
    <w:rsid w:val="00B556FD"/>
    <w:rsid w:val="00B57213"/>
    <w:rsid w:val="00B57C0E"/>
    <w:rsid w:val="00B63FB4"/>
    <w:rsid w:val="00B65917"/>
    <w:rsid w:val="00B710BE"/>
    <w:rsid w:val="00B71B44"/>
    <w:rsid w:val="00B738D5"/>
    <w:rsid w:val="00B738DD"/>
    <w:rsid w:val="00B7545E"/>
    <w:rsid w:val="00B774CB"/>
    <w:rsid w:val="00B819BF"/>
    <w:rsid w:val="00B863CA"/>
    <w:rsid w:val="00B876A6"/>
    <w:rsid w:val="00B876D8"/>
    <w:rsid w:val="00B87B4C"/>
    <w:rsid w:val="00B91ADF"/>
    <w:rsid w:val="00B9373A"/>
    <w:rsid w:val="00B97981"/>
    <w:rsid w:val="00BA1E3E"/>
    <w:rsid w:val="00BA7E09"/>
    <w:rsid w:val="00BC0188"/>
    <w:rsid w:val="00BC2005"/>
    <w:rsid w:val="00BC2A34"/>
    <w:rsid w:val="00BC5AB8"/>
    <w:rsid w:val="00BC61A2"/>
    <w:rsid w:val="00BD31FC"/>
    <w:rsid w:val="00BD6AA3"/>
    <w:rsid w:val="00BE0865"/>
    <w:rsid w:val="00BE3540"/>
    <w:rsid w:val="00BE389F"/>
    <w:rsid w:val="00BE6A44"/>
    <w:rsid w:val="00BF0F0A"/>
    <w:rsid w:val="00BF2AC8"/>
    <w:rsid w:val="00BF2F05"/>
    <w:rsid w:val="00BF5C83"/>
    <w:rsid w:val="00BF748B"/>
    <w:rsid w:val="00BF7F14"/>
    <w:rsid w:val="00C00496"/>
    <w:rsid w:val="00C01254"/>
    <w:rsid w:val="00C12857"/>
    <w:rsid w:val="00C13038"/>
    <w:rsid w:val="00C142E1"/>
    <w:rsid w:val="00C20008"/>
    <w:rsid w:val="00C25817"/>
    <w:rsid w:val="00C33D61"/>
    <w:rsid w:val="00C358FC"/>
    <w:rsid w:val="00C401BD"/>
    <w:rsid w:val="00C40FED"/>
    <w:rsid w:val="00C521BA"/>
    <w:rsid w:val="00C52350"/>
    <w:rsid w:val="00C55AD2"/>
    <w:rsid w:val="00C57E08"/>
    <w:rsid w:val="00C627CC"/>
    <w:rsid w:val="00C63E0F"/>
    <w:rsid w:val="00C77D0B"/>
    <w:rsid w:val="00C808AC"/>
    <w:rsid w:val="00C824CE"/>
    <w:rsid w:val="00C85802"/>
    <w:rsid w:val="00C91943"/>
    <w:rsid w:val="00C968D9"/>
    <w:rsid w:val="00C96E14"/>
    <w:rsid w:val="00CA196D"/>
    <w:rsid w:val="00CA1C26"/>
    <w:rsid w:val="00CA1D2B"/>
    <w:rsid w:val="00CB09DB"/>
    <w:rsid w:val="00CB1F0A"/>
    <w:rsid w:val="00CB4DC7"/>
    <w:rsid w:val="00CB7363"/>
    <w:rsid w:val="00CB7D81"/>
    <w:rsid w:val="00CD14A3"/>
    <w:rsid w:val="00CD25F9"/>
    <w:rsid w:val="00CD2F2D"/>
    <w:rsid w:val="00CD7AFF"/>
    <w:rsid w:val="00CE0B18"/>
    <w:rsid w:val="00CE157F"/>
    <w:rsid w:val="00CE1D24"/>
    <w:rsid w:val="00CE3320"/>
    <w:rsid w:val="00CE40A4"/>
    <w:rsid w:val="00CE49D1"/>
    <w:rsid w:val="00CE560B"/>
    <w:rsid w:val="00CE7102"/>
    <w:rsid w:val="00CF016E"/>
    <w:rsid w:val="00CF0684"/>
    <w:rsid w:val="00CF3D7F"/>
    <w:rsid w:val="00CF54B1"/>
    <w:rsid w:val="00CF5C48"/>
    <w:rsid w:val="00D056BF"/>
    <w:rsid w:val="00D06F56"/>
    <w:rsid w:val="00D07C55"/>
    <w:rsid w:val="00D107F7"/>
    <w:rsid w:val="00D118A7"/>
    <w:rsid w:val="00D124F9"/>
    <w:rsid w:val="00D131D4"/>
    <w:rsid w:val="00D201C8"/>
    <w:rsid w:val="00D228F8"/>
    <w:rsid w:val="00D23C83"/>
    <w:rsid w:val="00D27EB0"/>
    <w:rsid w:val="00D3471C"/>
    <w:rsid w:val="00D375F0"/>
    <w:rsid w:val="00D40F0B"/>
    <w:rsid w:val="00D43B69"/>
    <w:rsid w:val="00D5369C"/>
    <w:rsid w:val="00D57AED"/>
    <w:rsid w:val="00D60730"/>
    <w:rsid w:val="00D61F2E"/>
    <w:rsid w:val="00D6482E"/>
    <w:rsid w:val="00D76E69"/>
    <w:rsid w:val="00D80B71"/>
    <w:rsid w:val="00D87844"/>
    <w:rsid w:val="00D901E5"/>
    <w:rsid w:val="00D9021B"/>
    <w:rsid w:val="00D91BC7"/>
    <w:rsid w:val="00D946B2"/>
    <w:rsid w:val="00D95F2F"/>
    <w:rsid w:val="00D970FC"/>
    <w:rsid w:val="00DA082D"/>
    <w:rsid w:val="00DA1B0C"/>
    <w:rsid w:val="00DA5B67"/>
    <w:rsid w:val="00DB445F"/>
    <w:rsid w:val="00DC1A2A"/>
    <w:rsid w:val="00DC1F8F"/>
    <w:rsid w:val="00DD5787"/>
    <w:rsid w:val="00DE082C"/>
    <w:rsid w:val="00DF44DE"/>
    <w:rsid w:val="00DF5802"/>
    <w:rsid w:val="00DF5B8D"/>
    <w:rsid w:val="00DF72A5"/>
    <w:rsid w:val="00E00BA2"/>
    <w:rsid w:val="00E00EC9"/>
    <w:rsid w:val="00E041BE"/>
    <w:rsid w:val="00E047E2"/>
    <w:rsid w:val="00E06B3E"/>
    <w:rsid w:val="00E071CE"/>
    <w:rsid w:val="00E1780E"/>
    <w:rsid w:val="00E21886"/>
    <w:rsid w:val="00E26657"/>
    <w:rsid w:val="00E26D68"/>
    <w:rsid w:val="00E30C31"/>
    <w:rsid w:val="00E31782"/>
    <w:rsid w:val="00E330AE"/>
    <w:rsid w:val="00E33B13"/>
    <w:rsid w:val="00E36F6F"/>
    <w:rsid w:val="00E371B7"/>
    <w:rsid w:val="00E41879"/>
    <w:rsid w:val="00E45D5A"/>
    <w:rsid w:val="00E46246"/>
    <w:rsid w:val="00E503FB"/>
    <w:rsid w:val="00E53E78"/>
    <w:rsid w:val="00E562BA"/>
    <w:rsid w:val="00E57717"/>
    <w:rsid w:val="00E62D8C"/>
    <w:rsid w:val="00E639FA"/>
    <w:rsid w:val="00E64422"/>
    <w:rsid w:val="00E661E3"/>
    <w:rsid w:val="00E6641F"/>
    <w:rsid w:val="00E6696C"/>
    <w:rsid w:val="00E671FD"/>
    <w:rsid w:val="00E70CE4"/>
    <w:rsid w:val="00E71547"/>
    <w:rsid w:val="00E750AF"/>
    <w:rsid w:val="00E8302D"/>
    <w:rsid w:val="00E846BA"/>
    <w:rsid w:val="00E85AB7"/>
    <w:rsid w:val="00E91359"/>
    <w:rsid w:val="00E9546F"/>
    <w:rsid w:val="00EA0883"/>
    <w:rsid w:val="00EA1C0E"/>
    <w:rsid w:val="00EA3938"/>
    <w:rsid w:val="00EA6D08"/>
    <w:rsid w:val="00EB5377"/>
    <w:rsid w:val="00EB7119"/>
    <w:rsid w:val="00EC798D"/>
    <w:rsid w:val="00EC7FB7"/>
    <w:rsid w:val="00ED18EF"/>
    <w:rsid w:val="00ED21CA"/>
    <w:rsid w:val="00ED5FA0"/>
    <w:rsid w:val="00EE2B1B"/>
    <w:rsid w:val="00EE3088"/>
    <w:rsid w:val="00EE6938"/>
    <w:rsid w:val="00EF04D9"/>
    <w:rsid w:val="00EF581B"/>
    <w:rsid w:val="00F00B95"/>
    <w:rsid w:val="00F01BB8"/>
    <w:rsid w:val="00F02B7F"/>
    <w:rsid w:val="00F02B8B"/>
    <w:rsid w:val="00F0772F"/>
    <w:rsid w:val="00F127DA"/>
    <w:rsid w:val="00F1471D"/>
    <w:rsid w:val="00F14AC6"/>
    <w:rsid w:val="00F15B86"/>
    <w:rsid w:val="00F15F07"/>
    <w:rsid w:val="00F2058E"/>
    <w:rsid w:val="00F2090F"/>
    <w:rsid w:val="00F224AE"/>
    <w:rsid w:val="00F25083"/>
    <w:rsid w:val="00F26C7D"/>
    <w:rsid w:val="00F3216F"/>
    <w:rsid w:val="00F32257"/>
    <w:rsid w:val="00F322F1"/>
    <w:rsid w:val="00F33280"/>
    <w:rsid w:val="00F37C36"/>
    <w:rsid w:val="00F40E90"/>
    <w:rsid w:val="00F518AE"/>
    <w:rsid w:val="00F577BE"/>
    <w:rsid w:val="00F6138D"/>
    <w:rsid w:val="00F75D66"/>
    <w:rsid w:val="00F77088"/>
    <w:rsid w:val="00F80E87"/>
    <w:rsid w:val="00F865A6"/>
    <w:rsid w:val="00F877F0"/>
    <w:rsid w:val="00F97BD3"/>
    <w:rsid w:val="00FA3854"/>
    <w:rsid w:val="00FA4236"/>
    <w:rsid w:val="00FB60C0"/>
    <w:rsid w:val="00FC3F5D"/>
    <w:rsid w:val="00FC4DE8"/>
    <w:rsid w:val="00FC7463"/>
    <w:rsid w:val="00FD09CA"/>
    <w:rsid w:val="00FD121B"/>
    <w:rsid w:val="00FD2384"/>
    <w:rsid w:val="00FD5BE1"/>
    <w:rsid w:val="00FE4D37"/>
    <w:rsid w:val="00FE7026"/>
    <w:rsid w:val="00FE772D"/>
    <w:rsid w:val="00FF4CE0"/>
    <w:rsid w:val="00FF72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5F9"/>
    <w:rPr>
      <w:sz w:val="24"/>
    </w:rPr>
  </w:style>
  <w:style w:type="paragraph" w:styleId="Heading1">
    <w:name w:val="heading 1"/>
    <w:basedOn w:val="Normal"/>
    <w:next w:val="Normal"/>
    <w:qFormat/>
    <w:rsid w:val="00CD25F9"/>
    <w:pPr>
      <w:keepNext/>
      <w:numPr>
        <w:numId w:val="4"/>
      </w:numPr>
      <w:tabs>
        <w:tab w:val="clear" w:pos="522"/>
        <w:tab w:val="num" w:pos="510"/>
      </w:tabs>
      <w:spacing w:before="240" w:after="240"/>
      <w:ind w:left="510" w:hanging="510"/>
      <w:outlineLvl w:val="0"/>
    </w:pPr>
    <w:rPr>
      <w:b/>
      <w:kern w:val="28"/>
      <w:sz w:val="28"/>
    </w:rPr>
  </w:style>
  <w:style w:type="paragraph" w:styleId="Heading2">
    <w:name w:val="heading 2"/>
    <w:basedOn w:val="Normal"/>
    <w:next w:val="Normal"/>
    <w:qFormat/>
    <w:rsid w:val="00CD25F9"/>
    <w:pPr>
      <w:keepNext/>
      <w:numPr>
        <w:ilvl w:val="1"/>
        <w:numId w:val="4"/>
      </w:numPr>
      <w:spacing w:before="240" w:after="240"/>
      <w:outlineLvl w:val="1"/>
    </w:pPr>
    <w:rPr>
      <w:b/>
    </w:rPr>
  </w:style>
  <w:style w:type="paragraph" w:styleId="Heading3">
    <w:name w:val="heading 3"/>
    <w:basedOn w:val="Heading2"/>
    <w:next w:val="Normal"/>
    <w:link w:val="Heading3Char"/>
    <w:qFormat/>
    <w:rsid w:val="000D3A2E"/>
    <w:pPr>
      <w:numPr>
        <w:ilvl w:val="2"/>
      </w:numPr>
      <w:tabs>
        <w:tab w:val="clear" w:pos="1080"/>
        <w:tab w:val="num" w:pos="1350"/>
      </w:tabs>
      <w:ind w:left="1350"/>
      <w:outlineLvl w:val="2"/>
    </w:pPr>
  </w:style>
  <w:style w:type="paragraph" w:styleId="Heading4">
    <w:name w:val="heading 4"/>
    <w:basedOn w:val="Normal"/>
    <w:next w:val="Normal"/>
    <w:qFormat/>
    <w:rsid w:val="00CD25F9"/>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25F9"/>
    <w:pPr>
      <w:tabs>
        <w:tab w:val="center" w:pos="4320"/>
        <w:tab w:val="right" w:pos="8640"/>
      </w:tabs>
    </w:pPr>
  </w:style>
  <w:style w:type="paragraph" w:styleId="Footer">
    <w:name w:val="footer"/>
    <w:basedOn w:val="Normal"/>
    <w:link w:val="FooterChar"/>
    <w:uiPriority w:val="99"/>
    <w:rsid w:val="00CD25F9"/>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TOCHeading">
    <w:name w:val="TOC Heading"/>
    <w:basedOn w:val="Heading1"/>
    <w:next w:val="Normal"/>
    <w:uiPriority w:val="39"/>
    <w:unhideWhenUsed/>
    <w:qFormat/>
    <w:rsid w:val="005B14BD"/>
    <w:pPr>
      <w:keepLines/>
      <w:numPr>
        <w:numId w:val="0"/>
      </w:numPr>
      <w:spacing w:after="0" w:line="259" w:lineRule="auto"/>
      <w:outlineLvl w:val="9"/>
    </w:pPr>
    <w:rPr>
      <w:rFonts w:ascii="Cambria" w:eastAsia="MS Gothic" w:hAnsi="Cambria"/>
      <w:b w:val="0"/>
      <w:color w:val="365F91"/>
      <w:kern w:val="0"/>
      <w:sz w:val="32"/>
      <w:szCs w:val="32"/>
      <w:lang w:eastAsia="ja-JP"/>
    </w:rPr>
  </w:style>
  <w:style w:type="paragraph" w:styleId="TOC1">
    <w:name w:val="toc 1"/>
    <w:aliases w:val="Table of Contents"/>
    <w:basedOn w:val="Normal"/>
    <w:next w:val="Normal"/>
    <w:autoRedefine/>
    <w:uiPriority w:val="39"/>
    <w:unhideWhenUsed/>
    <w:rsid w:val="005B14BD"/>
  </w:style>
  <w:style w:type="character" w:styleId="Hyperlink">
    <w:name w:val="Hyperlink"/>
    <w:uiPriority w:val="99"/>
    <w:unhideWhenUsed/>
    <w:rsid w:val="005B14BD"/>
    <w:rPr>
      <w:color w:val="0000FF"/>
      <w:u w:val="single"/>
    </w:rPr>
  </w:style>
  <w:style w:type="paragraph" w:styleId="ListParagraph">
    <w:name w:val="List Paragraph"/>
    <w:basedOn w:val="Normal"/>
    <w:uiPriority w:val="34"/>
    <w:qFormat/>
    <w:rsid w:val="00EA6D08"/>
    <w:pPr>
      <w:ind w:leftChars="400" w:left="840"/>
    </w:pPr>
  </w:style>
  <w:style w:type="table" w:styleId="TableGrid">
    <w:name w:val="Table Grid"/>
    <w:basedOn w:val="TableNormal"/>
    <w:uiPriority w:val="59"/>
    <w:rsid w:val="00A96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E389F"/>
    <w:pPr>
      <w:numPr>
        <w:numId w:val="49"/>
      </w:numPr>
      <w:tabs>
        <w:tab w:val="left" w:pos="880"/>
        <w:tab w:val="right" w:leader="dot" w:pos="9620"/>
      </w:tabs>
    </w:pPr>
  </w:style>
  <w:style w:type="paragraph" w:styleId="TOC3">
    <w:name w:val="toc 3"/>
    <w:basedOn w:val="Normal"/>
    <w:next w:val="Normal"/>
    <w:autoRedefine/>
    <w:uiPriority w:val="39"/>
    <w:unhideWhenUsed/>
    <w:rsid w:val="00BE389F"/>
    <w:pPr>
      <w:tabs>
        <w:tab w:val="left" w:pos="1320"/>
        <w:tab w:val="right" w:leader="dot" w:pos="9620"/>
      </w:tabs>
      <w:ind w:leftChars="200" w:left="480"/>
    </w:pPr>
  </w:style>
  <w:style w:type="paragraph" w:customStyle="1" w:styleId="Default">
    <w:name w:val="Default"/>
    <w:rsid w:val="00D131D4"/>
    <w:pPr>
      <w:autoSpaceDE w:val="0"/>
      <w:autoSpaceDN w:val="0"/>
      <w:adjustRightInd w:val="0"/>
    </w:pPr>
    <w:rPr>
      <w:color w:val="000000"/>
      <w:sz w:val="24"/>
      <w:szCs w:val="24"/>
      <w:lang w:val="en-GB"/>
    </w:rPr>
  </w:style>
  <w:style w:type="character" w:customStyle="1" w:styleId="Heading3Char">
    <w:name w:val="Heading 3 Char"/>
    <w:link w:val="Heading3"/>
    <w:rsid w:val="00E503FB"/>
    <w:rPr>
      <w:b/>
      <w:sz w:val="24"/>
    </w:rPr>
  </w:style>
  <w:style w:type="character" w:customStyle="1" w:styleId="Mention1">
    <w:name w:val="Mention1"/>
    <w:uiPriority w:val="99"/>
    <w:semiHidden/>
    <w:unhideWhenUsed/>
    <w:rsid w:val="000D3A2E"/>
    <w:rPr>
      <w:color w:val="2B579A"/>
      <w:shd w:val="clear" w:color="auto" w:fill="E6E6E6"/>
    </w:rPr>
  </w:style>
  <w:style w:type="character" w:styleId="FollowedHyperlink">
    <w:name w:val="FollowedHyperlink"/>
    <w:uiPriority w:val="99"/>
    <w:semiHidden/>
    <w:unhideWhenUsed/>
    <w:rsid w:val="000D3A2E"/>
    <w:rPr>
      <w:color w:val="800080"/>
      <w:u w:val="single"/>
    </w:rPr>
  </w:style>
  <w:style w:type="character" w:customStyle="1" w:styleId="apple-converted-space">
    <w:name w:val="apple-converted-space"/>
    <w:rsid w:val="000D3A2E"/>
  </w:style>
  <w:style w:type="paragraph" w:styleId="Revision">
    <w:name w:val="Revision"/>
    <w:hidden/>
    <w:uiPriority w:val="99"/>
    <w:semiHidden/>
    <w:rsid w:val="000D3A2E"/>
    <w:rPr>
      <w:sz w:val="24"/>
    </w:rPr>
  </w:style>
  <w:style w:type="character" w:styleId="CommentReference">
    <w:name w:val="annotation reference"/>
    <w:uiPriority w:val="99"/>
    <w:semiHidden/>
    <w:unhideWhenUsed/>
    <w:rsid w:val="00334B97"/>
    <w:rPr>
      <w:sz w:val="16"/>
      <w:szCs w:val="16"/>
    </w:rPr>
  </w:style>
  <w:style w:type="paragraph" w:styleId="CommentText">
    <w:name w:val="annotation text"/>
    <w:basedOn w:val="Normal"/>
    <w:link w:val="CommentTextChar"/>
    <w:uiPriority w:val="99"/>
    <w:unhideWhenUsed/>
    <w:rsid w:val="00334B97"/>
    <w:rPr>
      <w:sz w:val="20"/>
    </w:rPr>
  </w:style>
  <w:style w:type="character" w:customStyle="1" w:styleId="CommentTextChar">
    <w:name w:val="Comment Text Char"/>
    <w:basedOn w:val="DefaultParagraphFont"/>
    <w:link w:val="CommentText"/>
    <w:uiPriority w:val="99"/>
    <w:rsid w:val="00334B97"/>
  </w:style>
  <w:style w:type="paragraph" w:styleId="CommentSubject">
    <w:name w:val="annotation subject"/>
    <w:basedOn w:val="CommentText"/>
    <w:next w:val="CommentText"/>
    <w:link w:val="CommentSubjectChar"/>
    <w:uiPriority w:val="99"/>
    <w:semiHidden/>
    <w:unhideWhenUsed/>
    <w:rsid w:val="00334B97"/>
    <w:rPr>
      <w:b/>
      <w:bCs/>
    </w:rPr>
  </w:style>
  <w:style w:type="character" w:customStyle="1" w:styleId="CommentSubjectChar">
    <w:name w:val="Comment Subject Char"/>
    <w:link w:val="CommentSubject"/>
    <w:uiPriority w:val="99"/>
    <w:semiHidden/>
    <w:rsid w:val="00334B97"/>
    <w:rPr>
      <w:b/>
      <w:bCs/>
    </w:rPr>
  </w:style>
  <w:style w:type="character" w:customStyle="1" w:styleId="Mention10">
    <w:name w:val="Mention1"/>
    <w:uiPriority w:val="99"/>
    <w:semiHidden/>
    <w:unhideWhenUsed/>
    <w:rsid w:val="00475A15"/>
    <w:rPr>
      <w:color w:val="2B579A"/>
      <w:shd w:val="clear" w:color="auto" w:fill="E6E6E6"/>
    </w:rPr>
  </w:style>
  <w:style w:type="table" w:styleId="MediumGrid3-Accent1">
    <w:name w:val="Medium Grid 3 Accent 1"/>
    <w:basedOn w:val="TableNormal"/>
    <w:uiPriority w:val="69"/>
    <w:rsid w:val="005051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FootnoteText">
    <w:name w:val="footnote text"/>
    <w:basedOn w:val="Normal"/>
    <w:link w:val="FootnoteTextChar"/>
    <w:uiPriority w:val="99"/>
    <w:semiHidden/>
    <w:unhideWhenUsed/>
    <w:rsid w:val="00104557"/>
    <w:rPr>
      <w:sz w:val="20"/>
    </w:rPr>
  </w:style>
  <w:style w:type="character" w:customStyle="1" w:styleId="FootnoteTextChar">
    <w:name w:val="Footnote Text Char"/>
    <w:basedOn w:val="DefaultParagraphFont"/>
    <w:link w:val="FootnoteText"/>
    <w:uiPriority w:val="99"/>
    <w:semiHidden/>
    <w:rsid w:val="00104557"/>
  </w:style>
  <w:style w:type="character" w:styleId="FootnoteReference">
    <w:name w:val="footnote reference"/>
    <w:uiPriority w:val="99"/>
    <w:semiHidden/>
    <w:unhideWhenUsed/>
    <w:rsid w:val="00104557"/>
    <w:rPr>
      <w:vertAlign w:val="superscript"/>
    </w:rPr>
  </w:style>
  <w:style w:type="paragraph" w:styleId="NormalWeb">
    <w:name w:val="Normal (Web)"/>
    <w:basedOn w:val="Normal"/>
    <w:uiPriority w:val="99"/>
    <w:semiHidden/>
    <w:unhideWhenUsed/>
    <w:rsid w:val="00B7545E"/>
    <w:pPr>
      <w:spacing w:before="100" w:beforeAutospacing="1" w:after="100" w:afterAutospacing="1"/>
    </w:pPr>
    <w:rPr>
      <w:rFonts w:eastAsiaTheme="minorHAnsi"/>
      <w:szCs w:val="24"/>
    </w:rPr>
  </w:style>
  <w:style w:type="character" w:styleId="LineNumber">
    <w:name w:val="line number"/>
    <w:basedOn w:val="DefaultParagraphFont"/>
    <w:uiPriority w:val="99"/>
    <w:semiHidden/>
    <w:unhideWhenUsed/>
    <w:rsid w:val="00AB7D67"/>
  </w:style>
  <w:style w:type="paragraph" w:styleId="HTMLPreformatted">
    <w:name w:val="HTML Preformatted"/>
    <w:basedOn w:val="Normal"/>
    <w:link w:val="HTMLPreformattedChar"/>
    <w:uiPriority w:val="99"/>
    <w:unhideWhenUsed/>
    <w:rsid w:val="00341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pt-BR" w:eastAsia="pt-BR"/>
    </w:rPr>
  </w:style>
  <w:style w:type="character" w:customStyle="1" w:styleId="HTMLPreformattedChar">
    <w:name w:val="HTML Preformatted Char"/>
    <w:basedOn w:val="DefaultParagraphFont"/>
    <w:link w:val="HTMLPreformatted"/>
    <w:uiPriority w:val="99"/>
    <w:rsid w:val="00341862"/>
    <w:rPr>
      <w:rFonts w:ascii="Courier New" w:eastAsia="Times New Roman" w:hAnsi="Courier New" w:cs="Courier New"/>
      <w:lang w:val="pt-BR" w:eastAsia="pt-BR"/>
    </w:rPr>
  </w:style>
  <w:style w:type="character" w:customStyle="1" w:styleId="FooterChar">
    <w:name w:val="Footer Char"/>
    <w:basedOn w:val="DefaultParagraphFont"/>
    <w:link w:val="Footer"/>
    <w:uiPriority w:val="99"/>
    <w:rsid w:val="0093035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5F9"/>
    <w:rPr>
      <w:sz w:val="24"/>
    </w:rPr>
  </w:style>
  <w:style w:type="paragraph" w:styleId="Heading1">
    <w:name w:val="heading 1"/>
    <w:basedOn w:val="Normal"/>
    <w:next w:val="Normal"/>
    <w:qFormat/>
    <w:rsid w:val="00CD25F9"/>
    <w:pPr>
      <w:keepNext/>
      <w:numPr>
        <w:numId w:val="4"/>
      </w:numPr>
      <w:tabs>
        <w:tab w:val="clear" w:pos="522"/>
        <w:tab w:val="num" w:pos="510"/>
      </w:tabs>
      <w:spacing w:before="240" w:after="240"/>
      <w:ind w:left="510" w:hanging="510"/>
      <w:outlineLvl w:val="0"/>
    </w:pPr>
    <w:rPr>
      <w:b/>
      <w:kern w:val="28"/>
      <w:sz w:val="28"/>
    </w:rPr>
  </w:style>
  <w:style w:type="paragraph" w:styleId="Heading2">
    <w:name w:val="heading 2"/>
    <w:basedOn w:val="Normal"/>
    <w:next w:val="Normal"/>
    <w:qFormat/>
    <w:rsid w:val="00CD25F9"/>
    <w:pPr>
      <w:keepNext/>
      <w:numPr>
        <w:ilvl w:val="1"/>
        <w:numId w:val="4"/>
      </w:numPr>
      <w:spacing w:before="240" w:after="240"/>
      <w:outlineLvl w:val="1"/>
    </w:pPr>
    <w:rPr>
      <w:b/>
    </w:rPr>
  </w:style>
  <w:style w:type="paragraph" w:styleId="Heading3">
    <w:name w:val="heading 3"/>
    <w:basedOn w:val="Heading2"/>
    <w:next w:val="Normal"/>
    <w:link w:val="Heading3Char"/>
    <w:qFormat/>
    <w:rsid w:val="000D3A2E"/>
    <w:pPr>
      <w:numPr>
        <w:ilvl w:val="2"/>
      </w:numPr>
      <w:tabs>
        <w:tab w:val="clear" w:pos="1080"/>
        <w:tab w:val="num" w:pos="1350"/>
      </w:tabs>
      <w:ind w:left="1350"/>
      <w:outlineLvl w:val="2"/>
    </w:pPr>
  </w:style>
  <w:style w:type="paragraph" w:styleId="Heading4">
    <w:name w:val="heading 4"/>
    <w:basedOn w:val="Normal"/>
    <w:next w:val="Normal"/>
    <w:qFormat/>
    <w:rsid w:val="00CD25F9"/>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25F9"/>
    <w:pPr>
      <w:tabs>
        <w:tab w:val="center" w:pos="4320"/>
        <w:tab w:val="right" w:pos="8640"/>
      </w:tabs>
    </w:pPr>
  </w:style>
  <w:style w:type="paragraph" w:styleId="Footer">
    <w:name w:val="footer"/>
    <w:basedOn w:val="Normal"/>
    <w:link w:val="FooterChar"/>
    <w:uiPriority w:val="99"/>
    <w:rsid w:val="00CD25F9"/>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TOCHeading">
    <w:name w:val="TOC Heading"/>
    <w:basedOn w:val="Heading1"/>
    <w:next w:val="Normal"/>
    <w:uiPriority w:val="39"/>
    <w:unhideWhenUsed/>
    <w:qFormat/>
    <w:rsid w:val="005B14BD"/>
    <w:pPr>
      <w:keepLines/>
      <w:numPr>
        <w:numId w:val="0"/>
      </w:numPr>
      <w:spacing w:after="0" w:line="259" w:lineRule="auto"/>
      <w:outlineLvl w:val="9"/>
    </w:pPr>
    <w:rPr>
      <w:rFonts w:ascii="Cambria" w:eastAsia="MS Gothic" w:hAnsi="Cambria"/>
      <w:b w:val="0"/>
      <w:color w:val="365F91"/>
      <w:kern w:val="0"/>
      <w:sz w:val="32"/>
      <w:szCs w:val="32"/>
      <w:lang w:eastAsia="ja-JP"/>
    </w:rPr>
  </w:style>
  <w:style w:type="paragraph" w:styleId="TOC1">
    <w:name w:val="toc 1"/>
    <w:aliases w:val="Table of Contents"/>
    <w:basedOn w:val="Normal"/>
    <w:next w:val="Normal"/>
    <w:autoRedefine/>
    <w:uiPriority w:val="39"/>
    <w:unhideWhenUsed/>
    <w:rsid w:val="005B14BD"/>
  </w:style>
  <w:style w:type="character" w:styleId="Hyperlink">
    <w:name w:val="Hyperlink"/>
    <w:uiPriority w:val="99"/>
    <w:unhideWhenUsed/>
    <w:rsid w:val="005B14BD"/>
    <w:rPr>
      <w:color w:val="0000FF"/>
      <w:u w:val="single"/>
    </w:rPr>
  </w:style>
  <w:style w:type="paragraph" w:styleId="ListParagraph">
    <w:name w:val="List Paragraph"/>
    <w:basedOn w:val="Normal"/>
    <w:uiPriority w:val="34"/>
    <w:qFormat/>
    <w:rsid w:val="00EA6D08"/>
    <w:pPr>
      <w:ind w:leftChars="400" w:left="840"/>
    </w:pPr>
  </w:style>
  <w:style w:type="table" w:styleId="TableGrid">
    <w:name w:val="Table Grid"/>
    <w:basedOn w:val="TableNormal"/>
    <w:uiPriority w:val="59"/>
    <w:rsid w:val="00A96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BE389F"/>
    <w:pPr>
      <w:numPr>
        <w:numId w:val="49"/>
      </w:numPr>
      <w:tabs>
        <w:tab w:val="left" w:pos="880"/>
        <w:tab w:val="right" w:leader="dot" w:pos="9620"/>
      </w:tabs>
    </w:pPr>
  </w:style>
  <w:style w:type="paragraph" w:styleId="TOC3">
    <w:name w:val="toc 3"/>
    <w:basedOn w:val="Normal"/>
    <w:next w:val="Normal"/>
    <w:autoRedefine/>
    <w:uiPriority w:val="39"/>
    <w:unhideWhenUsed/>
    <w:rsid w:val="00BE389F"/>
    <w:pPr>
      <w:tabs>
        <w:tab w:val="left" w:pos="1320"/>
        <w:tab w:val="right" w:leader="dot" w:pos="9620"/>
      </w:tabs>
      <w:ind w:leftChars="200" w:left="480"/>
    </w:pPr>
  </w:style>
  <w:style w:type="paragraph" w:customStyle="1" w:styleId="Default">
    <w:name w:val="Default"/>
    <w:rsid w:val="00D131D4"/>
    <w:pPr>
      <w:autoSpaceDE w:val="0"/>
      <w:autoSpaceDN w:val="0"/>
      <w:adjustRightInd w:val="0"/>
    </w:pPr>
    <w:rPr>
      <w:color w:val="000000"/>
      <w:sz w:val="24"/>
      <w:szCs w:val="24"/>
      <w:lang w:val="en-GB"/>
    </w:rPr>
  </w:style>
  <w:style w:type="character" w:customStyle="1" w:styleId="Heading3Char">
    <w:name w:val="Heading 3 Char"/>
    <w:link w:val="Heading3"/>
    <w:rsid w:val="00E503FB"/>
    <w:rPr>
      <w:b/>
      <w:sz w:val="24"/>
    </w:rPr>
  </w:style>
  <w:style w:type="character" w:customStyle="1" w:styleId="Mention1">
    <w:name w:val="Mention1"/>
    <w:uiPriority w:val="99"/>
    <w:semiHidden/>
    <w:unhideWhenUsed/>
    <w:rsid w:val="000D3A2E"/>
    <w:rPr>
      <w:color w:val="2B579A"/>
      <w:shd w:val="clear" w:color="auto" w:fill="E6E6E6"/>
    </w:rPr>
  </w:style>
  <w:style w:type="character" w:styleId="FollowedHyperlink">
    <w:name w:val="FollowedHyperlink"/>
    <w:uiPriority w:val="99"/>
    <w:semiHidden/>
    <w:unhideWhenUsed/>
    <w:rsid w:val="000D3A2E"/>
    <w:rPr>
      <w:color w:val="800080"/>
      <w:u w:val="single"/>
    </w:rPr>
  </w:style>
  <w:style w:type="character" w:customStyle="1" w:styleId="apple-converted-space">
    <w:name w:val="apple-converted-space"/>
    <w:rsid w:val="000D3A2E"/>
  </w:style>
  <w:style w:type="paragraph" w:styleId="Revision">
    <w:name w:val="Revision"/>
    <w:hidden/>
    <w:uiPriority w:val="99"/>
    <w:semiHidden/>
    <w:rsid w:val="000D3A2E"/>
    <w:rPr>
      <w:sz w:val="24"/>
    </w:rPr>
  </w:style>
  <w:style w:type="character" w:styleId="CommentReference">
    <w:name w:val="annotation reference"/>
    <w:uiPriority w:val="99"/>
    <w:semiHidden/>
    <w:unhideWhenUsed/>
    <w:rsid w:val="00334B97"/>
    <w:rPr>
      <w:sz w:val="16"/>
      <w:szCs w:val="16"/>
    </w:rPr>
  </w:style>
  <w:style w:type="paragraph" w:styleId="CommentText">
    <w:name w:val="annotation text"/>
    <w:basedOn w:val="Normal"/>
    <w:link w:val="CommentTextChar"/>
    <w:uiPriority w:val="99"/>
    <w:unhideWhenUsed/>
    <w:rsid w:val="00334B97"/>
    <w:rPr>
      <w:sz w:val="20"/>
    </w:rPr>
  </w:style>
  <w:style w:type="character" w:customStyle="1" w:styleId="CommentTextChar">
    <w:name w:val="Comment Text Char"/>
    <w:basedOn w:val="DefaultParagraphFont"/>
    <w:link w:val="CommentText"/>
    <w:uiPriority w:val="99"/>
    <w:rsid w:val="00334B97"/>
  </w:style>
  <w:style w:type="paragraph" w:styleId="CommentSubject">
    <w:name w:val="annotation subject"/>
    <w:basedOn w:val="CommentText"/>
    <w:next w:val="CommentText"/>
    <w:link w:val="CommentSubjectChar"/>
    <w:uiPriority w:val="99"/>
    <w:semiHidden/>
    <w:unhideWhenUsed/>
    <w:rsid w:val="00334B97"/>
    <w:rPr>
      <w:b/>
      <w:bCs/>
    </w:rPr>
  </w:style>
  <w:style w:type="character" w:customStyle="1" w:styleId="CommentSubjectChar">
    <w:name w:val="Comment Subject Char"/>
    <w:link w:val="CommentSubject"/>
    <w:uiPriority w:val="99"/>
    <w:semiHidden/>
    <w:rsid w:val="00334B97"/>
    <w:rPr>
      <w:b/>
      <w:bCs/>
    </w:rPr>
  </w:style>
  <w:style w:type="character" w:customStyle="1" w:styleId="Mention10">
    <w:name w:val="Mention1"/>
    <w:uiPriority w:val="99"/>
    <w:semiHidden/>
    <w:unhideWhenUsed/>
    <w:rsid w:val="00475A15"/>
    <w:rPr>
      <w:color w:val="2B579A"/>
      <w:shd w:val="clear" w:color="auto" w:fill="E6E6E6"/>
    </w:rPr>
  </w:style>
  <w:style w:type="table" w:styleId="MediumGrid3-Accent1">
    <w:name w:val="Medium Grid 3 Accent 1"/>
    <w:basedOn w:val="TableNormal"/>
    <w:uiPriority w:val="69"/>
    <w:rsid w:val="005051C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FootnoteText">
    <w:name w:val="footnote text"/>
    <w:basedOn w:val="Normal"/>
    <w:link w:val="FootnoteTextChar"/>
    <w:uiPriority w:val="99"/>
    <w:semiHidden/>
    <w:unhideWhenUsed/>
    <w:rsid w:val="00104557"/>
    <w:rPr>
      <w:sz w:val="20"/>
    </w:rPr>
  </w:style>
  <w:style w:type="character" w:customStyle="1" w:styleId="FootnoteTextChar">
    <w:name w:val="Footnote Text Char"/>
    <w:basedOn w:val="DefaultParagraphFont"/>
    <w:link w:val="FootnoteText"/>
    <w:uiPriority w:val="99"/>
    <w:semiHidden/>
    <w:rsid w:val="00104557"/>
  </w:style>
  <w:style w:type="character" w:styleId="FootnoteReference">
    <w:name w:val="footnote reference"/>
    <w:uiPriority w:val="99"/>
    <w:semiHidden/>
    <w:unhideWhenUsed/>
    <w:rsid w:val="00104557"/>
    <w:rPr>
      <w:vertAlign w:val="superscript"/>
    </w:rPr>
  </w:style>
  <w:style w:type="paragraph" w:styleId="NormalWeb">
    <w:name w:val="Normal (Web)"/>
    <w:basedOn w:val="Normal"/>
    <w:uiPriority w:val="99"/>
    <w:semiHidden/>
    <w:unhideWhenUsed/>
    <w:rsid w:val="00B7545E"/>
    <w:pPr>
      <w:spacing w:before="100" w:beforeAutospacing="1" w:after="100" w:afterAutospacing="1"/>
    </w:pPr>
    <w:rPr>
      <w:rFonts w:eastAsiaTheme="minorHAnsi"/>
      <w:szCs w:val="24"/>
    </w:rPr>
  </w:style>
  <w:style w:type="character" w:styleId="LineNumber">
    <w:name w:val="line number"/>
    <w:basedOn w:val="DefaultParagraphFont"/>
    <w:uiPriority w:val="99"/>
    <w:semiHidden/>
    <w:unhideWhenUsed/>
    <w:rsid w:val="00AB7D67"/>
  </w:style>
  <w:style w:type="paragraph" w:styleId="HTMLPreformatted">
    <w:name w:val="HTML Preformatted"/>
    <w:basedOn w:val="Normal"/>
    <w:link w:val="HTMLPreformattedChar"/>
    <w:uiPriority w:val="99"/>
    <w:unhideWhenUsed/>
    <w:rsid w:val="00341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val="pt-BR" w:eastAsia="pt-BR"/>
    </w:rPr>
  </w:style>
  <w:style w:type="character" w:customStyle="1" w:styleId="HTMLPreformattedChar">
    <w:name w:val="HTML Preformatted Char"/>
    <w:basedOn w:val="DefaultParagraphFont"/>
    <w:link w:val="HTMLPreformatted"/>
    <w:uiPriority w:val="99"/>
    <w:rsid w:val="00341862"/>
    <w:rPr>
      <w:rFonts w:ascii="Courier New" w:eastAsia="Times New Roman" w:hAnsi="Courier New" w:cs="Courier New"/>
      <w:lang w:val="pt-BR" w:eastAsia="pt-BR"/>
    </w:rPr>
  </w:style>
  <w:style w:type="character" w:customStyle="1" w:styleId="FooterChar">
    <w:name w:val="Footer Char"/>
    <w:basedOn w:val="DefaultParagraphFont"/>
    <w:link w:val="Footer"/>
    <w:uiPriority w:val="99"/>
    <w:rsid w:val="0093035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02257">
      <w:bodyDiv w:val="1"/>
      <w:marLeft w:val="0"/>
      <w:marRight w:val="0"/>
      <w:marTop w:val="0"/>
      <w:marBottom w:val="0"/>
      <w:divBdr>
        <w:top w:val="none" w:sz="0" w:space="0" w:color="auto"/>
        <w:left w:val="none" w:sz="0" w:space="0" w:color="auto"/>
        <w:bottom w:val="none" w:sz="0" w:space="0" w:color="auto"/>
        <w:right w:val="none" w:sz="0" w:space="0" w:color="auto"/>
      </w:divBdr>
    </w:div>
    <w:div w:id="306670967">
      <w:bodyDiv w:val="1"/>
      <w:marLeft w:val="0"/>
      <w:marRight w:val="0"/>
      <w:marTop w:val="0"/>
      <w:marBottom w:val="0"/>
      <w:divBdr>
        <w:top w:val="none" w:sz="0" w:space="0" w:color="auto"/>
        <w:left w:val="none" w:sz="0" w:space="0" w:color="auto"/>
        <w:bottom w:val="none" w:sz="0" w:space="0" w:color="auto"/>
        <w:right w:val="none" w:sz="0" w:space="0" w:color="auto"/>
      </w:divBdr>
    </w:div>
    <w:div w:id="475145532">
      <w:bodyDiv w:val="1"/>
      <w:marLeft w:val="0"/>
      <w:marRight w:val="0"/>
      <w:marTop w:val="0"/>
      <w:marBottom w:val="0"/>
      <w:divBdr>
        <w:top w:val="none" w:sz="0" w:space="0" w:color="auto"/>
        <w:left w:val="none" w:sz="0" w:space="0" w:color="auto"/>
        <w:bottom w:val="none" w:sz="0" w:space="0" w:color="auto"/>
        <w:right w:val="none" w:sz="0" w:space="0" w:color="auto"/>
      </w:divBdr>
    </w:div>
    <w:div w:id="515115137">
      <w:bodyDiv w:val="1"/>
      <w:marLeft w:val="0"/>
      <w:marRight w:val="0"/>
      <w:marTop w:val="0"/>
      <w:marBottom w:val="0"/>
      <w:divBdr>
        <w:top w:val="none" w:sz="0" w:space="0" w:color="auto"/>
        <w:left w:val="none" w:sz="0" w:space="0" w:color="auto"/>
        <w:bottom w:val="none" w:sz="0" w:space="0" w:color="auto"/>
        <w:right w:val="none" w:sz="0" w:space="0" w:color="auto"/>
      </w:divBdr>
    </w:div>
    <w:div w:id="676079061">
      <w:bodyDiv w:val="1"/>
      <w:marLeft w:val="0"/>
      <w:marRight w:val="0"/>
      <w:marTop w:val="0"/>
      <w:marBottom w:val="0"/>
      <w:divBdr>
        <w:top w:val="none" w:sz="0" w:space="0" w:color="auto"/>
        <w:left w:val="none" w:sz="0" w:space="0" w:color="auto"/>
        <w:bottom w:val="none" w:sz="0" w:space="0" w:color="auto"/>
        <w:right w:val="none" w:sz="0" w:space="0" w:color="auto"/>
      </w:divBdr>
    </w:div>
    <w:div w:id="691152466">
      <w:bodyDiv w:val="1"/>
      <w:marLeft w:val="0"/>
      <w:marRight w:val="0"/>
      <w:marTop w:val="0"/>
      <w:marBottom w:val="0"/>
      <w:divBdr>
        <w:top w:val="none" w:sz="0" w:space="0" w:color="auto"/>
        <w:left w:val="none" w:sz="0" w:space="0" w:color="auto"/>
        <w:bottom w:val="none" w:sz="0" w:space="0" w:color="auto"/>
        <w:right w:val="none" w:sz="0" w:space="0" w:color="auto"/>
      </w:divBdr>
    </w:div>
    <w:div w:id="766190830">
      <w:bodyDiv w:val="1"/>
      <w:marLeft w:val="0"/>
      <w:marRight w:val="0"/>
      <w:marTop w:val="0"/>
      <w:marBottom w:val="0"/>
      <w:divBdr>
        <w:top w:val="none" w:sz="0" w:space="0" w:color="auto"/>
        <w:left w:val="none" w:sz="0" w:space="0" w:color="auto"/>
        <w:bottom w:val="none" w:sz="0" w:space="0" w:color="auto"/>
        <w:right w:val="none" w:sz="0" w:space="0" w:color="auto"/>
      </w:divBdr>
    </w:div>
    <w:div w:id="926112179">
      <w:bodyDiv w:val="1"/>
      <w:marLeft w:val="0"/>
      <w:marRight w:val="0"/>
      <w:marTop w:val="0"/>
      <w:marBottom w:val="0"/>
      <w:divBdr>
        <w:top w:val="none" w:sz="0" w:space="0" w:color="auto"/>
        <w:left w:val="none" w:sz="0" w:space="0" w:color="auto"/>
        <w:bottom w:val="none" w:sz="0" w:space="0" w:color="auto"/>
        <w:right w:val="none" w:sz="0" w:space="0" w:color="auto"/>
      </w:divBdr>
    </w:div>
    <w:div w:id="953293601">
      <w:bodyDiv w:val="1"/>
      <w:marLeft w:val="0"/>
      <w:marRight w:val="0"/>
      <w:marTop w:val="0"/>
      <w:marBottom w:val="0"/>
      <w:divBdr>
        <w:top w:val="none" w:sz="0" w:space="0" w:color="auto"/>
        <w:left w:val="none" w:sz="0" w:space="0" w:color="auto"/>
        <w:bottom w:val="none" w:sz="0" w:space="0" w:color="auto"/>
        <w:right w:val="none" w:sz="0" w:space="0" w:color="auto"/>
      </w:divBdr>
    </w:div>
    <w:div w:id="1091002525">
      <w:bodyDiv w:val="1"/>
      <w:marLeft w:val="0"/>
      <w:marRight w:val="0"/>
      <w:marTop w:val="0"/>
      <w:marBottom w:val="0"/>
      <w:divBdr>
        <w:top w:val="none" w:sz="0" w:space="0" w:color="auto"/>
        <w:left w:val="none" w:sz="0" w:space="0" w:color="auto"/>
        <w:bottom w:val="none" w:sz="0" w:space="0" w:color="auto"/>
        <w:right w:val="none" w:sz="0" w:space="0" w:color="auto"/>
      </w:divBdr>
    </w:div>
    <w:div w:id="1290238017">
      <w:bodyDiv w:val="1"/>
      <w:marLeft w:val="0"/>
      <w:marRight w:val="0"/>
      <w:marTop w:val="0"/>
      <w:marBottom w:val="0"/>
      <w:divBdr>
        <w:top w:val="none" w:sz="0" w:space="0" w:color="auto"/>
        <w:left w:val="none" w:sz="0" w:space="0" w:color="auto"/>
        <w:bottom w:val="none" w:sz="0" w:space="0" w:color="auto"/>
        <w:right w:val="none" w:sz="0" w:space="0" w:color="auto"/>
      </w:divBdr>
    </w:div>
    <w:div w:id="1429809596">
      <w:bodyDiv w:val="1"/>
      <w:marLeft w:val="0"/>
      <w:marRight w:val="0"/>
      <w:marTop w:val="0"/>
      <w:marBottom w:val="0"/>
      <w:divBdr>
        <w:top w:val="none" w:sz="0" w:space="0" w:color="auto"/>
        <w:left w:val="none" w:sz="0" w:space="0" w:color="auto"/>
        <w:bottom w:val="none" w:sz="0" w:space="0" w:color="auto"/>
        <w:right w:val="none" w:sz="0" w:space="0" w:color="auto"/>
      </w:divBdr>
    </w:div>
    <w:div w:id="1447583890">
      <w:bodyDiv w:val="1"/>
      <w:marLeft w:val="0"/>
      <w:marRight w:val="0"/>
      <w:marTop w:val="0"/>
      <w:marBottom w:val="0"/>
      <w:divBdr>
        <w:top w:val="none" w:sz="0" w:space="0" w:color="auto"/>
        <w:left w:val="none" w:sz="0" w:space="0" w:color="auto"/>
        <w:bottom w:val="none" w:sz="0" w:space="0" w:color="auto"/>
        <w:right w:val="none" w:sz="0" w:space="0" w:color="auto"/>
      </w:divBdr>
    </w:div>
    <w:div w:id="1496074030">
      <w:bodyDiv w:val="1"/>
      <w:marLeft w:val="0"/>
      <w:marRight w:val="0"/>
      <w:marTop w:val="0"/>
      <w:marBottom w:val="0"/>
      <w:divBdr>
        <w:top w:val="none" w:sz="0" w:space="0" w:color="auto"/>
        <w:left w:val="none" w:sz="0" w:space="0" w:color="auto"/>
        <w:bottom w:val="none" w:sz="0" w:space="0" w:color="auto"/>
        <w:right w:val="none" w:sz="0" w:space="0" w:color="auto"/>
      </w:divBdr>
    </w:div>
    <w:div w:id="1756122127">
      <w:bodyDiv w:val="1"/>
      <w:marLeft w:val="0"/>
      <w:marRight w:val="0"/>
      <w:marTop w:val="0"/>
      <w:marBottom w:val="0"/>
      <w:divBdr>
        <w:top w:val="none" w:sz="0" w:space="0" w:color="auto"/>
        <w:left w:val="none" w:sz="0" w:space="0" w:color="auto"/>
        <w:bottom w:val="none" w:sz="0" w:space="0" w:color="auto"/>
        <w:right w:val="none" w:sz="0" w:space="0" w:color="auto"/>
      </w:divBdr>
    </w:div>
    <w:div w:id="2000451553">
      <w:bodyDiv w:val="1"/>
      <w:marLeft w:val="0"/>
      <w:marRight w:val="0"/>
      <w:marTop w:val="0"/>
      <w:marBottom w:val="0"/>
      <w:divBdr>
        <w:top w:val="none" w:sz="0" w:space="0" w:color="auto"/>
        <w:left w:val="none" w:sz="0" w:space="0" w:color="auto"/>
        <w:bottom w:val="none" w:sz="0" w:space="0" w:color="auto"/>
        <w:right w:val="none" w:sz="0" w:space="0" w:color="auto"/>
      </w:divBdr>
    </w:div>
    <w:div w:id="212357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ctti-clinicaltrials.org/sites/www.ctti-clinicaltrials.org/files/recommendations/registrytrials-recs.pdf" TargetMode="External"/><Relationship Id="rId26" Type="http://schemas.openxmlformats.org/officeDocument/2006/relationships/hyperlink" Target="http://www.nejm.org/doi/full/10.1056/NEJMoa1516333" TargetMode="External"/><Relationship Id="rId3" Type="http://schemas.openxmlformats.org/officeDocument/2006/relationships/styles" Target="styles.xml"/><Relationship Id="rId21" Type="http://schemas.openxmlformats.org/officeDocument/2006/relationships/hyperlink" Target="http://ec.europa.eu/health/ehealth/docs/ev_20151123_co05_en.pdf" TargetMode="External"/><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fda.gov/ucm/groups/fdagov-public/@fdagov-meddev-gen/documents/document/ucm393994.pdf" TargetMode="External"/><Relationship Id="rId25" Type="http://schemas.openxmlformats.org/officeDocument/2006/relationships/hyperlink" Target="http://www.fda.gov/downloads/medicaldevices/deviceregulationandguidance/guidancedocuments/ucm446680.pdf"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ss.gov.au/nss/home.nsf/533222ebfd5ac03aca25711000044c9e/91242a5a14b12e26ca257ba8007b0819/$FILE/probabilistic%20datalink%204p%20w.pdf" TargetMode="External"/><Relationship Id="rId20" Type="http://schemas.openxmlformats.org/officeDocument/2006/relationships/hyperlink" Target="http://www.fda.gov/ucm/groups/fdagov-public/@fdagov-meddev-gen/documents/document/ucm517504.pdf" TargetMode="External"/><Relationship Id="rId29" Type="http://schemas.openxmlformats.org/officeDocument/2006/relationships/hyperlink" Target="https://www.fda.gov/downloads/AboutFDA/CentersOffices/CDRH/CDRHReports/UCM301924.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pcori.org/sites/default/files/Standards-in-the-Conduct-of-Registry-Studies-for-Patient-Centered-Outcomes-Research1.pdf" TargetMode="External"/><Relationship Id="rId32" Type="http://schemas.openxmlformats.org/officeDocument/2006/relationships/hyperlink" Target="http://www.njrcentre.org.uk/njrcentre/Patients/IntroductiontotheNJR/NJRconsent/tabid/92/Default.aspx" TargetMode="External"/><Relationship Id="rId5" Type="http://schemas.openxmlformats.org/officeDocument/2006/relationships/settings" Target="settings.xml"/><Relationship Id="rId15" Type="http://schemas.openxmlformats.org/officeDocument/2006/relationships/hyperlink" Target="http://www.fda.gov/downloads/AboutFDA/CentersOffices/OfficeofMedicalProductsandTobacco/CDRH/CDRHReports/UCM459368.pdf" TargetMode="External"/><Relationship Id="rId23" Type="http://schemas.openxmlformats.org/officeDocument/2006/relationships/hyperlink" Target="http://ec.europa.eu/consumers/sectors/medical-devices/files/meddev/2_4_1_rev_9_classification_en.pdf" TargetMode="External"/><Relationship Id="rId28" Type="http://schemas.openxmlformats.org/officeDocument/2006/relationships/hyperlink" Target="http://www.fda.gov/downloads/AboutFDA/CentersOffices/OfficeofMedicalProductsandTobacco/CDRH/CDRHReports/UCM301924.pdf"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ncbi.nlm.nih.gov/books/NBK253312/" TargetMode="External"/><Relationship Id="rId31" Type="http://schemas.openxmlformats.org/officeDocument/2006/relationships/hyperlink" Target="https://www.fda.gov/downloads/MedicalDevices/DeviceRegulationandGuidance/GuidanceDocuments/UCM512648.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 Id="rId22" Type="http://schemas.openxmlformats.org/officeDocument/2006/relationships/hyperlink" Target="http://ec.europa.eu/health/ehealth/docs/ev_20151123_co05_en.pdf" TargetMode="External"/><Relationship Id="rId27" Type="http://schemas.openxmlformats.org/officeDocument/2006/relationships/hyperlink" Target="http://evtoday.com/pdfs/et0816_RU_FDA.pdf" TargetMode="External"/><Relationship Id="rId30" Type="http://schemas.openxmlformats.org/officeDocument/2006/relationships/hyperlink" Target="http://www.fda.gov/downloads/AboutFDA/CentersOffices/OfficeofMedicalProductsandTobacco/CDRH/CDRHReports/UCM435112.pdf"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12B4C-1036-4AF2-AD5B-8683BB9F2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7</TotalTime>
  <Pages>17</Pages>
  <Words>5723</Words>
  <Characters>39242</Characters>
  <Application>Microsoft Office Word</Application>
  <DocSecurity>0</DocSecurity>
  <Lines>327</Lines>
  <Paragraphs>89</Paragraphs>
  <ScaleCrop>false</ScaleCrop>
  <HeadingPairs>
    <vt:vector size="8" baseType="variant">
      <vt:variant>
        <vt:lpstr>Title</vt:lpstr>
      </vt:variant>
      <vt:variant>
        <vt:i4>1</vt:i4>
      </vt:variant>
      <vt:variant>
        <vt:lpstr>タイトル</vt:lpstr>
      </vt:variant>
      <vt:variant>
        <vt:i4>1</vt:i4>
      </vt:variant>
      <vt:variant>
        <vt:lpstr>Titolo</vt:lpstr>
      </vt:variant>
      <vt:variant>
        <vt:i4>1</vt:i4>
      </vt:variant>
      <vt:variant>
        <vt:lpstr>Titel</vt:lpstr>
      </vt:variant>
      <vt:variant>
        <vt:i4>1</vt:i4>
      </vt:variant>
    </vt:vector>
  </HeadingPairs>
  <TitlesOfParts>
    <vt:vector size="4" baseType="lpstr">
      <vt:lpstr>Proposed Document: Tools for Assessing the Usability of Registries in Support of Regulatory Decision-Making</vt:lpstr>
      <vt:lpstr>Proposed Document: Tools for Assessing the Usability of Registries in Support of Regulatory Decision-Making</vt:lpstr>
      <vt:lpstr>IMDRF Document Template</vt:lpstr>
      <vt:lpstr>IMDRF Document Template</vt:lpstr>
    </vt:vector>
  </TitlesOfParts>
  <Company>IMDRF</Company>
  <LinksUpToDate>false</LinksUpToDate>
  <CharactersWithSpaces>44876</CharactersWithSpaces>
  <SharedDoc>false</SharedDoc>
  <HLinks>
    <vt:vector size="192" baseType="variant">
      <vt:variant>
        <vt:i4>6094927</vt:i4>
      </vt:variant>
      <vt:variant>
        <vt:i4>184</vt:i4>
      </vt:variant>
      <vt:variant>
        <vt:i4>0</vt:i4>
      </vt:variant>
      <vt:variant>
        <vt:i4>5</vt:i4>
      </vt:variant>
      <vt:variant>
        <vt:lpwstr>http://www.njrcentre.org.uk/njrcentre/Patients/IntroductiontotheNJR/NJRconsent/tabid/92/Default.aspx</vt:lpwstr>
      </vt:variant>
      <vt:variant>
        <vt:lpwstr/>
      </vt:variant>
      <vt:variant>
        <vt:i4>1638494</vt:i4>
      </vt:variant>
      <vt:variant>
        <vt:i4>181</vt:i4>
      </vt:variant>
      <vt:variant>
        <vt:i4>0</vt:i4>
      </vt:variant>
      <vt:variant>
        <vt:i4>5</vt:i4>
      </vt:variant>
      <vt:variant>
        <vt:lpwstr>https://www.ncbi.nlm.nih.gov/books/NBK253312/</vt:lpwstr>
      </vt:variant>
      <vt:variant>
        <vt:lpwstr/>
      </vt:variant>
      <vt:variant>
        <vt:i4>4194405</vt:i4>
      </vt:variant>
      <vt:variant>
        <vt:i4>178</vt:i4>
      </vt:variant>
      <vt:variant>
        <vt:i4>0</vt:i4>
      </vt:variant>
      <vt:variant>
        <vt:i4>5</vt:i4>
      </vt:variant>
      <vt:variant>
        <vt:lpwstr>http://ec.europa.eu/health/ehealth/docs/ev_20151123_co05_en.pdf</vt:lpwstr>
      </vt:variant>
      <vt:variant>
        <vt:lpwstr/>
      </vt:variant>
      <vt:variant>
        <vt:i4>4194405</vt:i4>
      </vt:variant>
      <vt:variant>
        <vt:i4>175</vt:i4>
      </vt:variant>
      <vt:variant>
        <vt:i4>0</vt:i4>
      </vt:variant>
      <vt:variant>
        <vt:i4>5</vt:i4>
      </vt:variant>
      <vt:variant>
        <vt:lpwstr>http://ec.europa.eu/health/ehealth/docs/ev_20151123_co05_en.pdf</vt:lpwstr>
      </vt:variant>
      <vt:variant>
        <vt:lpwstr/>
      </vt:variant>
      <vt:variant>
        <vt:i4>1769524</vt:i4>
      </vt:variant>
      <vt:variant>
        <vt:i4>166</vt:i4>
      </vt:variant>
      <vt:variant>
        <vt:i4>0</vt:i4>
      </vt:variant>
      <vt:variant>
        <vt:i4>5</vt:i4>
      </vt:variant>
      <vt:variant>
        <vt:lpwstr/>
      </vt:variant>
      <vt:variant>
        <vt:lpwstr>_Toc487965189</vt:lpwstr>
      </vt:variant>
      <vt:variant>
        <vt:i4>1769524</vt:i4>
      </vt:variant>
      <vt:variant>
        <vt:i4>158</vt:i4>
      </vt:variant>
      <vt:variant>
        <vt:i4>0</vt:i4>
      </vt:variant>
      <vt:variant>
        <vt:i4>5</vt:i4>
      </vt:variant>
      <vt:variant>
        <vt:lpwstr/>
      </vt:variant>
      <vt:variant>
        <vt:lpwstr>_Toc487965188</vt:lpwstr>
      </vt:variant>
      <vt:variant>
        <vt:i4>1769524</vt:i4>
      </vt:variant>
      <vt:variant>
        <vt:i4>152</vt:i4>
      </vt:variant>
      <vt:variant>
        <vt:i4>0</vt:i4>
      </vt:variant>
      <vt:variant>
        <vt:i4>5</vt:i4>
      </vt:variant>
      <vt:variant>
        <vt:lpwstr/>
      </vt:variant>
      <vt:variant>
        <vt:lpwstr>_Toc487965187</vt:lpwstr>
      </vt:variant>
      <vt:variant>
        <vt:i4>1769524</vt:i4>
      </vt:variant>
      <vt:variant>
        <vt:i4>146</vt:i4>
      </vt:variant>
      <vt:variant>
        <vt:i4>0</vt:i4>
      </vt:variant>
      <vt:variant>
        <vt:i4>5</vt:i4>
      </vt:variant>
      <vt:variant>
        <vt:lpwstr/>
      </vt:variant>
      <vt:variant>
        <vt:lpwstr>_Toc487965186</vt:lpwstr>
      </vt:variant>
      <vt:variant>
        <vt:i4>1769524</vt:i4>
      </vt:variant>
      <vt:variant>
        <vt:i4>140</vt:i4>
      </vt:variant>
      <vt:variant>
        <vt:i4>0</vt:i4>
      </vt:variant>
      <vt:variant>
        <vt:i4>5</vt:i4>
      </vt:variant>
      <vt:variant>
        <vt:lpwstr/>
      </vt:variant>
      <vt:variant>
        <vt:lpwstr>_Toc487965185</vt:lpwstr>
      </vt:variant>
      <vt:variant>
        <vt:i4>1769524</vt:i4>
      </vt:variant>
      <vt:variant>
        <vt:i4>134</vt:i4>
      </vt:variant>
      <vt:variant>
        <vt:i4>0</vt:i4>
      </vt:variant>
      <vt:variant>
        <vt:i4>5</vt:i4>
      </vt:variant>
      <vt:variant>
        <vt:lpwstr/>
      </vt:variant>
      <vt:variant>
        <vt:lpwstr>_Toc487965184</vt:lpwstr>
      </vt:variant>
      <vt:variant>
        <vt:i4>1769524</vt:i4>
      </vt:variant>
      <vt:variant>
        <vt:i4>128</vt:i4>
      </vt:variant>
      <vt:variant>
        <vt:i4>0</vt:i4>
      </vt:variant>
      <vt:variant>
        <vt:i4>5</vt:i4>
      </vt:variant>
      <vt:variant>
        <vt:lpwstr/>
      </vt:variant>
      <vt:variant>
        <vt:lpwstr>_Toc487965183</vt:lpwstr>
      </vt:variant>
      <vt:variant>
        <vt:i4>1769524</vt:i4>
      </vt:variant>
      <vt:variant>
        <vt:i4>122</vt:i4>
      </vt:variant>
      <vt:variant>
        <vt:i4>0</vt:i4>
      </vt:variant>
      <vt:variant>
        <vt:i4>5</vt:i4>
      </vt:variant>
      <vt:variant>
        <vt:lpwstr/>
      </vt:variant>
      <vt:variant>
        <vt:lpwstr>_Toc487965182</vt:lpwstr>
      </vt:variant>
      <vt:variant>
        <vt:i4>1769524</vt:i4>
      </vt:variant>
      <vt:variant>
        <vt:i4>116</vt:i4>
      </vt:variant>
      <vt:variant>
        <vt:i4>0</vt:i4>
      </vt:variant>
      <vt:variant>
        <vt:i4>5</vt:i4>
      </vt:variant>
      <vt:variant>
        <vt:lpwstr/>
      </vt:variant>
      <vt:variant>
        <vt:lpwstr>_Toc487965181</vt:lpwstr>
      </vt:variant>
      <vt:variant>
        <vt:i4>1769524</vt:i4>
      </vt:variant>
      <vt:variant>
        <vt:i4>110</vt:i4>
      </vt:variant>
      <vt:variant>
        <vt:i4>0</vt:i4>
      </vt:variant>
      <vt:variant>
        <vt:i4>5</vt:i4>
      </vt:variant>
      <vt:variant>
        <vt:lpwstr/>
      </vt:variant>
      <vt:variant>
        <vt:lpwstr>_Toc487965180</vt:lpwstr>
      </vt:variant>
      <vt:variant>
        <vt:i4>1310772</vt:i4>
      </vt:variant>
      <vt:variant>
        <vt:i4>104</vt:i4>
      </vt:variant>
      <vt:variant>
        <vt:i4>0</vt:i4>
      </vt:variant>
      <vt:variant>
        <vt:i4>5</vt:i4>
      </vt:variant>
      <vt:variant>
        <vt:lpwstr/>
      </vt:variant>
      <vt:variant>
        <vt:lpwstr>_Toc487965179</vt:lpwstr>
      </vt:variant>
      <vt:variant>
        <vt:i4>1310772</vt:i4>
      </vt:variant>
      <vt:variant>
        <vt:i4>98</vt:i4>
      </vt:variant>
      <vt:variant>
        <vt:i4>0</vt:i4>
      </vt:variant>
      <vt:variant>
        <vt:i4>5</vt:i4>
      </vt:variant>
      <vt:variant>
        <vt:lpwstr/>
      </vt:variant>
      <vt:variant>
        <vt:lpwstr>_Toc487965178</vt:lpwstr>
      </vt:variant>
      <vt:variant>
        <vt:i4>1310772</vt:i4>
      </vt:variant>
      <vt:variant>
        <vt:i4>92</vt:i4>
      </vt:variant>
      <vt:variant>
        <vt:i4>0</vt:i4>
      </vt:variant>
      <vt:variant>
        <vt:i4>5</vt:i4>
      </vt:variant>
      <vt:variant>
        <vt:lpwstr/>
      </vt:variant>
      <vt:variant>
        <vt:lpwstr>_Toc487965177</vt:lpwstr>
      </vt:variant>
      <vt:variant>
        <vt:i4>1310772</vt:i4>
      </vt:variant>
      <vt:variant>
        <vt:i4>86</vt:i4>
      </vt:variant>
      <vt:variant>
        <vt:i4>0</vt:i4>
      </vt:variant>
      <vt:variant>
        <vt:i4>5</vt:i4>
      </vt:variant>
      <vt:variant>
        <vt:lpwstr/>
      </vt:variant>
      <vt:variant>
        <vt:lpwstr>_Toc487965176</vt:lpwstr>
      </vt:variant>
      <vt:variant>
        <vt:i4>1310772</vt:i4>
      </vt:variant>
      <vt:variant>
        <vt:i4>80</vt:i4>
      </vt:variant>
      <vt:variant>
        <vt:i4>0</vt:i4>
      </vt:variant>
      <vt:variant>
        <vt:i4>5</vt:i4>
      </vt:variant>
      <vt:variant>
        <vt:lpwstr/>
      </vt:variant>
      <vt:variant>
        <vt:lpwstr>_Toc487965175</vt:lpwstr>
      </vt:variant>
      <vt:variant>
        <vt:i4>1310772</vt:i4>
      </vt:variant>
      <vt:variant>
        <vt:i4>74</vt:i4>
      </vt:variant>
      <vt:variant>
        <vt:i4>0</vt:i4>
      </vt:variant>
      <vt:variant>
        <vt:i4>5</vt:i4>
      </vt:variant>
      <vt:variant>
        <vt:lpwstr/>
      </vt:variant>
      <vt:variant>
        <vt:lpwstr>_Toc487965174</vt:lpwstr>
      </vt:variant>
      <vt:variant>
        <vt:i4>1310772</vt:i4>
      </vt:variant>
      <vt:variant>
        <vt:i4>68</vt:i4>
      </vt:variant>
      <vt:variant>
        <vt:i4>0</vt:i4>
      </vt:variant>
      <vt:variant>
        <vt:i4>5</vt:i4>
      </vt:variant>
      <vt:variant>
        <vt:lpwstr/>
      </vt:variant>
      <vt:variant>
        <vt:lpwstr>_Toc487965173</vt:lpwstr>
      </vt:variant>
      <vt:variant>
        <vt:i4>1310772</vt:i4>
      </vt:variant>
      <vt:variant>
        <vt:i4>62</vt:i4>
      </vt:variant>
      <vt:variant>
        <vt:i4>0</vt:i4>
      </vt:variant>
      <vt:variant>
        <vt:i4>5</vt:i4>
      </vt:variant>
      <vt:variant>
        <vt:lpwstr/>
      </vt:variant>
      <vt:variant>
        <vt:lpwstr>_Toc487965172</vt:lpwstr>
      </vt:variant>
      <vt:variant>
        <vt:i4>1376308</vt:i4>
      </vt:variant>
      <vt:variant>
        <vt:i4>56</vt:i4>
      </vt:variant>
      <vt:variant>
        <vt:i4>0</vt:i4>
      </vt:variant>
      <vt:variant>
        <vt:i4>5</vt:i4>
      </vt:variant>
      <vt:variant>
        <vt:lpwstr/>
      </vt:variant>
      <vt:variant>
        <vt:lpwstr>_Toc487965168</vt:lpwstr>
      </vt:variant>
      <vt:variant>
        <vt:i4>1376308</vt:i4>
      </vt:variant>
      <vt:variant>
        <vt:i4>50</vt:i4>
      </vt:variant>
      <vt:variant>
        <vt:i4>0</vt:i4>
      </vt:variant>
      <vt:variant>
        <vt:i4>5</vt:i4>
      </vt:variant>
      <vt:variant>
        <vt:lpwstr/>
      </vt:variant>
      <vt:variant>
        <vt:lpwstr>_Toc487965166</vt:lpwstr>
      </vt:variant>
      <vt:variant>
        <vt:i4>1376308</vt:i4>
      </vt:variant>
      <vt:variant>
        <vt:i4>44</vt:i4>
      </vt:variant>
      <vt:variant>
        <vt:i4>0</vt:i4>
      </vt:variant>
      <vt:variant>
        <vt:i4>5</vt:i4>
      </vt:variant>
      <vt:variant>
        <vt:lpwstr/>
      </vt:variant>
      <vt:variant>
        <vt:lpwstr>_Toc487965164</vt:lpwstr>
      </vt:variant>
      <vt:variant>
        <vt:i4>1376308</vt:i4>
      </vt:variant>
      <vt:variant>
        <vt:i4>38</vt:i4>
      </vt:variant>
      <vt:variant>
        <vt:i4>0</vt:i4>
      </vt:variant>
      <vt:variant>
        <vt:i4>5</vt:i4>
      </vt:variant>
      <vt:variant>
        <vt:lpwstr/>
      </vt:variant>
      <vt:variant>
        <vt:lpwstr>_Toc487965162</vt:lpwstr>
      </vt:variant>
      <vt:variant>
        <vt:i4>1376308</vt:i4>
      </vt:variant>
      <vt:variant>
        <vt:i4>32</vt:i4>
      </vt:variant>
      <vt:variant>
        <vt:i4>0</vt:i4>
      </vt:variant>
      <vt:variant>
        <vt:i4>5</vt:i4>
      </vt:variant>
      <vt:variant>
        <vt:lpwstr/>
      </vt:variant>
      <vt:variant>
        <vt:lpwstr>_Toc487965161</vt:lpwstr>
      </vt:variant>
      <vt:variant>
        <vt:i4>1376308</vt:i4>
      </vt:variant>
      <vt:variant>
        <vt:i4>26</vt:i4>
      </vt:variant>
      <vt:variant>
        <vt:i4>0</vt:i4>
      </vt:variant>
      <vt:variant>
        <vt:i4>5</vt:i4>
      </vt:variant>
      <vt:variant>
        <vt:lpwstr/>
      </vt:variant>
      <vt:variant>
        <vt:lpwstr>_Toc487965160</vt:lpwstr>
      </vt:variant>
      <vt:variant>
        <vt:i4>1441844</vt:i4>
      </vt:variant>
      <vt:variant>
        <vt:i4>20</vt:i4>
      </vt:variant>
      <vt:variant>
        <vt:i4>0</vt:i4>
      </vt:variant>
      <vt:variant>
        <vt:i4>5</vt:i4>
      </vt:variant>
      <vt:variant>
        <vt:lpwstr/>
      </vt:variant>
      <vt:variant>
        <vt:lpwstr>_Toc487965159</vt:lpwstr>
      </vt:variant>
      <vt:variant>
        <vt:i4>1441844</vt:i4>
      </vt:variant>
      <vt:variant>
        <vt:i4>14</vt:i4>
      </vt:variant>
      <vt:variant>
        <vt:i4>0</vt:i4>
      </vt:variant>
      <vt:variant>
        <vt:i4>5</vt:i4>
      </vt:variant>
      <vt:variant>
        <vt:lpwstr/>
      </vt:variant>
      <vt:variant>
        <vt:lpwstr>_Toc487965158</vt:lpwstr>
      </vt:variant>
      <vt:variant>
        <vt:i4>1441844</vt:i4>
      </vt:variant>
      <vt:variant>
        <vt:i4>8</vt:i4>
      </vt:variant>
      <vt:variant>
        <vt:i4>0</vt:i4>
      </vt:variant>
      <vt:variant>
        <vt:i4>5</vt:i4>
      </vt:variant>
      <vt:variant>
        <vt:lpwstr/>
      </vt:variant>
      <vt:variant>
        <vt:lpwstr>_Toc487965157</vt:lpwstr>
      </vt:variant>
      <vt:variant>
        <vt:i4>1441844</vt:i4>
      </vt:variant>
      <vt:variant>
        <vt:i4>2</vt:i4>
      </vt:variant>
      <vt:variant>
        <vt:i4>0</vt:i4>
      </vt:variant>
      <vt:variant>
        <vt:i4>5</vt:i4>
      </vt:variant>
      <vt:variant>
        <vt:lpwstr/>
      </vt:variant>
      <vt:variant>
        <vt:lpwstr>_Toc487965156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Tools for Assessing the Usability of Registries in Support of Regulatory Decision-Making</dc:title>
  <dc:subject>procedural document</dc:subject>
  <dc:creator>IMDRF</dc:creator>
  <cp:lastModifiedBy>SHEPPARD, Fran</cp:lastModifiedBy>
  <cp:revision>13</cp:revision>
  <cp:lastPrinted>2018-03-29T06:17:00Z</cp:lastPrinted>
  <dcterms:created xsi:type="dcterms:W3CDTF">2018-03-29T06:06:00Z</dcterms:created>
  <dcterms:modified xsi:type="dcterms:W3CDTF">2018-04-03T01:34:00Z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