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05EA" w14:textId="31CC8D1B" w:rsidR="005C182D" w:rsidRDefault="005C182D">
      <w:pPr>
        <w:rPr>
          <w:noProof/>
          <w:lang w:val="en-US"/>
        </w:rPr>
      </w:pPr>
    </w:p>
    <w:p w14:paraId="46AE15D9" w14:textId="64EDA6B4" w:rsidR="25CE89A5" w:rsidRDefault="25CE89A5" w:rsidP="25CE89A5">
      <w:pPr>
        <w:rPr>
          <w:noProof/>
          <w:lang w:val="en-US"/>
        </w:rPr>
      </w:pPr>
    </w:p>
    <w:p w14:paraId="61782F4E" w14:textId="77777777" w:rsidR="002D042E" w:rsidRPr="000F7A87" w:rsidRDefault="002D042E">
      <w:pPr>
        <w:rPr>
          <w:noProof/>
          <w:lang w:val="en-US"/>
        </w:rPr>
      </w:pPr>
    </w:p>
    <w:p w14:paraId="0F4E23AC" w14:textId="37E83342" w:rsidR="00EA646C" w:rsidRPr="000F7A87" w:rsidRDefault="00EA646C">
      <w:pPr>
        <w:rPr>
          <w:noProof/>
          <w:lang w:val="en-US"/>
        </w:rPr>
      </w:pPr>
    </w:p>
    <w:p w14:paraId="620345DD" w14:textId="329C15CA" w:rsidR="00EA646C" w:rsidRPr="000F7A87" w:rsidRDefault="00EA646C">
      <w:pPr>
        <w:rPr>
          <w:noProof/>
          <w:lang w:val="en-US"/>
        </w:rPr>
      </w:pPr>
    </w:p>
    <w:tbl>
      <w:tblPr>
        <w:tblStyle w:val="TableGrid"/>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916"/>
      </w:tblGrid>
      <w:tr w:rsidR="00EA646C" w:rsidRPr="000F7A87" w14:paraId="4D91CF2F" w14:textId="77777777" w:rsidTr="0017418F">
        <w:trPr>
          <w:trHeight w:val="1354"/>
        </w:trPr>
        <w:tc>
          <w:tcPr>
            <w:tcW w:w="10916" w:type="dxa"/>
            <w:shd w:val="clear" w:color="auto" w:fill="1369EA" w:themeFill="accent1"/>
            <w:vAlign w:val="center"/>
          </w:tcPr>
          <w:p w14:paraId="6D1B5B7E" w14:textId="04AF18E3" w:rsidR="00EA646C" w:rsidRPr="000F7A87" w:rsidRDefault="00582658" w:rsidP="008B3115">
            <w:pPr>
              <w:pStyle w:val="CoverDocumentType"/>
              <w:rPr>
                <w:noProof/>
                <w:lang w:val="en-US"/>
              </w:rPr>
            </w:pPr>
            <w:r>
              <w:rPr>
                <w:noProof/>
                <w:lang w:val="en-US"/>
              </w:rPr>
              <w:t>Final Document</w:t>
            </w:r>
          </w:p>
        </w:tc>
      </w:tr>
      <w:tr w:rsidR="00EA646C" w:rsidRPr="00AA7A73" w14:paraId="6487728E" w14:textId="77777777" w:rsidTr="0017418F">
        <w:trPr>
          <w:trHeight w:val="1247"/>
        </w:trPr>
        <w:tc>
          <w:tcPr>
            <w:tcW w:w="10916" w:type="dxa"/>
            <w:shd w:val="clear" w:color="auto" w:fill="FFFFFF" w:themeFill="background1"/>
            <w:vAlign w:val="bottom"/>
          </w:tcPr>
          <w:p w14:paraId="6DC61E5B" w14:textId="49B213C1" w:rsidR="00EA646C" w:rsidRPr="00D07A02" w:rsidRDefault="00184CC1" w:rsidP="008B3115">
            <w:pPr>
              <w:pStyle w:val="CoverDocumentCode"/>
              <w:rPr>
                <w:noProof/>
                <w:lang w:val="fr-BE"/>
              </w:rPr>
            </w:pPr>
            <w:r w:rsidRPr="00D07A02">
              <w:rPr>
                <w:noProof/>
                <w:lang w:val="fr-BE"/>
              </w:rPr>
              <w:t>IMDRF/</w:t>
            </w:r>
            <w:r w:rsidR="001D7448" w:rsidRPr="00D07A02">
              <w:rPr>
                <w:noProof/>
                <w:lang w:val="fr-BE"/>
              </w:rPr>
              <w:t xml:space="preserve">GRRP </w:t>
            </w:r>
            <w:r w:rsidR="00EA14CF" w:rsidRPr="00D07A02">
              <w:rPr>
                <w:noProof/>
                <w:lang w:val="fr-BE"/>
              </w:rPr>
              <w:t>WG</w:t>
            </w:r>
            <w:r w:rsidRPr="00D07A02">
              <w:rPr>
                <w:noProof/>
                <w:lang w:val="fr-BE"/>
              </w:rPr>
              <w:t>/N</w:t>
            </w:r>
            <w:r w:rsidR="001B72A6" w:rsidRPr="00D07A02">
              <w:rPr>
                <w:noProof/>
                <w:lang w:val="fr-BE"/>
              </w:rPr>
              <w:t>89</w:t>
            </w:r>
            <w:r w:rsidRPr="00D07A02">
              <w:rPr>
                <w:noProof/>
                <w:lang w:val="fr-BE"/>
              </w:rPr>
              <w:t xml:space="preserve"> </w:t>
            </w:r>
            <w:r w:rsidR="00967640" w:rsidRPr="00D07A02">
              <w:rPr>
                <w:noProof/>
                <w:lang w:val="fr-BE"/>
              </w:rPr>
              <w:t>FINAL</w:t>
            </w:r>
            <w:r w:rsidRPr="00D07A02">
              <w:rPr>
                <w:noProof/>
                <w:lang w:val="fr-BE"/>
              </w:rPr>
              <w:t>:</w:t>
            </w:r>
            <w:r w:rsidR="00280B42">
              <w:rPr>
                <w:noProof/>
                <w:lang w:val="en-CA"/>
              </w:rPr>
              <w:t xml:space="preserve"> </w:t>
            </w:r>
            <w:r w:rsidRPr="00D07A02">
              <w:rPr>
                <w:noProof/>
                <w:lang w:val="fr-BE"/>
              </w:rPr>
              <w:t>202</w:t>
            </w:r>
            <w:r w:rsidR="0003568B" w:rsidRPr="00D07A02">
              <w:rPr>
                <w:noProof/>
                <w:lang w:val="fr-BE"/>
              </w:rPr>
              <w:t>6</w:t>
            </w:r>
          </w:p>
        </w:tc>
      </w:tr>
      <w:tr w:rsidR="00EA646C" w:rsidRPr="000F7A87" w14:paraId="073B749D" w14:textId="77777777" w:rsidTr="0017418F">
        <w:trPr>
          <w:trHeight w:val="5813"/>
        </w:trPr>
        <w:tc>
          <w:tcPr>
            <w:tcW w:w="10916" w:type="dxa"/>
            <w:shd w:val="clear" w:color="auto" w:fill="FFFFFF" w:themeFill="background1"/>
          </w:tcPr>
          <w:p w14:paraId="3B42A833" w14:textId="1DCF8E36" w:rsidR="00EA646C" w:rsidRPr="000F7A87" w:rsidRDefault="001D7448" w:rsidP="008B3115">
            <w:pPr>
              <w:pStyle w:val="CoverDocumentTitle"/>
              <w:rPr>
                <w:noProof/>
                <w:lang w:val="en-US"/>
              </w:rPr>
            </w:pPr>
            <w:r>
              <w:rPr>
                <w:noProof/>
                <w:lang w:val="en-US"/>
              </w:rPr>
              <w:t>Playbook for Medical Device Regulatory Reliance Programs</w:t>
            </w:r>
          </w:p>
        </w:tc>
      </w:tr>
      <w:tr w:rsidR="00EA646C" w:rsidRPr="000F7A87" w14:paraId="446B1D29" w14:textId="77777777" w:rsidTr="0017418F">
        <w:trPr>
          <w:trHeight w:val="411"/>
        </w:trPr>
        <w:tc>
          <w:tcPr>
            <w:tcW w:w="10916" w:type="dxa"/>
            <w:shd w:val="clear" w:color="auto" w:fill="FFFFFF" w:themeFill="background1"/>
            <w:vAlign w:val="center"/>
          </w:tcPr>
          <w:p w14:paraId="263B1A42" w14:textId="4BEAEDB1" w:rsidR="00EA646C" w:rsidRPr="000F7A87" w:rsidRDefault="00EA646C" w:rsidP="008B3115">
            <w:pPr>
              <w:pStyle w:val="CoverAuthoringGroup1"/>
              <w:rPr>
                <w:noProof/>
                <w:lang w:val="en-US"/>
              </w:rPr>
            </w:pPr>
            <w:r w:rsidRPr="000F7A87">
              <w:rPr>
                <w:noProof/>
                <w:lang w:val="en-US"/>
              </w:rPr>
              <w:t>Authoring Group</w:t>
            </w:r>
          </w:p>
        </w:tc>
      </w:tr>
      <w:tr w:rsidR="00EA646C" w:rsidRPr="000F7A87" w14:paraId="5EFA2DDB" w14:textId="77777777" w:rsidTr="0017418F">
        <w:trPr>
          <w:trHeight w:val="2438"/>
        </w:trPr>
        <w:tc>
          <w:tcPr>
            <w:tcW w:w="10916" w:type="dxa"/>
            <w:shd w:val="clear" w:color="auto" w:fill="FFFFFF" w:themeFill="background1"/>
          </w:tcPr>
          <w:p w14:paraId="53CC8144" w14:textId="77777777" w:rsidR="00EA646C" w:rsidRDefault="006A4E87" w:rsidP="008E5652">
            <w:pPr>
              <w:pStyle w:val="CoverAuthoringGroup2"/>
              <w:rPr>
                <w:noProof/>
                <w:lang w:val="en-US"/>
              </w:rPr>
            </w:pPr>
            <w:r w:rsidRPr="00816250">
              <w:rPr>
                <w:noProof/>
                <w:lang w:val="en-US"/>
              </w:rPr>
              <w:t>Good Regulatory Review Practices</w:t>
            </w:r>
          </w:p>
          <w:p w14:paraId="5C29C7D5" w14:textId="77777777" w:rsidR="00280B42" w:rsidRDefault="00280B42" w:rsidP="008E5652">
            <w:pPr>
              <w:pStyle w:val="CoverAuthoringGroup2"/>
              <w:rPr>
                <w:noProof/>
                <w:highlight w:val="yellow"/>
                <w:lang w:val="en-US"/>
              </w:rPr>
            </w:pPr>
          </w:p>
          <w:p w14:paraId="2A4978F0" w14:textId="77777777" w:rsidR="00280B42" w:rsidRDefault="00280B42" w:rsidP="008E5652">
            <w:pPr>
              <w:pStyle w:val="CoverAuthoringGroup2"/>
              <w:rPr>
                <w:noProof/>
                <w:highlight w:val="yellow"/>
                <w:lang w:val="en-US"/>
              </w:rPr>
            </w:pPr>
          </w:p>
          <w:p w14:paraId="780217F9" w14:textId="77777777" w:rsidR="00280B42" w:rsidRDefault="00280B42" w:rsidP="008E5652">
            <w:pPr>
              <w:pStyle w:val="CoverAuthoringGroup2"/>
              <w:rPr>
                <w:noProof/>
                <w:highlight w:val="yellow"/>
                <w:lang w:val="en-US"/>
              </w:rPr>
            </w:pPr>
          </w:p>
          <w:p w14:paraId="54EE749E" w14:textId="77777777" w:rsidR="00280B42" w:rsidRDefault="00280B42" w:rsidP="008E5652">
            <w:pPr>
              <w:pStyle w:val="CoverAuthoringGroup2"/>
              <w:rPr>
                <w:noProof/>
                <w:highlight w:val="yellow"/>
                <w:lang w:val="en-US"/>
              </w:rPr>
            </w:pPr>
          </w:p>
          <w:p w14:paraId="6A302821" w14:textId="77777777" w:rsidR="00280B42" w:rsidRDefault="00280B42" w:rsidP="008E5652">
            <w:pPr>
              <w:pStyle w:val="CoverAuthoringGroup2"/>
              <w:rPr>
                <w:noProof/>
                <w:highlight w:val="yellow"/>
                <w:lang w:val="en-US"/>
              </w:rPr>
            </w:pPr>
          </w:p>
          <w:p w14:paraId="2FAB7026" w14:textId="565AFD8B" w:rsidR="00280B42" w:rsidRPr="00280B42" w:rsidRDefault="00421A53" w:rsidP="008E5652">
            <w:pPr>
              <w:pStyle w:val="CoverAuthoringGroup2"/>
              <w:rPr>
                <w:b w:val="0"/>
                <w:bCs w:val="0"/>
                <w:noProof/>
                <w:highlight w:val="yellow"/>
                <w:lang w:val="en-US"/>
              </w:rPr>
            </w:pPr>
            <w:r>
              <w:rPr>
                <w:b w:val="0"/>
                <w:bCs w:val="0"/>
                <w:noProof/>
                <w:sz w:val="28"/>
                <w:szCs w:val="28"/>
                <w:lang w:val="en-US"/>
              </w:rPr>
              <w:t xml:space="preserve">02 </w:t>
            </w:r>
            <w:r w:rsidR="0033654F">
              <w:rPr>
                <w:b w:val="0"/>
                <w:bCs w:val="0"/>
                <w:noProof/>
                <w:sz w:val="28"/>
                <w:szCs w:val="28"/>
                <w:lang w:val="en-US"/>
              </w:rPr>
              <w:t>February</w:t>
            </w:r>
            <w:r w:rsidR="00280B42" w:rsidRPr="00280B42">
              <w:rPr>
                <w:b w:val="0"/>
                <w:bCs w:val="0"/>
                <w:noProof/>
                <w:sz w:val="28"/>
                <w:szCs w:val="28"/>
                <w:lang w:val="en-US"/>
              </w:rPr>
              <w:t xml:space="preserve"> 2026</w:t>
            </w:r>
          </w:p>
        </w:tc>
      </w:tr>
    </w:tbl>
    <w:p w14:paraId="637DB5AB" w14:textId="0E2E366B" w:rsidR="008B4956" w:rsidRPr="000F7A87" w:rsidRDefault="00195045" w:rsidP="00651201">
      <w:pPr>
        <w:pStyle w:val="Heading1NoTOC"/>
        <w:rPr>
          <w:noProof/>
          <w:lang w:val="en-US"/>
        </w:rPr>
      </w:pPr>
      <w:r w:rsidRPr="000F7A87">
        <w:rPr>
          <w:noProof/>
          <w:lang w:val="en-US"/>
        </w:rPr>
        <w:t>Prefac</w:t>
      </w:r>
      <w:r w:rsidR="00BB1FD0" w:rsidRPr="000F7A87">
        <w:rPr>
          <w:noProof/>
          <w:lang w:val="en-US"/>
        </w:rPr>
        <w:t>e</w:t>
      </w:r>
    </w:p>
    <w:p w14:paraId="7B98BC7A" w14:textId="0BE4637D" w:rsidR="00565E75" w:rsidRPr="00565E75" w:rsidRDefault="00565E75" w:rsidP="00651201">
      <w:pPr>
        <w:jc w:val="both"/>
        <w:rPr>
          <w:noProof/>
          <w:lang w:val="en-US"/>
        </w:rPr>
      </w:pPr>
      <w:r w:rsidRPr="00565E75">
        <w:rPr>
          <w:noProof/>
          <w:lang w:val="en-US"/>
        </w:rPr>
        <w:t xml:space="preserve">© Copyright </w:t>
      </w:r>
      <w:r w:rsidRPr="00816250">
        <w:rPr>
          <w:noProof/>
          <w:lang w:val="en-US"/>
        </w:rPr>
        <w:t>202</w:t>
      </w:r>
      <w:r w:rsidR="00A05806">
        <w:rPr>
          <w:noProof/>
          <w:lang w:val="en-US"/>
        </w:rPr>
        <w:t>6</w:t>
      </w:r>
      <w:r w:rsidRPr="006F3A2C">
        <w:rPr>
          <w:noProof/>
          <w:lang w:val="en-US"/>
        </w:rPr>
        <w:t xml:space="preserve"> by</w:t>
      </w:r>
      <w:r w:rsidRPr="00565E75">
        <w:rPr>
          <w:noProof/>
          <w:lang w:val="en-US"/>
        </w:rPr>
        <w:t xml:space="preserve"> the International Medical Device Regulators Forum. </w:t>
      </w:r>
    </w:p>
    <w:p w14:paraId="2D837C52" w14:textId="67070BA8" w:rsidR="00565E75" w:rsidRPr="00565E75" w:rsidRDefault="00565E75" w:rsidP="00651201">
      <w:pPr>
        <w:jc w:val="both"/>
        <w:rPr>
          <w:noProof/>
          <w:lang w:val="en-US"/>
        </w:rPr>
      </w:pPr>
      <w:r w:rsidRPr="00565E75">
        <w:rPr>
          <w:noProof/>
          <w:lang w:val="en-US"/>
        </w:rPr>
        <w:t>This work is copyright. Subject to these Terms and Conditions, you may download, display, print, translate, modify and reproduce the whole or part of this work for your own personal use, for research, for educational purposes or, if you are part of an organ</w:t>
      </w:r>
      <w:r w:rsidR="00BC59C5">
        <w:rPr>
          <w:noProof/>
          <w:lang w:val="en-US"/>
        </w:rPr>
        <w:t>ization</w:t>
      </w:r>
      <w:r w:rsidRPr="00565E75">
        <w:rPr>
          <w:noProof/>
          <w:lang w:val="en-US"/>
        </w:rPr>
        <w:t>, for internal use within your organ</w:t>
      </w:r>
      <w:r w:rsidR="00BC59C5">
        <w:rPr>
          <w:noProof/>
          <w:lang w:val="en-US"/>
        </w:rPr>
        <w:t>ization</w:t>
      </w:r>
      <w:r w:rsidRPr="00565E75">
        <w:rPr>
          <w:noProof/>
          <w:lang w:val="en-US"/>
        </w:rPr>
        <w:t>, but only if you or your organ</w:t>
      </w:r>
      <w:r w:rsidR="00BC59C5">
        <w:rPr>
          <w:noProof/>
          <w:lang w:val="en-US"/>
        </w:rPr>
        <w:t>ization</w:t>
      </w:r>
      <w:r w:rsidRPr="00565E75">
        <w:rPr>
          <w:noProof/>
          <w:lang w:val="en-US"/>
        </w:rPr>
        <w:t xml:space="preserve"> do not use the reproduction for any commercial purpose and retain all disclaimer notices as part of that reproduction. If you use any part of this work, you must include the following acknowledgement (delete inapplicable):</w:t>
      </w:r>
      <w:r w:rsidR="00E64ECF">
        <w:rPr>
          <w:noProof/>
          <w:lang w:val="en-US"/>
        </w:rPr>
        <w:t xml:space="preserve"> </w:t>
      </w:r>
    </w:p>
    <w:p w14:paraId="28453420" w14:textId="77777777" w:rsidR="00565E75" w:rsidRPr="00565E75" w:rsidRDefault="00565E75" w:rsidP="00651201">
      <w:pPr>
        <w:jc w:val="both"/>
        <w:rPr>
          <w:noProof/>
          <w:lang w:val="en-US"/>
        </w:rPr>
      </w:pPr>
      <w:r w:rsidRPr="00565E75">
        <w:rPr>
          <w:noProof/>
          <w:lang w:val="en-US"/>
        </w:rP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01ED7D68" w14:textId="62EAB04F" w:rsidR="00565E75" w:rsidRPr="00565E75" w:rsidRDefault="00565E75" w:rsidP="00651201">
      <w:pPr>
        <w:jc w:val="both"/>
        <w:rPr>
          <w:noProof/>
          <w:lang w:val="en-US"/>
        </w:rPr>
      </w:pPr>
      <w:r w:rsidRPr="00565E75">
        <w:rPr>
          <w:noProof/>
          <w:lang w:val="en-US"/>
        </w:rP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42050AF2" w14:textId="3FF0BA9D" w:rsidR="00565E75" w:rsidRDefault="00565E75" w:rsidP="00651201">
      <w:pPr>
        <w:jc w:val="both"/>
        <w:rPr>
          <w:noProof/>
          <w:lang w:val="en-US"/>
        </w:rPr>
      </w:pPr>
      <w:r w:rsidRPr="00565E75">
        <w:rPr>
          <w:noProof/>
          <w:lang w:val="en-US"/>
        </w:rPr>
        <w:t xml:space="preserve">Incorporation of this document, in part or in whole, into another document, or its translation into languages other than English, does not convey or represent an endorsement of any kind by the IMDRF. </w:t>
      </w:r>
    </w:p>
    <w:p w14:paraId="0BC17A70" w14:textId="6C40F46E" w:rsidR="00651201" w:rsidRDefault="00651201" w:rsidP="00651201">
      <w:pPr>
        <w:rPr>
          <w:b/>
          <w:bCs/>
          <w:noProof/>
          <w:lang w:val="en-US"/>
        </w:rPr>
      </w:pPr>
    </w:p>
    <w:p w14:paraId="30753B83" w14:textId="12EE1800" w:rsidR="00651201" w:rsidRDefault="00651201" w:rsidP="00651201">
      <w:pPr>
        <w:rPr>
          <w:b/>
          <w:bCs/>
          <w:noProof/>
          <w:lang w:val="en-US"/>
        </w:rPr>
      </w:pPr>
      <w:r>
        <w:rPr>
          <w:noProof/>
          <w:lang w:val="en-US"/>
        </w:rPr>
        <w:drawing>
          <wp:anchor distT="0" distB="0" distL="114300" distR="114300" simplePos="0" relativeHeight="251659267" behindDoc="0" locked="0" layoutInCell="1" allowOverlap="1" wp14:anchorId="6CF89315" wp14:editId="77CB4796">
            <wp:simplePos x="0" y="0"/>
            <wp:positionH relativeFrom="margin">
              <wp:align>left</wp:align>
            </wp:positionH>
            <wp:positionV relativeFrom="margin">
              <wp:posOffset>4644390</wp:posOffset>
            </wp:positionV>
            <wp:extent cx="770400" cy="694800"/>
            <wp:effectExtent l="0" t="0" r="0" b="0"/>
            <wp:wrapSquare wrapText="bothSides"/>
            <wp:docPr id="1012101205" name="Picture 1" descr="IMDRF Chai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01205" name="Picture 1" descr="IMDRF Chair signature"/>
                    <pic:cNvPicPr/>
                  </pic:nvPicPr>
                  <pic:blipFill>
                    <a:blip r:embed="rId8">
                      <a:extLst>
                        <a:ext uri="{28A0092B-C50C-407E-A947-70E740481C1C}">
                          <a14:useLocalDpi xmlns:a14="http://schemas.microsoft.com/office/drawing/2010/main" val="0"/>
                        </a:ext>
                      </a:extLst>
                    </a:blip>
                    <a:stretch>
                      <a:fillRect/>
                    </a:stretch>
                  </pic:blipFill>
                  <pic:spPr>
                    <a:xfrm>
                      <a:off x="0" y="0"/>
                      <a:ext cx="770400" cy="694800"/>
                    </a:xfrm>
                    <a:prstGeom prst="rect">
                      <a:avLst/>
                    </a:prstGeom>
                  </pic:spPr>
                </pic:pic>
              </a:graphicData>
            </a:graphic>
            <wp14:sizeRelH relativeFrom="margin">
              <wp14:pctWidth>0</wp14:pctWidth>
            </wp14:sizeRelH>
            <wp14:sizeRelV relativeFrom="margin">
              <wp14:pctHeight>0</wp14:pctHeight>
            </wp14:sizeRelV>
          </wp:anchor>
        </w:drawing>
      </w:r>
    </w:p>
    <w:p w14:paraId="637882EF" w14:textId="77777777" w:rsidR="00651201" w:rsidRDefault="00651201" w:rsidP="00651201">
      <w:pPr>
        <w:rPr>
          <w:b/>
          <w:bCs/>
          <w:noProof/>
          <w:lang w:val="en-US"/>
        </w:rPr>
      </w:pPr>
    </w:p>
    <w:p w14:paraId="58C0CCF2" w14:textId="77777777" w:rsidR="00651201" w:rsidRDefault="00651201" w:rsidP="00651201">
      <w:pPr>
        <w:rPr>
          <w:b/>
          <w:bCs/>
          <w:noProof/>
          <w:lang w:val="en-US"/>
        </w:rPr>
      </w:pPr>
    </w:p>
    <w:p w14:paraId="2B163085" w14:textId="77777777" w:rsidR="00651201" w:rsidRDefault="00651201" w:rsidP="00651201">
      <w:pPr>
        <w:rPr>
          <w:b/>
          <w:bCs/>
          <w:noProof/>
          <w:lang w:val="en-US"/>
        </w:rPr>
      </w:pPr>
    </w:p>
    <w:p w14:paraId="7548F540" w14:textId="02F5CF16" w:rsidR="00195045" w:rsidRPr="000F7A87" w:rsidRDefault="00421A53" w:rsidP="00651201">
      <w:pPr>
        <w:rPr>
          <w:b/>
          <w:bCs/>
          <w:noProof/>
          <w:lang w:val="en-US"/>
        </w:rPr>
      </w:pPr>
      <w:r>
        <w:rPr>
          <w:b/>
          <w:bCs/>
          <w:noProof/>
          <w:lang w:val="en-US"/>
        </w:rPr>
        <w:t>Raymond Chua</w:t>
      </w:r>
      <w:r w:rsidR="00BE1A39">
        <w:rPr>
          <w:b/>
          <w:bCs/>
          <w:noProof/>
          <w:lang w:val="en-US"/>
        </w:rPr>
        <w:t>, IMDRF Chair</w:t>
      </w:r>
    </w:p>
    <w:p w14:paraId="5C2C17E6" w14:textId="77777777" w:rsidR="00195045" w:rsidRPr="000F7A87" w:rsidRDefault="00195045" w:rsidP="00651201">
      <w:pPr>
        <w:keepLines w:val="0"/>
        <w:spacing w:before="0" w:after="0" w:line="240" w:lineRule="auto"/>
        <w:rPr>
          <w:b/>
          <w:bCs/>
          <w:noProof/>
          <w:lang w:val="en-US"/>
        </w:rPr>
      </w:pPr>
      <w:r w:rsidRPr="000F7A87">
        <w:rPr>
          <w:b/>
          <w:bCs/>
          <w:noProof/>
          <w:lang w:val="en-US"/>
        </w:rPr>
        <w:br w:type="page"/>
      </w:r>
    </w:p>
    <w:p w14:paraId="1C974861" w14:textId="044F2C28" w:rsidR="00195045" w:rsidRPr="000F7A87" w:rsidRDefault="00195045" w:rsidP="00EF2A42">
      <w:pPr>
        <w:pStyle w:val="Heading1NoTOC"/>
        <w:tabs>
          <w:tab w:val="center" w:pos="3823"/>
        </w:tabs>
        <w:rPr>
          <w:noProof/>
          <w:lang w:val="en-US"/>
        </w:rPr>
      </w:pPr>
      <w:r w:rsidRPr="000F7A87">
        <w:rPr>
          <w:noProof/>
          <w:lang w:val="en-US"/>
        </w:rPr>
        <w:t>Contents</w:t>
      </w:r>
      <w:r w:rsidR="00EF2A42">
        <w:rPr>
          <w:noProof/>
          <w:lang w:val="en-US"/>
        </w:rPr>
        <w:tab/>
      </w:r>
    </w:p>
    <w:p w14:paraId="3757C5D1" w14:textId="60C35B75" w:rsidR="00F30CE1" w:rsidRDefault="00195045">
      <w:pPr>
        <w:pStyle w:val="TOC1"/>
        <w:rPr>
          <w:rFonts w:eastAsiaTheme="minorEastAsia" w:cstheme="minorBidi"/>
          <w:b w:val="0"/>
          <w:bCs w:val="0"/>
          <w:noProof/>
          <w:kern w:val="2"/>
          <w:szCs w:val="24"/>
          <w:lang w:val="en-US" w:eastAsia="ja-JP"/>
          <w14:ligatures w14:val="standardContextual"/>
        </w:rPr>
      </w:pPr>
      <w:r w:rsidRPr="000F7A87">
        <w:rPr>
          <w:noProof/>
          <w:lang w:val="en-US"/>
        </w:rPr>
        <w:fldChar w:fldCharType="begin"/>
      </w:r>
      <w:r w:rsidRPr="000F7A87">
        <w:rPr>
          <w:noProof/>
          <w:lang w:val="en-US"/>
        </w:rPr>
        <w:instrText xml:space="preserve"> TOC \o "2-2" \h \z \t "Heading 1,1" </w:instrText>
      </w:r>
      <w:r w:rsidRPr="000F7A87">
        <w:rPr>
          <w:noProof/>
          <w:lang w:val="en-US"/>
        </w:rPr>
        <w:fldChar w:fldCharType="separate"/>
      </w:r>
      <w:hyperlink w:anchor="_Toc213265613" w:history="1">
        <w:r w:rsidR="00F30CE1" w:rsidRPr="00AA7ED9">
          <w:rPr>
            <w:rStyle w:val="Hyperlink"/>
            <w:rFonts w:ascii="Arial" w:hAnsi="Arial"/>
            <w:noProof/>
            <w:lang w:val="en-US"/>
          </w:rPr>
          <w:t>1.</w:t>
        </w:r>
        <w:r w:rsidR="00F30CE1">
          <w:rPr>
            <w:rFonts w:eastAsiaTheme="minorEastAsia" w:cstheme="minorBidi"/>
            <w:b w:val="0"/>
            <w:bCs w:val="0"/>
            <w:noProof/>
            <w:kern w:val="2"/>
            <w:szCs w:val="24"/>
            <w:lang w:val="en-US" w:eastAsia="ja-JP"/>
            <w14:ligatures w14:val="standardContextual"/>
          </w:rPr>
          <w:tab/>
        </w:r>
        <w:r w:rsidR="00F30CE1" w:rsidRPr="00AA7ED9">
          <w:rPr>
            <w:rStyle w:val="Hyperlink"/>
            <w:noProof/>
            <w:lang w:val="en-US"/>
          </w:rPr>
          <w:t>Introduction</w:t>
        </w:r>
        <w:r w:rsidR="00F30CE1">
          <w:rPr>
            <w:noProof/>
            <w:webHidden/>
          </w:rPr>
          <w:tab/>
        </w:r>
        <w:r w:rsidR="00F30CE1">
          <w:rPr>
            <w:noProof/>
            <w:webHidden/>
          </w:rPr>
          <w:fldChar w:fldCharType="begin"/>
        </w:r>
        <w:r w:rsidR="00F30CE1">
          <w:rPr>
            <w:noProof/>
            <w:webHidden/>
          </w:rPr>
          <w:instrText xml:space="preserve"> PAGEREF _Toc213265613 \h </w:instrText>
        </w:r>
        <w:r w:rsidR="00F30CE1">
          <w:rPr>
            <w:noProof/>
            <w:webHidden/>
          </w:rPr>
        </w:r>
        <w:r w:rsidR="00F30CE1">
          <w:rPr>
            <w:noProof/>
            <w:webHidden/>
          </w:rPr>
          <w:fldChar w:fldCharType="separate"/>
        </w:r>
        <w:r w:rsidR="00233554">
          <w:rPr>
            <w:noProof/>
            <w:webHidden/>
          </w:rPr>
          <w:t>4</w:t>
        </w:r>
        <w:r w:rsidR="00F30CE1">
          <w:rPr>
            <w:noProof/>
            <w:webHidden/>
          </w:rPr>
          <w:fldChar w:fldCharType="end"/>
        </w:r>
      </w:hyperlink>
    </w:p>
    <w:p w14:paraId="3D4CB712" w14:textId="1B926E61" w:rsidR="00F30CE1" w:rsidRDefault="00F30CE1">
      <w:pPr>
        <w:pStyle w:val="TOC1"/>
        <w:rPr>
          <w:rFonts w:eastAsiaTheme="minorEastAsia" w:cstheme="minorBidi"/>
          <w:b w:val="0"/>
          <w:bCs w:val="0"/>
          <w:noProof/>
          <w:kern w:val="2"/>
          <w:szCs w:val="24"/>
          <w:lang w:val="en-US" w:eastAsia="ja-JP"/>
          <w14:ligatures w14:val="standardContextual"/>
        </w:rPr>
      </w:pPr>
      <w:hyperlink w:anchor="_Toc213265614" w:history="1">
        <w:r w:rsidRPr="00AA7ED9">
          <w:rPr>
            <w:rStyle w:val="Hyperlink"/>
            <w:rFonts w:ascii="Arial" w:hAnsi="Arial"/>
            <w:noProof/>
            <w:lang w:val="en-US"/>
          </w:rPr>
          <w:t>2.</w:t>
        </w:r>
        <w:r>
          <w:rPr>
            <w:rFonts w:eastAsiaTheme="minorEastAsia" w:cstheme="minorBidi"/>
            <w:b w:val="0"/>
            <w:bCs w:val="0"/>
            <w:noProof/>
            <w:kern w:val="2"/>
            <w:szCs w:val="24"/>
            <w:lang w:val="en-US" w:eastAsia="ja-JP"/>
            <w14:ligatures w14:val="standardContextual"/>
          </w:rPr>
          <w:tab/>
        </w:r>
        <w:r w:rsidRPr="00AA7ED9">
          <w:rPr>
            <w:rStyle w:val="Hyperlink"/>
            <w:noProof/>
            <w:lang w:val="en-US"/>
          </w:rPr>
          <w:t>Scope</w:t>
        </w:r>
        <w:r>
          <w:rPr>
            <w:noProof/>
            <w:webHidden/>
          </w:rPr>
          <w:tab/>
        </w:r>
        <w:r>
          <w:rPr>
            <w:noProof/>
            <w:webHidden/>
          </w:rPr>
          <w:fldChar w:fldCharType="begin"/>
        </w:r>
        <w:r>
          <w:rPr>
            <w:noProof/>
            <w:webHidden/>
          </w:rPr>
          <w:instrText xml:space="preserve"> PAGEREF _Toc213265614 \h </w:instrText>
        </w:r>
        <w:r>
          <w:rPr>
            <w:noProof/>
            <w:webHidden/>
          </w:rPr>
        </w:r>
        <w:r>
          <w:rPr>
            <w:noProof/>
            <w:webHidden/>
          </w:rPr>
          <w:fldChar w:fldCharType="separate"/>
        </w:r>
        <w:r w:rsidR="00233554">
          <w:rPr>
            <w:noProof/>
            <w:webHidden/>
          </w:rPr>
          <w:t>5</w:t>
        </w:r>
        <w:r>
          <w:rPr>
            <w:noProof/>
            <w:webHidden/>
          </w:rPr>
          <w:fldChar w:fldCharType="end"/>
        </w:r>
      </w:hyperlink>
    </w:p>
    <w:p w14:paraId="431806B4" w14:textId="28384CB7" w:rsidR="00F30CE1" w:rsidRDefault="00F30CE1">
      <w:pPr>
        <w:pStyle w:val="TOC1"/>
        <w:rPr>
          <w:rFonts w:eastAsiaTheme="minorEastAsia" w:cstheme="minorBidi"/>
          <w:b w:val="0"/>
          <w:bCs w:val="0"/>
          <w:noProof/>
          <w:kern w:val="2"/>
          <w:szCs w:val="24"/>
          <w:lang w:val="en-US" w:eastAsia="ja-JP"/>
          <w14:ligatures w14:val="standardContextual"/>
        </w:rPr>
      </w:pPr>
      <w:hyperlink w:anchor="_Toc213265615" w:history="1">
        <w:r w:rsidRPr="00AA7ED9">
          <w:rPr>
            <w:rStyle w:val="Hyperlink"/>
            <w:rFonts w:ascii="Arial" w:hAnsi="Arial"/>
            <w:noProof/>
            <w:lang w:val="en-US"/>
          </w:rPr>
          <w:t>3.</w:t>
        </w:r>
        <w:r>
          <w:rPr>
            <w:rFonts w:eastAsiaTheme="minorEastAsia" w:cstheme="minorBidi"/>
            <w:b w:val="0"/>
            <w:bCs w:val="0"/>
            <w:noProof/>
            <w:kern w:val="2"/>
            <w:szCs w:val="24"/>
            <w:lang w:val="en-US" w:eastAsia="ja-JP"/>
            <w14:ligatures w14:val="standardContextual"/>
          </w:rPr>
          <w:tab/>
        </w:r>
        <w:r w:rsidRPr="00AA7ED9">
          <w:rPr>
            <w:rStyle w:val="Hyperlink"/>
            <w:noProof/>
            <w:lang w:val="en-US"/>
          </w:rPr>
          <w:t>Definitions</w:t>
        </w:r>
        <w:r>
          <w:rPr>
            <w:noProof/>
            <w:webHidden/>
          </w:rPr>
          <w:tab/>
        </w:r>
        <w:r>
          <w:rPr>
            <w:noProof/>
            <w:webHidden/>
          </w:rPr>
          <w:fldChar w:fldCharType="begin"/>
        </w:r>
        <w:r>
          <w:rPr>
            <w:noProof/>
            <w:webHidden/>
          </w:rPr>
          <w:instrText xml:space="preserve"> PAGEREF _Toc213265615 \h </w:instrText>
        </w:r>
        <w:r>
          <w:rPr>
            <w:noProof/>
            <w:webHidden/>
          </w:rPr>
        </w:r>
        <w:r>
          <w:rPr>
            <w:noProof/>
            <w:webHidden/>
          </w:rPr>
          <w:fldChar w:fldCharType="separate"/>
        </w:r>
        <w:r w:rsidR="00233554">
          <w:rPr>
            <w:noProof/>
            <w:webHidden/>
          </w:rPr>
          <w:t>6</w:t>
        </w:r>
        <w:r>
          <w:rPr>
            <w:noProof/>
            <w:webHidden/>
          </w:rPr>
          <w:fldChar w:fldCharType="end"/>
        </w:r>
      </w:hyperlink>
    </w:p>
    <w:p w14:paraId="3A298B0B" w14:textId="53F6F31C" w:rsidR="00F30CE1" w:rsidRDefault="00F30CE1">
      <w:pPr>
        <w:pStyle w:val="TOC1"/>
        <w:rPr>
          <w:rFonts w:eastAsiaTheme="minorEastAsia" w:cstheme="minorBidi"/>
          <w:b w:val="0"/>
          <w:bCs w:val="0"/>
          <w:noProof/>
          <w:kern w:val="2"/>
          <w:szCs w:val="24"/>
          <w:lang w:val="en-US" w:eastAsia="ja-JP"/>
          <w14:ligatures w14:val="standardContextual"/>
        </w:rPr>
      </w:pPr>
      <w:hyperlink w:anchor="_Toc213265629" w:history="1">
        <w:r w:rsidRPr="00AA7ED9">
          <w:rPr>
            <w:rStyle w:val="Hyperlink"/>
            <w:rFonts w:ascii="Arial" w:hAnsi="Arial"/>
            <w:noProof/>
            <w:lang w:val="en-US"/>
          </w:rPr>
          <w:t>4.</w:t>
        </w:r>
        <w:r>
          <w:rPr>
            <w:rFonts w:eastAsiaTheme="minorEastAsia" w:cstheme="minorBidi"/>
            <w:b w:val="0"/>
            <w:bCs w:val="0"/>
            <w:noProof/>
            <w:kern w:val="2"/>
            <w:szCs w:val="24"/>
            <w:lang w:val="en-US" w:eastAsia="ja-JP"/>
            <w14:ligatures w14:val="standardContextual"/>
          </w:rPr>
          <w:tab/>
        </w:r>
        <w:r w:rsidRPr="00AA7ED9">
          <w:rPr>
            <w:rStyle w:val="Hyperlink"/>
            <w:noProof/>
            <w:lang w:val="en-US"/>
          </w:rPr>
          <w:t>Overview of Medical Device Regulatory Reliance Programs</w:t>
        </w:r>
        <w:r>
          <w:rPr>
            <w:noProof/>
            <w:webHidden/>
          </w:rPr>
          <w:tab/>
        </w:r>
        <w:r>
          <w:rPr>
            <w:noProof/>
            <w:webHidden/>
          </w:rPr>
          <w:fldChar w:fldCharType="begin"/>
        </w:r>
        <w:r>
          <w:rPr>
            <w:noProof/>
            <w:webHidden/>
          </w:rPr>
          <w:instrText xml:space="preserve"> PAGEREF _Toc213265629 \h </w:instrText>
        </w:r>
        <w:r>
          <w:rPr>
            <w:noProof/>
            <w:webHidden/>
          </w:rPr>
        </w:r>
        <w:r>
          <w:rPr>
            <w:noProof/>
            <w:webHidden/>
          </w:rPr>
          <w:fldChar w:fldCharType="separate"/>
        </w:r>
        <w:r w:rsidR="00233554">
          <w:rPr>
            <w:noProof/>
            <w:webHidden/>
          </w:rPr>
          <w:t>8</w:t>
        </w:r>
        <w:r>
          <w:rPr>
            <w:noProof/>
            <w:webHidden/>
          </w:rPr>
          <w:fldChar w:fldCharType="end"/>
        </w:r>
      </w:hyperlink>
    </w:p>
    <w:p w14:paraId="66C7EE46" w14:textId="5392CFD2"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30" w:history="1">
        <w:r w:rsidRPr="00AA7ED9">
          <w:rPr>
            <w:rStyle w:val="Hyperlink"/>
            <w:rFonts w:ascii="Arial" w:hAnsi="Arial"/>
            <w:noProof/>
          </w:rPr>
          <w:t>4.1.</w:t>
        </w:r>
        <w:r>
          <w:rPr>
            <w:rFonts w:eastAsiaTheme="minorEastAsia" w:cstheme="minorBidi"/>
            <w:b w:val="0"/>
            <w:bCs w:val="0"/>
            <w:iCs w:val="0"/>
            <w:noProof/>
            <w:kern w:val="2"/>
            <w:szCs w:val="24"/>
            <w:lang w:val="en-US" w:eastAsia="ja-JP"/>
            <w14:ligatures w14:val="standardContextual"/>
          </w:rPr>
          <w:tab/>
        </w:r>
        <w:r w:rsidRPr="00AA7ED9">
          <w:rPr>
            <w:rStyle w:val="Hyperlink"/>
            <w:noProof/>
          </w:rPr>
          <w:t>Role of regulatory reliance</w:t>
        </w:r>
        <w:r>
          <w:rPr>
            <w:noProof/>
            <w:webHidden/>
          </w:rPr>
          <w:tab/>
        </w:r>
        <w:r>
          <w:rPr>
            <w:noProof/>
            <w:webHidden/>
          </w:rPr>
          <w:fldChar w:fldCharType="begin"/>
        </w:r>
        <w:r>
          <w:rPr>
            <w:noProof/>
            <w:webHidden/>
          </w:rPr>
          <w:instrText xml:space="preserve"> PAGEREF _Toc213265630 \h </w:instrText>
        </w:r>
        <w:r>
          <w:rPr>
            <w:noProof/>
            <w:webHidden/>
          </w:rPr>
        </w:r>
        <w:r>
          <w:rPr>
            <w:noProof/>
            <w:webHidden/>
          </w:rPr>
          <w:fldChar w:fldCharType="separate"/>
        </w:r>
        <w:r w:rsidR="00233554">
          <w:rPr>
            <w:noProof/>
            <w:webHidden/>
          </w:rPr>
          <w:t>8</w:t>
        </w:r>
        <w:r>
          <w:rPr>
            <w:noProof/>
            <w:webHidden/>
          </w:rPr>
          <w:fldChar w:fldCharType="end"/>
        </w:r>
      </w:hyperlink>
    </w:p>
    <w:p w14:paraId="1F0CE5FF" w14:textId="57C6B13E"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31" w:history="1">
        <w:r w:rsidRPr="00AA7ED9">
          <w:rPr>
            <w:rStyle w:val="Hyperlink"/>
            <w:rFonts w:ascii="Arial" w:hAnsi="Arial"/>
            <w:noProof/>
          </w:rPr>
          <w:t>4.2.</w:t>
        </w:r>
        <w:r>
          <w:rPr>
            <w:rFonts w:eastAsiaTheme="minorEastAsia" w:cstheme="minorBidi"/>
            <w:b w:val="0"/>
            <w:bCs w:val="0"/>
            <w:iCs w:val="0"/>
            <w:noProof/>
            <w:kern w:val="2"/>
            <w:szCs w:val="24"/>
            <w:lang w:val="en-US" w:eastAsia="ja-JP"/>
            <w14:ligatures w14:val="standardContextual"/>
          </w:rPr>
          <w:tab/>
        </w:r>
        <w:r w:rsidRPr="00AA7ED9">
          <w:rPr>
            <w:rStyle w:val="Hyperlink"/>
            <w:noProof/>
          </w:rPr>
          <w:t>Types of regulatory reliance</w:t>
        </w:r>
        <w:r>
          <w:rPr>
            <w:noProof/>
            <w:webHidden/>
          </w:rPr>
          <w:tab/>
        </w:r>
        <w:r>
          <w:rPr>
            <w:noProof/>
            <w:webHidden/>
          </w:rPr>
          <w:fldChar w:fldCharType="begin"/>
        </w:r>
        <w:r>
          <w:rPr>
            <w:noProof/>
            <w:webHidden/>
          </w:rPr>
          <w:instrText xml:space="preserve"> PAGEREF _Toc213265631 \h </w:instrText>
        </w:r>
        <w:r>
          <w:rPr>
            <w:noProof/>
            <w:webHidden/>
          </w:rPr>
        </w:r>
        <w:r>
          <w:rPr>
            <w:noProof/>
            <w:webHidden/>
          </w:rPr>
          <w:fldChar w:fldCharType="separate"/>
        </w:r>
        <w:r w:rsidR="00233554">
          <w:rPr>
            <w:noProof/>
            <w:webHidden/>
          </w:rPr>
          <w:t>9</w:t>
        </w:r>
        <w:r>
          <w:rPr>
            <w:noProof/>
            <w:webHidden/>
          </w:rPr>
          <w:fldChar w:fldCharType="end"/>
        </w:r>
      </w:hyperlink>
    </w:p>
    <w:p w14:paraId="4CE0370F" w14:textId="4C1A6AEF" w:rsidR="00F30CE1" w:rsidRDefault="00F30CE1">
      <w:pPr>
        <w:pStyle w:val="TOC1"/>
        <w:rPr>
          <w:rFonts w:eastAsiaTheme="minorEastAsia" w:cstheme="minorBidi"/>
          <w:b w:val="0"/>
          <w:bCs w:val="0"/>
          <w:noProof/>
          <w:kern w:val="2"/>
          <w:szCs w:val="24"/>
          <w:lang w:val="en-US" w:eastAsia="ja-JP"/>
          <w14:ligatures w14:val="standardContextual"/>
        </w:rPr>
      </w:pPr>
      <w:hyperlink w:anchor="_Toc213265632" w:history="1">
        <w:r w:rsidRPr="00AA7ED9">
          <w:rPr>
            <w:rStyle w:val="Hyperlink"/>
            <w:rFonts w:ascii="Arial" w:hAnsi="Arial"/>
            <w:noProof/>
            <w:lang w:val="it-IT"/>
          </w:rPr>
          <w:t>5.</w:t>
        </w:r>
        <w:r>
          <w:rPr>
            <w:rFonts w:eastAsiaTheme="minorEastAsia" w:cstheme="minorBidi"/>
            <w:b w:val="0"/>
            <w:bCs w:val="0"/>
            <w:noProof/>
            <w:kern w:val="2"/>
            <w:szCs w:val="24"/>
            <w:lang w:val="en-US" w:eastAsia="ja-JP"/>
            <w14:ligatures w14:val="standardContextual"/>
          </w:rPr>
          <w:tab/>
        </w:r>
        <w:r w:rsidRPr="00AA7ED9">
          <w:rPr>
            <w:rStyle w:val="Hyperlink"/>
            <w:noProof/>
            <w:lang w:val="it-IT"/>
          </w:rPr>
          <w:t>Considerations Prior to Developing a Reliance Program</w:t>
        </w:r>
        <w:r>
          <w:rPr>
            <w:noProof/>
            <w:webHidden/>
          </w:rPr>
          <w:tab/>
        </w:r>
        <w:r>
          <w:rPr>
            <w:noProof/>
            <w:webHidden/>
          </w:rPr>
          <w:fldChar w:fldCharType="begin"/>
        </w:r>
        <w:r>
          <w:rPr>
            <w:noProof/>
            <w:webHidden/>
          </w:rPr>
          <w:instrText xml:space="preserve"> PAGEREF _Toc213265632 \h </w:instrText>
        </w:r>
        <w:r>
          <w:rPr>
            <w:noProof/>
            <w:webHidden/>
          </w:rPr>
        </w:r>
        <w:r>
          <w:rPr>
            <w:noProof/>
            <w:webHidden/>
          </w:rPr>
          <w:fldChar w:fldCharType="separate"/>
        </w:r>
        <w:r w:rsidR="00233554">
          <w:rPr>
            <w:noProof/>
            <w:webHidden/>
          </w:rPr>
          <w:t>13</w:t>
        </w:r>
        <w:r>
          <w:rPr>
            <w:noProof/>
            <w:webHidden/>
          </w:rPr>
          <w:fldChar w:fldCharType="end"/>
        </w:r>
      </w:hyperlink>
    </w:p>
    <w:p w14:paraId="50AD28F8" w14:textId="5B09308F"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33" w:history="1">
        <w:r w:rsidRPr="00AA7ED9">
          <w:rPr>
            <w:rStyle w:val="Hyperlink"/>
            <w:rFonts w:ascii="Arial" w:hAnsi="Arial"/>
            <w:noProof/>
          </w:rPr>
          <w:t>5.1.</w:t>
        </w:r>
        <w:r>
          <w:rPr>
            <w:rFonts w:eastAsiaTheme="minorEastAsia" w:cstheme="minorBidi"/>
            <w:b w:val="0"/>
            <w:bCs w:val="0"/>
            <w:iCs w:val="0"/>
            <w:noProof/>
            <w:kern w:val="2"/>
            <w:szCs w:val="24"/>
            <w:lang w:val="en-US" w:eastAsia="ja-JP"/>
            <w14:ligatures w14:val="standardContextual"/>
          </w:rPr>
          <w:tab/>
        </w:r>
        <w:r w:rsidRPr="00AA7ED9">
          <w:rPr>
            <w:rStyle w:val="Hyperlink"/>
            <w:noProof/>
          </w:rPr>
          <w:t>Introduction</w:t>
        </w:r>
        <w:r>
          <w:rPr>
            <w:noProof/>
            <w:webHidden/>
          </w:rPr>
          <w:tab/>
        </w:r>
        <w:r>
          <w:rPr>
            <w:noProof/>
            <w:webHidden/>
          </w:rPr>
          <w:fldChar w:fldCharType="begin"/>
        </w:r>
        <w:r>
          <w:rPr>
            <w:noProof/>
            <w:webHidden/>
          </w:rPr>
          <w:instrText xml:space="preserve"> PAGEREF _Toc213265633 \h </w:instrText>
        </w:r>
        <w:r>
          <w:rPr>
            <w:noProof/>
            <w:webHidden/>
          </w:rPr>
        </w:r>
        <w:r>
          <w:rPr>
            <w:noProof/>
            <w:webHidden/>
          </w:rPr>
          <w:fldChar w:fldCharType="separate"/>
        </w:r>
        <w:r w:rsidR="00233554">
          <w:rPr>
            <w:noProof/>
            <w:webHidden/>
          </w:rPr>
          <w:t>13</w:t>
        </w:r>
        <w:r>
          <w:rPr>
            <w:noProof/>
            <w:webHidden/>
          </w:rPr>
          <w:fldChar w:fldCharType="end"/>
        </w:r>
      </w:hyperlink>
    </w:p>
    <w:p w14:paraId="1E0988DD" w14:textId="0AAF7D5A"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34" w:history="1">
        <w:r w:rsidRPr="00AA7ED9">
          <w:rPr>
            <w:rStyle w:val="Hyperlink"/>
            <w:rFonts w:ascii="Arial" w:hAnsi="Arial"/>
            <w:noProof/>
          </w:rPr>
          <w:t>5.2.</w:t>
        </w:r>
        <w:r>
          <w:rPr>
            <w:rFonts w:eastAsiaTheme="minorEastAsia" w:cstheme="minorBidi"/>
            <w:b w:val="0"/>
            <w:bCs w:val="0"/>
            <w:iCs w:val="0"/>
            <w:noProof/>
            <w:kern w:val="2"/>
            <w:szCs w:val="24"/>
            <w:lang w:val="en-US" w:eastAsia="ja-JP"/>
            <w14:ligatures w14:val="standardContextual"/>
          </w:rPr>
          <w:tab/>
        </w:r>
        <w:r w:rsidRPr="00AA7ED9">
          <w:rPr>
            <w:rStyle w:val="Hyperlink"/>
            <w:noProof/>
          </w:rPr>
          <w:t>Researching existing and planned reliance programs</w:t>
        </w:r>
        <w:r>
          <w:rPr>
            <w:noProof/>
            <w:webHidden/>
          </w:rPr>
          <w:tab/>
        </w:r>
        <w:r>
          <w:rPr>
            <w:noProof/>
            <w:webHidden/>
          </w:rPr>
          <w:fldChar w:fldCharType="begin"/>
        </w:r>
        <w:r>
          <w:rPr>
            <w:noProof/>
            <w:webHidden/>
          </w:rPr>
          <w:instrText xml:space="preserve"> PAGEREF _Toc213265634 \h </w:instrText>
        </w:r>
        <w:r>
          <w:rPr>
            <w:noProof/>
            <w:webHidden/>
          </w:rPr>
        </w:r>
        <w:r>
          <w:rPr>
            <w:noProof/>
            <w:webHidden/>
          </w:rPr>
          <w:fldChar w:fldCharType="separate"/>
        </w:r>
        <w:r w:rsidR="00233554">
          <w:rPr>
            <w:noProof/>
            <w:webHidden/>
          </w:rPr>
          <w:t>13</w:t>
        </w:r>
        <w:r>
          <w:rPr>
            <w:noProof/>
            <w:webHidden/>
          </w:rPr>
          <w:fldChar w:fldCharType="end"/>
        </w:r>
      </w:hyperlink>
    </w:p>
    <w:p w14:paraId="6ED446CC" w14:textId="1FF07AAE"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35" w:history="1">
        <w:r w:rsidRPr="00AA7ED9">
          <w:rPr>
            <w:rStyle w:val="Hyperlink"/>
            <w:rFonts w:ascii="Arial" w:hAnsi="Arial"/>
            <w:noProof/>
          </w:rPr>
          <w:t>5.3.</w:t>
        </w:r>
        <w:r>
          <w:rPr>
            <w:rFonts w:eastAsiaTheme="minorEastAsia" w:cstheme="minorBidi"/>
            <w:b w:val="0"/>
            <w:bCs w:val="0"/>
            <w:iCs w:val="0"/>
            <w:noProof/>
            <w:kern w:val="2"/>
            <w:szCs w:val="24"/>
            <w:lang w:val="en-US" w:eastAsia="ja-JP"/>
            <w14:ligatures w14:val="standardContextual"/>
          </w:rPr>
          <w:tab/>
        </w:r>
        <w:r w:rsidRPr="00AA7ED9">
          <w:rPr>
            <w:rStyle w:val="Hyperlink"/>
            <w:noProof/>
          </w:rPr>
          <w:t>Understanding the legal framework for reliance</w:t>
        </w:r>
        <w:r>
          <w:rPr>
            <w:noProof/>
            <w:webHidden/>
          </w:rPr>
          <w:tab/>
        </w:r>
        <w:r>
          <w:rPr>
            <w:noProof/>
            <w:webHidden/>
          </w:rPr>
          <w:fldChar w:fldCharType="begin"/>
        </w:r>
        <w:r>
          <w:rPr>
            <w:noProof/>
            <w:webHidden/>
          </w:rPr>
          <w:instrText xml:space="preserve"> PAGEREF _Toc213265635 \h </w:instrText>
        </w:r>
        <w:r>
          <w:rPr>
            <w:noProof/>
            <w:webHidden/>
          </w:rPr>
        </w:r>
        <w:r>
          <w:rPr>
            <w:noProof/>
            <w:webHidden/>
          </w:rPr>
          <w:fldChar w:fldCharType="separate"/>
        </w:r>
        <w:r w:rsidR="00233554">
          <w:rPr>
            <w:noProof/>
            <w:webHidden/>
          </w:rPr>
          <w:t>14</w:t>
        </w:r>
        <w:r>
          <w:rPr>
            <w:noProof/>
            <w:webHidden/>
          </w:rPr>
          <w:fldChar w:fldCharType="end"/>
        </w:r>
      </w:hyperlink>
    </w:p>
    <w:p w14:paraId="60ACE902" w14:textId="4B275F8E"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37" w:history="1">
        <w:r w:rsidRPr="00AA7ED9">
          <w:rPr>
            <w:rStyle w:val="Hyperlink"/>
            <w:rFonts w:ascii="Arial" w:hAnsi="Arial"/>
            <w:noProof/>
          </w:rPr>
          <w:t>5.4.</w:t>
        </w:r>
        <w:r>
          <w:rPr>
            <w:rFonts w:eastAsiaTheme="minorEastAsia" w:cstheme="minorBidi"/>
            <w:b w:val="0"/>
            <w:bCs w:val="0"/>
            <w:iCs w:val="0"/>
            <w:noProof/>
            <w:kern w:val="2"/>
            <w:szCs w:val="24"/>
            <w:lang w:val="en-US" w:eastAsia="ja-JP"/>
            <w14:ligatures w14:val="standardContextual"/>
          </w:rPr>
          <w:tab/>
        </w:r>
        <w:r w:rsidRPr="00AA7ED9">
          <w:rPr>
            <w:rStyle w:val="Hyperlink"/>
            <w:noProof/>
          </w:rPr>
          <w:t>Identifying potential reference regulatory authorities</w:t>
        </w:r>
        <w:r>
          <w:rPr>
            <w:noProof/>
            <w:webHidden/>
          </w:rPr>
          <w:tab/>
        </w:r>
        <w:r>
          <w:rPr>
            <w:noProof/>
            <w:webHidden/>
          </w:rPr>
          <w:fldChar w:fldCharType="begin"/>
        </w:r>
        <w:r>
          <w:rPr>
            <w:noProof/>
            <w:webHidden/>
          </w:rPr>
          <w:instrText xml:space="preserve"> PAGEREF _Toc213265637 \h </w:instrText>
        </w:r>
        <w:r>
          <w:rPr>
            <w:noProof/>
            <w:webHidden/>
          </w:rPr>
        </w:r>
        <w:r>
          <w:rPr>
            <w:noProof/>
            <w:webHidden/>
          </w:rPr>
          <w:fldChar w:fldCharType="separate"/>
        </w:r>
        <w:r w:rsidR="00233554">
          <w:rPr>
            <w:noProof/>
            <w:webHidden/>
          </w:rPr>
          <w:t>15</w:t>
        </w:r>
        <w:r>
          <w:rPr>
            <w:noProof/>
            <w:webHidden/>
          </w:rPr>
          <w:fldChar w:fldCharType="end"/>
        </w:r>
      </w:hyperlink>
    </w:p>
    <w:p w14:paraId="6473D6F4" w14:textId="4B2DE2B0"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38" w:history="1">
        <w:r w:rsidRPr="00AA7ED9">
          <w:rPr>
            <w:rStyle w:val="Hyperlink"/>
            <w:rFonts w:ascii="Arial" w:hAnsi="Arial"/>
            <w:noProof/>
          </w:rPr>
          <w:t>5.5.</w:t>
        </w:r>
        <w:r>
          <w:rPr>
            <w:rFonts w:eastAsiaTheme="minorEastAsia" w:cstheme="minorBidi"/>
            <w:b w:val="0"/>
            <w:bCs w:val="0"/>
            <w:iCs w:val="0"/>
            <w:noProof/>
            <w:kern w:val="2"/>
            <w:szCs w:val="24"/>
            <w:lang w:val="en-US" w:eastAsia="ja-JP"/>
            <w14:ligatures w14:val="standardContextual"/>
          </w:rPr>
          <w:tab/>
        </w:r>
        <w:r w:rsidRPr="00AA7ED9">
          <w:rPr>
            <w:rStyle w:val="Hyperlink"/>
            <w:noProof/>
          </w:rPr>
          <w:t>Assessing agreements between interested parties</w:t>
        </w:r>
        <w:r>
          <w:rPr>
            <w:noProof/>
            <w:webHidden/>
          </w:rPr>
          <w:tab/>
        </w:r>
        <w:r>
          <w:rPr>
            <w:noProof/>
            <w:webHidden/>
          </w:rPr>
          <w:fldChar w:fldCharType="begin"/>
        </w:r>
        <w:r>
          <w:rPr>
            <w:noProof/>
            <w:webHidden/>
          </w:rPr>
          <w:instrText xml:space="preserve"> PAGEREF _Toc213265638 \h </w:instrText>
        </w:r>
        <w:r>
          <w:rPr>
            <w:noProof/>
            <w:webHidden/>
          </w:rPr>
        </w:r>
        <w:r>
          <w:rPr>
            <w:noProof/>
            <w:webHidden/>
          </w:rPr>
          <w:fldChar w:fldCharType="separate"/>
        </w:r>
        <w:r w:rsidR="00233554">
          <w:rPr>
            <w:noProof/>
            <w:webHidden/>
          </w:rPr>
          <w:t>16</w:t>
        </w:r>
        <w:r>
          <w:rPr>
            <w:noProof/>
            <w:webHidden/>
          </w:rPr>
          <w:fldChar w:fldCharType="end"/>
        </w:r>
      </w:hyperlink>
    </w:p>
    <w:p w14:paraId="4B0A37B1" w14:textId="641E237B"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39" w:history="1">
        <w:r w:rsidRPr="00AA7ED9">
          <w:rPr>
            <w:rStyle w:val="Hyperlink"/>
            <w:rFonts w:ascii="Arial" w:hAnsi="Arial"/>
            <w:noProof/>
          </w:rPr>
          <w:t>5.6.</w:t>
        </w:r>
        <w:r>
          <w:rPr>
            <w:rFonts w:eastAsiaTheme="minorEastAsia" w:cstheme="minorBidi"/>
            <w:b w:val="0"/>
            <w:bCs w:val="0"/>
            <w:iCs w:val="0"/>
            <w:noProof/>
            <w:kern w:val="2"/>
            <w:szCs w:val="24"/>
            <w:lang w:val="en-US" w:eastAsia="ja-JP"/>
            <w14:ligatures w14:val="standardContextual"/>
          </w:rPr>
          <w:tab/>
        </w:r>
        <w:r w:rsidRPr="00AA7ED9">
          <w:rPr>
            <w:rStyle w:val="Hyperlink"/>
            <w:noProof/>
          </w:rPr>
          <w:t>Engaging stakeholders</w:t>
        </w:r>
        <w:r>
          <w:rPr>
            <w:noProof/>
            <w:webHidden/>
          </w:rPr>
          <w:tab/>
        </w:r>
        <w:r>
          <w:rPr>
            <w:noProof/>
            <w:webHidden/>
          </w:rPr>
          <w:fldChar w:fldCharType="begin"/>
        </w:r>
        <w:r>
          <w:rPr>
            <w:noProof/>
            <w:webHidden/>
          </w:rPr>
          <w:instrText xml:space="preserve"> PAGEREF _Toc213265639 \h </w:instrText>
        </w:r>
        <w:r>
          <w:rPr>
            <w:noProof/>
            <w:webHidden/>
          </w:rPr>
        </w:r>
        <w:r>
          <w:rPr>
            <w:noProof/>
            <w:webHidden/>
          </w:rPr>
          <w:fldChar w:fldCharType="separate"/>
        </w:r>
        <w:r w:rsidR="00233554">
          <w:rPr>
            <w:noProof/>
            <w:webHidden/>
          </w:rPr>
          <w:t>17</w:t>
        </w:r>
        <w:r>
          <w:rPr>
            <w:noProof/>
            <w:webHidden/>
          </w:rPr>
          <w:fldChar w:fldCharType="end"/>
        </w:r>
      </w:hyperlink>
    </w:p>
    <w:p w14:paraId="62074E1A" w14:textId="6FCBED9A"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40" w:history="1">
        <w:r w:rsidRPr="00AA7ED9">
          <w:rPr>
            <w:rStyle w:val="Hyperlink"/>
            <w:rFonts w:ascii="Arial" w:hAnsi="Arial"/>
            <w:noProof/>
          </w:rPr>
          <w:t>5.7.</w:t>
        </w:r>
        <w:r>
          <w:rPr>
            <w:rFonts w:eastAsiaTheme="minorEastAsia" w:cstheme="minorBidi"/>
            <w:b w:val="0"/>
            <w:bCs w:val="0"/>
            <w:iCs w:val="0"/>
            <w:noProof/>
            <w:kern w:val="2"/>
            <w:szCs w:val="24"/>
            <w:lang w:val="en-US" w:eastAsia="ja-JP"/>
            <w14:ligatures w14:val="standardContextual"/>
          </w:rPr>
          <w:tab/>
        </w:r>
        <w:r w:rsidRPr="00AA7ED9">
          <w:rPr>
            <w:rStyle w:val="Hyperlink"/>
            <w:noProof/>
          </w:rPr>
          <w:t>Conducting a regulatory analysis</w:t>
        </w:r>
        <w:r>
          <w:rPr>
            <w:noProof/>
            <w:webHidden/>
          </w:rPr>
          <w:tab/>
        </w:r>
        <w:r>
          <w:rPr>
            <w:noProof/>
            <w:webHidden/>
          </w:rPr>
          <w:fldChar w:fldCharType="begin"/>
        </w:r>
        <w:r>
          <w:rPr>
            <w:noProof/>
            <w:webHidden/>
          </w:rPr>
          <w:instrText xml:space="preserve"> PAGEREF _Toc213265640 \h </w:instrText>
        </w:r>
        <w:r>
          <w:rPr>
            <w:noProof/>
            <w:webHidden/>
          </w:rPr>
        </w:r>
        <w:r>
          <w:rPr>
            <w:noProof/>
            <w:webHidden/>
          </w:rPr>
          <w:fldChar w:fldCharType="separate"/>
        </w:r>
        <w:r w:rsidR="00233554">
          <w:rPr>
            <w:noProof/>
            <w:webHidden/>
          </w:rPr>
          <w:t>19</w:t>
        </w:r>
        <w:r>
          <w:rPr>
            <w:noProof/>
            <w:webHidden/>
          </w:rPr>
          <w:fldChar w:fldCharType="end"/>
        </w:r>
      </w:hyperlink>
    </w:p>
    <w:p w14:paraId="4D4C1C41" w14:textId="2AE9FD3A" w:rsidR="00F30CE1" w:rsidRDefault="00F30CE1">
      <w:pPr>
        <w:pStyle w:val="TOC1"/>
        <w:rPr>
          <w:rFonts w:eastAsiaTheme="minorEastAsia" w:cstheme="minorBidi"/>
          <w:b w:val="0"/>
          <w:bCs w:val="0"/>
          <w:noProof/>
          <w:kern w:val="2"/>
          <w:szCs w:val="24"/>
          <w:lang w:val="en-US" w:eastAsia="ja-JP"/>
          <w14:ligatures w14:val="standardContextual"/>
        </w:rPr>
      </w:pPr>
      <w:hyperlink w:anchor="_Toc213265641" w:history="1">
        <w:r w:rsidRPr="00AA7ED9">
          <w:rPr>
            <w:rStyle w:val="Hyperlink"/>
            <w:rFonts w:ascii="Arial" w:hAnsi="Arial"/>
            <w:noProof/>
            <w:lang w:val="en-US"/>
          </w:rPr>
          <w:t>6.</w:t>
        </w:r>
        <w:r>
          <w:rPr>
            <w:rFonts w:eastAsiaTheme="minorEastAsia" w:cstheme="minorBidi"/>
            <w:b w:val="0"/>
            <w:bCs w:val="0"/>
            <w:noProof/>
            <w:kern w:val="2"/>
            <w:szCs w:val="24"/>
            <w:lang w:val="en-US" w:eastAsia="ja-JP"/>
            <w14:ligatures w14:val="standardContextual"/>
          </w:rPr>
          <w:tab/>
        </w:r>
        <w:r w:rsidRPr="00AA7ED9">
          <w:rPr>
            <w:rStyle w:val="Hyperlink"/>
            <w:noProof/>
            <w:lang w:val="en-US"/>
          </w:rPr>
          <w:t>Steps to Develop and Implement a Reliance Program</w:t>
        </w:r>
        <w:r>
          <w:rPr>
            <w:noProof/>
            <w:webHidden/>
          </w:rPr>
          <w:tab/>
        </w:r>
        <w:r>
          <w:rPr>
            <w:noProof/>
            <w:webHidden/>
          </w:rPr>
          <w:fldChar w:fldCharType="begin"/>
        </w:r>
        <w:r>
          <w:rPr>
            <w:noProof/>
            <w:webHidden/>
          </w:rPr>
          <w:instrText xml:space="preserve"> PAGEREF _Toc213265641 \h </w:instrText>
        </w:r>
        <w:r>
          <w:rPr>
            <w:noProof/>
            <w:webHidden/>
          </w:rPr>
        </w:r>
        <w:r>
          <w:rPr>
            <w:noProof/>
            <w:webHidden/>
          </w:rPr>
          <w:fldChar w:fldCharType="separate"/>
        </w:r>
        <w:r w:rsidR="00233554">
          <w:rPr>
            <w:noProof/>
            <w:webHidden/>
          </w:rPr>
          <w:t>20</w:t>
        </w:r>
        <w:r>
          <w:rPr>
            <w:noProof/>
            <w:webHidden/>
          </w:rPr>
          <w:fldChar w:fldCharType="end"/>
        </w:r>
      </w:hyperlink>
    </w:p>
    <w:p w14:paraId="7BE4B729" w14:textId="659DDFAA"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42" w:history="1">
        <w:r w:rsidRPr="00AA7ED9">
          <w:rPr>
            <w:rStyle w:val="Hyperlink"/>
            <w:rFonts w:ascii="Arial" w:hAnsi="Arial"/>
            <w:noProof/>
          </w:rPr>
          <w:t>6.1.</w:t>
        </w:r>
        <w:r>
          <w:rPr>
            <w:rFonts w:eastAsiaTheme="minorEastAsia" w:cstheme="minorBidi"/>
            <w:b w:val="0"/>
            <w:bCs w:val="0"/>
            <w:iCs w:val="0"/>
            <w:noProof/>
            <w:kern w:val="2"/>
            <w:szCs w:val="24"/>
            <w:lang w:val="en-US" w:eastAsia="ja-JP"/>
            <w14:ligatures w14:val="standardContextual"/>
          </w:rPr>
          <w:tab/>
        </w:r>
        <w:r w:rsidRPr="00AA7ED9">
          <w:rPr>
            <w:rStyle w:val="Hyperlink"/>
            <w:noProof/>
          </w:rPr>
          <w:t>Introduction</w:t>
        </w:r>
        <w:r>
          <w:rPr>
            <w:noProof/>
            <w:webHidden/>
          </w:rPr>
          <w:tab/>
        </w:r>
        <w:r>
          <w:rPr>
            <w:noProof/>
            <w:webHidden/>
          </w:rPr>
          <w:fldChar w:fldCharType="begin"/>
        </w:r>
        <w:r>
          <w:rPr>
            <w:noProof/>
            <w:webHidden/>
          </w:rPr>
          <w:instrText xml:space="preserve"> PAGEREF _Toc213265642 \h </w:instrText>
        </w:r>
        <w:r>
          <w:rPr>
            <w:noProof/>
            <w:webHidden/>
          </w:rPr>
        </w:r>
        <w:r>
          <w:rPr>
            <w:noProof/>
            <w:webHidden/>
          </w:rPr>
          <w:fldChar w:fldCharType="separate"/>
        </w:r>
        <w:r w:rsidR="00233554">
          <w:rPr>
            <w:noProof/>
            <w:webHidden/>
          </w:rPr>
          <w:t>20</w:t>
        </w:r>
        <w:r>
          <w:rPr>
            <w:noProof/>
            <w:webHidden/>
          </w:rPr>
          <w:fldChar w:fldCharType="end"/>
        </w:r>
      </w:hyperlink>
    </w:p>
    <w:p w14:paraId="1053A006" w14:textId="1A67312A"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43" w:history="1">
        <w:r w:rsidRPr="00AA7ED9">
          <w:rPr>
            <w:rStyle w:val="Hyperlink"/>
            <w:rFonts w:ascii="Arial" w:hAnsi="Arial"/>
            <w:noProof/>
          </w:rPr>
          <w:t>6.2.</w:t>
        </w:r>
        <w:r>
          <w:rPr>
            <w:rFonts w:eastAsiaTheme="minorEastAsia" w:cstheme="minorBidi"/>
            <w:b w:val="0"/>
            <w:bCs w:val="0"/>
            <w:iCs w:val="0"/>
            <w:noProof/>
            <w:kern w:val="2"/>
            <w:szCs w:val="24"/>
            <w:lang w:val="en-US" w:eastAsia="ja-JP"/>
            <w14:ligatures w14:val="standardContextual"/>
          </w:rPr>
          <w:tab/>
        </w:r>
        <w:r w:rsidRPr="00AA7ED9">
          <w:rPr>
            <w:rStyle w:val="Hyperlink"/>
            <w:noProof/>
          </w:rPr>
          <w:t>Establish the scope of reliance</w:t>
        </w:r>
        <w:r>
          <w:rPr>
            <w:noProof/>
            <w:webHidden/>
          </w:rPr>
          <w:tab/>
        </w:r>
        <w:r>
          <w:rPr>
            <w:noProof/>
            <w:webHidden/>
          </w:rPr>
          <w:fldChar w:fldCharType="begin"/>
        </w:r>
        <w:r>
          <w:rPr>
            <w:noProof/>
            <w:webHidden/>
          </w:rPr>
          <w:instrText xml:space="preserve"> PAGEREF _Toc213265643 \h </w:instrText>
        </w:r>
        <w:r>
          <w:rPr>
            <w:noProof/>
            <w:webHidden/>
          </w:rPr>
        </w:r>
        <w:r>
          <w:rPr>
            <w:noProof/>
            <w:webHidden/>
          </w:rPr>
          <w:fldChar w:fldCharType="separate"/>
        </w:r>
        <w:r w:rsidR="00233554">
          <w:rPr>
            <w:noProof/>
            <w:webHidden/>
          </w:rPr>
          <w:t>20</w:t>
        </w:r>
        <w:r>
          <w:rPr>
            <w:noProof/>
            <w:webHidden/>
          </w:rPr>
          <w:fldChar w:fldCharType="end"/>
        </w:r>
      </w:hyperlink>
    </w:p>
    <w:p w14:paraId="732ED108" w14:textId="5FFDA9B3"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44" w:history="1">
        <w:r w:rsidRPr="00AA7ED9">
          <w:rPr>
            <w:rStyle w:val="Hyperlink"/>
            <w:rFonts w:ascii="Arial" w:hAnsi="Arial"/>
            <w:noProof/>
          </w:rPr>
          <w:t>6.3.</w:t>
        </w:r>
        <w:r>
          <w:rPr>
            <w:rFonts w:eastAsiaTheme="minorEastAsia" w:cstheme="minorBidi"/>
            <w:b w:val="0"/>
            <w:bCs w:val="0"/>
            <w:iCs w:val="0"/>
            <w:noProof/>
            <w:kern w:val="2"/>
            <w:szCs w:val="24"/>
            <w:lang w:val="en-US" w:eastAsia="ja-JP"/>
            <w14:ligatures w14:val="standardContextual"/>
          </w:rPr>
          <w:tab/>
        </w:r>
        <w:r w:rsidRPr="00AA7ED9">
          <w:rPr>
            <w:rStyle w:val="Hyperlink"/>
            <w:noProof/>
          </w:rPr>
          <w:t>Establish reliance processes and procedures</w:t>
        </w:r>
        <w:r>
          <w:rPr>
            <w:noProof/>
            <w:webHidden/>
          </w:rPr>
          <w:tab/>
        </w:r>
        <w:r>
          <w:rPr>
            <w:noProof/>
            <w:webHidden/>
          </w:rPr>
          <w:fldChar w:fldCharType="begin"/>
        </w:r>
        <w:r>
          <w:rPr>
            <w:noProof/>
            <w:webHidden/>
          </w:rPr>
          <w:instrText xml:space="preserve"> PAGEREF _Toc213265644 \h </w:instrText>
        </w:r>
        <w:r>
          <w:rPr>
            <w:noProof/>
            <w:webHidden/>
          </w:rPr>
        </w:r>
        <w:r>
          <w:rPr>
            <w:noProof/>
            <w:webHidden/>
          </w:rPr>
          <w:fldChar w:fldCharType="separate"/>
        </w:r>
        <w:r w:rsidR="00233554">
          <w:rPr>
            <w:noProof/>
            <w:webHidden/>
          </w:rPr>
          <w:t>23</w:t>
        </w:r>
        <w:r>
          <w:rPr>
            <w:noProof/>
            <w:webHidden/>
          </w:rPr>
          <w:fldChar w:fldCharType="end"/>
        </w:r>
      </w:hyperlink>
    </w:p>
    <w:p w14:paraId="66160B5A" w14:textId="708D0698"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46" w:history="1">
        <w:r w:rsidRPr="00AA7ED9">
          <w:rPr>
            <w:rStyle w:val="Hyperlink"/>
            <w:rFonts w:ascii="Arial" w:hAnsi="Arial"/>
            <w:noProof/>
          </w:rPr>
          <w:t>6.4.</w:t>
        </w:r>
        <w:r>
          <w:rPr>
            <w:rFonts w:eastAsiaTheme="minorEastAsia" w:cstheme="minorBidi"/>
            <w:b w:val="0"/>
            <w:bCs w:val="0"/>
            <w:iCs w:val="0"/>
            <w:noProof/>
            <w:kern w:val="2"/>
            <w:szCs w:val="24"/>
            <w:lang w:val="en-US" w:eastAsia="ja-JP"/>
            <w14:ligatures w14:val="standardContextual"/>
          </w:rPr>
          <w:tab/>
        </w:r>
        <w:r w:rsidRPr="00AA7ED9">
          <w:rPr>
            <w:rStyle w:val="Hyperlink"/>
            <w:noProof/>
          </w:rPr>
          <w:t>Define roles of supporting documents and resources</w:t>
        </w:r>
        <w:r>
          <w:rPr>
            <w:noProof/>
            <w:webHidden/>
          </w:rPr>
          <w:tab/>
        </w:r>
        <w:r>
          <w:rPr>
            <w:noProof/>
            <w:webHidden/>
          </w:rPr>
          <w:fldChar w:fldCharType="begin"/>
        </w:r>
        <w:r>
          <w:rPr>
            <w:noProof/>
            <w:webHidden/>
          </w:rPr>
          <w:instrText xml:space="preserve"> PAGEREF _Toc213265646 \h </w:instrText>
        </w:r>
        <w:r>
          <w:rPr>
            <w:noProof/>
            <w:webHidden/>
          </w:rPr>
        </w:r>
        <w:r>
          <w:rPr>
            <w:noProof/>
            <w:webHidden/>
          </w:rPr>
          <w:fldChar w:fldCharType="separate"/>
        </w:r>
        <w:r w:rsidR="00233554">
          <w:rPr>
            <w:noProof/>
            <w:webHidden/>
          </w:rPr>
          <w:t>26</w:t>
        </w:r>
        <w:r>
          <w:rPr>
            <w:noProof/>
            <w:webHidden/>
          </w:rPr>
          <w:fldChar w:fldCharType="end"/>
        </w:r>
      </w:hyperlink>
    </w:p>
    <w:p w14:paraId="76BE67D0" w14:textId="101C919E"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47" w:history="1">
        <w:r w:rsidRPr="00AA7ED9">
          <w:rPr>
            <w:rStyle w:val="Hyperlink"/>
            <w:rFonts w:ascii="Arial" w:hAnsi="Arial"/>
            <w:noProof/>
          </w:rPr>
          <w:t>6.5.</w:t>
        </w:r>
        <w:r>
          <w:rPr>
            <w:rFonts w:eastAsiaTheme="minorEastAsia" w:cstheme="minorBidi"/>
            <w:b w:val="0"/>
            <w:bCs w:val="0"/>
            <w:iCs w:val="0"/>
            <w:noProof/>
            <w:kern w:val="2"/>
            <w:szCs w:val="24"/>
            <w:lang w:val="en-US" w:eastAsia="ja-JP"/>
            <w14:ligatures w14:val="standardContextual"/>
          </w:rPr>
          <w:tab/>
        </w:r>
        <w:r w:rsidRPr="00AA7ED9">
          <w:rPr>
            <w:rStyle w:val="Hyperlink"/>
            <w:noProof/>
          </w:rPr>
          <w:t>Formalize any necessary agreements</w:t>
        </w:r>
        <w:r>
          <w:rPr>
            <w:noProof/>
            <w:webHidden/>
          </w:rPr>
          <w:tab/>
        </w:r>
        <w:r>
          <w:rPr>
            <w:noProof/>
            <w:webHidden/>
          </w:rPr>
          <w:fldChar w:fldCharType="begin"/>
        </w:r>
        <w:r>
          <w:rPr>
            <w:noProof/>
            <w:webHidden/>
          </w:rPr>
          <w:instrText xml:space="preserve"> PAGEREF _Toc213265647 \h </w:instrText>
        </w:r>
        <w:r>
          <w:rPr>
            <w:noProof/>
            <w:webHidden/>
          </w:rPr>
        </w:r>
        <w:r>
          <w:rPr>
            <w:noProof/>
            <w:webHidden/>
          </w:rPr>
          <w:fldChar w:fldCharType="separate"/>
        </w:r>
        <w:r w:rsidR="00233554">
          <w:rPr>
            <w:noProof/>
            <w:webHidden/>
          </w:rPr>
          <w:t>27</w:t>
        </w:r>
        <w:r>
          <w:rPr>
            <w:noProof/>
            <w:webHidden/>
          </w:rPr>
          <w:fldChar w:fldCharType="end"/>
        </w:r>
      </w:hyperlink>
    </w:p>
    <w:p w14:paraId="01A19AE4" w14:textId="5AAA402A"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48" w:history="1">
        <w:r w:rsidRPr="00AA7ED9">
          <w:rPr>
            <w:rStyle w:val="Hyperlink"/>
            <w:rFonts w:ascii="Arial" w:hAnsi="Arial"/>
            <w:noProof/>
          </w:rPr>
          <w:t>6.6.</w:t>
        </w:r>
        <w:r>
          <w:rPr>
            <w:rFonts w:eastAsiaTheme="minorEastAsia" w:cstheme="minorBidi"/>
            <w:b w:val="0"/>
            <w:bCs w:val="0"/>
            <w:iCs w:val="0"/>
            <w:noProof/>
            <w:kern w:val="2"/>
            <w:szCs w:val="24"/>
            <w:lang w:val="en-US" w:eastAsia="ja-JP"/>
            <w14:ligatures w14:val="standardContextual"/>
          </w:rPr>
          <w:tab/>
        </w:r>
        <w:r w:rsidRPr="00AA7ED9">
          <w:rPr>
            <w:rStyle w:val="Hyperlink"/>
            <w:noProof/>
          </w:rPr>
          <w:t>Continue stakeholder engagement</w:t>
        </w:r>
        <w:r>
          <w:rPr>
            <w:noProof/>
            <w:webHidden/>
          </w:rPr>
          <w:tab/>
        </w:r>
        <w:r>
          <w:rPr>
            <w:noProof/>
            <w:webHidden/>
          </w:rPr>
          <w:fldChar w:fldCharType="begin"/>
        </w:r>
        <w:r>
          <w:rPr>
            <w:noProof/>
            <w:webHidden/>
          </w:rPr>
          <w:instrText xml:space="preserve"> PAGEREF _Toc213265648 \h </w:instrText>
        </w:r>
        <w:r>
          <w:rPr>
            <w:noProof/>
            <w:webHidden/>
          </w:rPr>
        </w:r>
        <w:r>
          <w:rPr>
            <w:noProof/>
            <w:webHidden/>
          </w:rPr>
          <w:fldChar w:fldCharType="separate"/>
        </w:r>
        <w:r w:rsidR="00233554">
          <w:rPr>
            <w:noProof/>
            <w:webHidden/>
          </w:rPr>
          <w:t>28</w:t>
        </w:r>
        <w:r>
          <w:rPr>
            <w:noProof/>
            <w:webHidden/>
          </w:rPr>
          <w:fldChar w:fldCharType="end"/>
        </w:r>
      </w:hyperlink>
    </w:p>
    <w:p w14:paraId="2FBFC7EA" w14:textId="16E1BD17"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49" w:history="1">
        <w:r w:rsidRPr="00AA7ED9">
          <w:rPr>
            <w:rStyle w:val="Hyperlink"/>
            <w:rFonts w:ascii="Arial" w:hAnsi="Arial"/>
            <w:noProof/>
          </w:rPr>
          <w:t>6.7.</w:t>
        </w:r>
        <w:r>
          <w:rPr>
            <w:rFonts w:eastAsiaTheme="minorEastAsia" w:cstheme="minorBidi"/>
            <w:b w:val="0"/>
            <w:bCs w:val="0"/>
            <w:iCs w:val="0"/>
            <w:noProof/>
            <w:kern w:val="2"/>
            <w:szCs w:val="24"/>
            <w:lang w:val="en-US" w:eastAsia="ja-JP"/>
            <w14:ligatures w14:val="standardContextual"/>
          </w:rPr>
          <w:tab/>
        </w:r>
        <w:r w:rsidRPr="00AA7ED9">
          <w:rPr>
            <w:rStyle w:val="Hyperlink"/>
            <w:noProof/>
          </w:rPr>
          <w:t>Establish a management system for the reliance program</w:t>
        </w:r>
        <w:r>
          <w:rPr>
            <w:noProof/>
            <w:webHidden/>
          </w:rPr>
          <w:tab/>
        </w:r>
        <w:r>
          <w:rPr>
            <w:noProof/>
            <w:webHidden/>
          </w:rPr>
          <w:fldChar w:fldCharType="begin"/>
        </w:r>
        <w:r>
          <w:rPr>
            <w:noProof/>
            <w:webHidden/>
          </w:rPr>
          <w:instrText xml:space="preserve"> PAGEREF _Toc213265649 \h </w:instrText>
        </w:r>
        <w:r>
          <w:rPr>
            <w:noProof/>
            <w:webHidden/>
          </w:rPr>
        </w:r>
        <w:r>
          <w:rPr>
            <w:noProof/>
            <w:webHidden/>
          </w:rPr>
          <w:fldChar w:fldCharType="separate"/>
        </w:r>
        <w:r w:rsidR="00233554">
          <w:rPr>
            <w:noProof/>
            <w:webHidden/>
          </w:rPr>
          <w:t>29</w:t>
        </w:r>
        <w:r>
          <w:rPr>
            <w:noProof/>
            <w:webHidden/>
          </w:rPr>
          <w:fldChar w:fldCharType="end"/>
        </w:r>
      </w:hyperlink>
    </w:p>
    <w:p w14:paraId="6B65207E" w14:textId="738CEF45" w:rsidR="00F30CE1" w:rsidRDefault="00F30CE1">
      <w:pPr>
        <w:pStyle w:val="TOC1"/>
        <w:rPr>
          <w:rFonts w:eastAsiaTheme="minorEastAsia" w:cstheme="minorBidi"/>
          <w:b w:val="0"/>
          <w:bCs w:val="0"/>
          <w:noProof/>
          <w:kern w:val="2"/>
          <w:szCs w:val="24"/>
          <w:lang w:val="en-US" w:eastAsia="ja-JP"/>
          <w14:ligatures w14:val="standardContextual"/>
        </w:rPr>
      </w:pPr>
      <w:hyperlink w:anchor="_Toc213265650" w:history="1">
        <w:r w:rsidRPr="00AA7ED9">
          <w:rPr>
            <w:rStyle w:val="Hyperlink"/>
            <w:rFonts w:ascii="Arial" w:hAnsi="Arial"/>
            <w:noProof/>
            <w:lang w:val="en-US"/>
          </w:rPr>
          <w:t>7.</w:t>
        </w:r>
        <w:r>
          <w:rPr>
            <w:rFonts w:eastAsiaTheme="minorEastAsia" w:cstheme="minorBidi"/>
            <w:b w:val="0"/>
            <w:bCs w:val="0"/>
            <w:noProof/>
            <w:kern w:val="2"/>
            <w:szCs w:val="24"/>
            <w:lang w:val="en-US" w:eastAsia="ja-JP"/>
            <w14:ligatures w14:val="standardContextual"/>
          </w:rPr>
          <w:tab/>
        </w:r>
        <w:r w:rsidRPr="00AA7ED9">
          <w:rPr>
            <w:rStyle w:val="Hyperlink"/>
            <w:noProof/>
            <w:lang w:val="en-US"/>
          </w:rPr>
          <w:t>References</w:t>
        </w:r>
        <w:r>
          <w:rPr>
            <w:noProof/>
            <w:webHidden/>
          </w:rPr>
          <w:tab/>
        </w:r>
        <w:r>
          <w:rPr>
            <w:noProof/>
            <w:webHidden/>
          </w:rPr>
          <w:fldChar w:fldCharType="begin"/>
        </w:r>
        <w:r>
          <w:rPr>
            <w:noProof/>
            <w:webHidden/>
          </w:rPr>
          <w:instrText xml:space="preserve"> PAGEREF _Toc213265650 \h </w:instrText>
        </w:r>
        <w:r>
          <w:rPr>
            <w:noProof/>
            <w:webHidden/>
          </w:rPr>
        </w:r>
        <w:r>
          <w:rPr>
            <w:noProof/>
            <w:webHidden/>
          </w:rPr>
          <w:fldChar w:fldCharType="separate"/>
        </w:r>
        <w:r w:rsidR="00233554">
          <w:rPr>
            <w:noProof/>
            <w:webHidden/>
          </w:rPr>
          <w:t>31</w:t>
        </w:r>
        <w:r>
          <w:rPr>
            <w:noProof/>
            <w:webHidden/>
          </w:rPr>
          <w:fldChar w:fldCharType="end"/>
        </w:r>
      </w:hyperlink>
    </w:p>
    <w:p w14:paraId="219C67DE" w14:textId="19B0F778"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51" w:history="1">
        <w:r w:rsidRPr="00AA7ED9">
          <w:rPr>
            <w:rStyle w:val="Hyperlink"/>
            <w:rFonts w:ascii="Arial" w:hAnsi="Arial"/>
            <w:noProof/>
          </w:rPr>
          <w:t>7.1.</w:t>
        </w:r>
        <w:r>
          <w:rPr>
            <w:rFonts w:eastAsiaTheme="minorEastAsia" w:cstheme="minorBidi"/>
            <w:b w:val="0"/>
            <w:bCs w:val="0"/>
            <w:iCs w:val="0"/>
            <w:noProof/>
            <w:kern w:val="2"/>
            <w:szCs w:val="24"/>
            <w:lang w:val="en-US" w:eastAsia="ja-JP"/>
            <w14:ligatures w14:val="standardContextual"/>
          </w:rPr>
          <w:tab/>
        </w:r>
        <w:r w:rsidRPr="00AA7ED9">
          <w:rPr>
            <w:rStyle w:val="Hyperlink"/>
            <w:noProof/>
          </w:rPr>
          <w:t>Referenced in text</w:t>
        </w:r>
        <w:r>
          <w:rPr>
            <w:noProof/>
            <w:webHidden/>
          </w:rPr>
          <w:tab/>
        </w:r>
        <w:r>
          <w:rPr>
            <w:noProof/>
            <w:webHidden/>
          </w:rPr>
          <w:fldChar w:fldCharType="begin"/>
        </w:r>
        <w:r>
          <w:rPr>
            <w:noProof/>
            <w:webHidden/>
          </w:rPr>
          <w:instrText xml:space="preserve"> PAGEREF _Toc213265651 \h </w:instrText>
        </w:r>
        <w:r>
          <w:rPr>
            <w:noProof/>
            <w:webHidden/>
          </w:rPr>
        </w:r>
        <w:r>
          <w:rPr>
            <w:noProof/>
            <w:webHidden/>
          </w:rPr>
          <w:fldChar w:fldCharType="separate"/>
        </w:r>
        <w:r w:rsidR="00233554">
          <w:rPr>
            <w:noProof/>
            <w:webHidden/>
          </w:rPr>
          <w:t>31</w:t>
        </w:r>
        <w:r>
          <w:rPr>
            <w:noProof/>
            <w:webHidden/>
          </w:rPr>
          <w:fldChar w:fldCharType="end"/>
        </w:r>
      </w:hyperlink>
    </w:p>
    <w:p w14:paraId="084962AE" w14:textId="2E05AFD1" w:rsidR="00F30CE1" w:rsidRDefault="00F30CE1">
      <w:pPr>
        <w:pStyle w:val="TOC2"/>
        <w:rPr>
          <w:rFonts w:eastAsiaTheme="minorEastAsia" w:cstheme="minorBidi"/>
          <w:b w:val="0"/>
          <w:bCs w:val="0"/>
          <w:iCs w:val="0"/>
          <w:noProof/>
          <w:kern w:val="2"/>
          <w:szCs w:val="24"/>
          <w:lang w:val="en-US" w:eastAsia="ja-JP"/>
          <w14:ligatures w14:val="standardContextual"/>
        </w:rPr>
      </w:pPr>
      <w:hyperlink w:anchor="_Toc213265652" w:history="1">
        <w:r w:rsidRPr="00AA7ED9">
          <w:rPr>
            <w:rStyle w:val="Hyperlink"/>
            <w:rFonts w:ascii="Arial" w:hAnsi="Arial"/>
            <w:noProof/>
          </w:rPr>
          <w:t>7.2.</w:t>
        </w:r>
        <w:r>
          <w:rPr>
            <w:rFonts w:eastAsiaTheme="minorEastAsia" w:cstheme="minorBidi"/>
            <w:b w:val="0"/>
            <w:bCs w:val="0"/>
            <w:iCs w:val="0"/>
            <w:noProof/>
            <w:kern w:val="2"/>
            <w:szCs w:val="24"/>
            <w:lang w:val="en-US" w:eastAsia="ja-JP"/>
            <w14:ligatures w14:val="standardContextual"/>
          </w:rPr>
          <w:tab/>
        </w:r>
        <w:r w:rsidRPr="00AA7ED9">
          <w:rPr>
            <w:rStyle w:val="Hyperlink"/>
            <w:noProof/>
          </w:rPr>
          <w:t>Additional resources</w:t>
        </w:r>
        <w:r>
          <w:rPr>
            <w:noProof/>
            <w:webHidden/>
          </w:rPr>
          <w:tab/>
        </w:r>
        <w:r>
          <w:rPr>
            <w:noProof/>
            <w:webHidden/>
          </w:rPr>
          <w:fldChar w:fldCharType="begin"/>
        </w:r>
        <w:r>
          <w:rPr>
            <w:noProof/>
            <w:webHidden/>
          </w:rPr>
          <w:instrText xml:space="preserve"> PAGEREF _Toc213265652 \h </w:instrText>
        </w:r>
        <w:r>
          <w:rPr>
            <w:noProof/>
            <w:webHidden/>
          </w:rPr>
        </w:r>
        <w:r>
          <w:rPr>
            <w:noProof/>
            <w:webHidden/>
          </w:rPr>
          <w:fldChar w:fldCharType="separate"/>
        </w:r>
        <w:r w:rsidR="00233554">
          <w:rPr>
            <w:noProof/>
            <w:webHidden/>
          </w:rPr>
          <w:t>32</w:t>
        </w:r>
        <w:r>
          <w:rPr>
            <w:noProof/>
            <w:webHidden/>
          </w:rPr>
          <w:fldChar w:fldCharType="end"/>
        </w:r>
      </w:hyperlink>
    </w:p>
    <w:p w14:paraId="025B5514" w14:textId="45683D0A" w:rsidR="00F30CE1" w:rsidRDefault="00F30CE1">
      <w:pPr>
        <w:pStyle w:val="TOC1"/>
        <w:rPr>
          <w:rFonts w:eastAsiaTheme="minorEastAsia" w:cstheme="minorBidi"/>
          <w:b w:val="0"/>
          <w:bCs w:val="0"/>
          <w:noProof/>
          <w:kern w:val="2"/>
          <w:szCs w:val="24"/>
          <w:lang w:val="en-US" w:eastAsia="ja-JP"/>
          <w14:ligatures w14:val="standardContextual"/>
        </w:rPr>
      </w:pPr>
      <w:hyperlink w:anchor="_Toc213265653" w:history="1">
        <w:r w:rsidRPr="00AA7ED9">
          <w:rPr>
            <w:rStyle w:val="Hyperlink"/>
            <w:noProof/>
            <w:lang w:val="en-US"/>
          </w:rPr>
          <w:t>Annex: Evaluation Questions for Potential Reference Regulatory Authorities</w:t>
        </w:r>
        <w:r>
          <w:rPr>
            <w:noProof/>
            <w:webHidden/>
          </w:rPr>
          <w:tab/>
        </w:r>
        <w:r>
          <w:rPr>
            <w:noProof/>
            <w:webHidden/>
          </w:rPr>
          <w:fldChar w:fldCharType="begin"/>
        </w:r>
        <w:r>
          <w:rPr>
            <w:noProof/>
            <w:webHidden/>
          </w:rPr>
          <w:instrText xml:space="preserve"> PAGEREF _Toc213265653 \h </w:instrText>
        </w:r>
        <w:r>
          <w:rPr>
            <w:noProof/>
            <w:webHidden/>
          </w:rPr>
        </w:r>
        <w:r>
          <w:rPr>
            <w:noProof/>
            <w:webHidden/>
          </w:rPr>
          <w:fldChar w:fldCharType="separate"/>
        </w:r>
        <w:r w:rsidR="00233554">
          <w:rPr>
            <w:noProof/>
            <w:webHidden/>
          </w:rPr>
          <w:t>33</w:t>
        </w:r>
        <w:r>
          <w:rPr>
            <w:noProof/>
            <w:webHidden/>
          </w:rPr>
          <w:fldChar w:fldCharType="end"/>
        </w:r>
      </w:hyperlink>
    </w:p>
    <w:p w14:paraId="1247C8CE" w14:textId="04DB85A9" w:rsidR="00AB07B6" w:rsidRDefault="00195045" w:rsidP="00D81897">
      <w:pPr>
        <w:pStyle w:val="TOC2"/>
        <w:rPr>
          <w:noProof/>
          <w:lang w:val="en-US"/>
        </w:rPr>
      </w:pPr>
      <w:r w:rsidRPr="000F7A87">
        <w:rPr>
          <w:noProof/>
          <w:lang w:val="en-US"/>
        </w:rPr>
        <w:fldChar w:fldCharType="end"/>
      </w:r>
    </w:p>
    <w:p w14:paraId="52EBC00B" w14:textId="458F326E" w:rsidR="0080451D" w:rsidRDefault="00C83876" w:rsidP="0080451D">
      <w:pPr>
        <w:pStyle w:val="Heading1"/>
        <w:rPr>
          <w:noProof/>
          <w:lang w:val="en-US"/>
        </w:rPr>
      </w:pPr>
      <w:bookmarkStart w:id="0" w:name="_Toc213265613"/>
      <w:r>
        <w:rPr>
          <w:noProof/>
          <w:lang w:val="en-US"/>
        </w:rPr>
        <w:t>Introduction</w:t>
      </w:r>
      <w:bookmarkEnd w:id="0"/>
    </w:p>
    <w:p w14:paraId="726BE13A" w14:textId="2640741D" w:rsidR="0003708A" w:rsidRDefault="0003708A" w:rsidP="0003708A">
      <w:pPr>
        <w:jc w:val="both"/>
        <w:rPr>
          <w:color w:val="808080" w:themeColor="background1" w:themeShade="80"/>
          <w:szCs w:val="20"/>
        </w:rPr>
      </w:pPr>
      <w:r w:rsidRPr="00510528">
        <w:rPr>
          <w:szCs w:val="20"/>
        </w:rPr>
        <w:t>Medical devices</w:t>
      </w:r>
      <w:r w:rsidR="007F048A">
        <w:rPr>
          <w:rStyle w:val="FootnoteReference"/>
          <w:szCs w:val="20"/>
        </w:rPr>
        <w:footnoteReference w:id="2"/>
      </w:r>
      <w:r w:rsidRPr="00510528">
        <w:rPr>
          <w:szCs w:val="20"/>
        </w:rPr>
        <w:t xml:space="preserve"> present great technolog</w:t>
      </w:r>
      <w:r w:rsidR="0088350A">
        <w:rPr>
          <w:szCs w:val="20"/>
        </w:rPr>
        <w:t>ical</w:t>
      </w:r>
      <w:r w:rsidRPr="00510528">
        <w:rPr>
          <w:szCs w:val="20"/>
        </w:rPr>
        <w:t xml:space="preserve"> variation and diverse global regulatory frameworks, with rapid </w:t>
      </w:r>
      <w:r w:rsidRPr="00975DE5">
        <w:rPr>
          <w:szCs w:val="20"/>
        </w:rPr>
        <w:t>development and adoption timelines. As worldwide regulatory activities expand and health technologies grow more complex, resources for regulators, industry, and conformity assessment bodies become increasingly constrained.</w:t>
      </w:r>
    </w:p>
    <w:p w14:paraId="01B6ABB8" w14:textId="4750D7ED" w:rsidR="0003708A" w:rsidRPr="001B66EE" w:rsidRDefault="0003708A" w:rsidP="0003708A">
      <w:pPr>
        <w:jc w:val="both"/>
        <w:rPr>
          <w:color w:val="000000" w:themeColor="text1"/>
          <w:szCs w:val="20"/>
        </w:rPr>
      </w:pPr>
      <w:r w:rsidRPr="001B66EE">
        <w:rPr>
          <w:color w:val="000000" w:themeColor="text1"/>
          <w:szCs w:val="20"/>
        </w:rPr>
        <w:t>Regulatory reliance</w:t>
      </w:r>
      <w:r w:rsidRPr="001B66EE">
        <w:rPr>
          <w:color w:val="000000" w:themeColor="text1"/>
          <w:szCs w:val="20"/>
          <w:lang w:val="en-US"/>
        </w:rPr>
        <w:t xml:space="preserve"> is one approach that</w:t>
      </w:r>
      <w:r w:rsidRPr="001B66EE">
        <w:rPr>
          <w:color w:val="000000" w:themeColor="text1"/>
          <w:szCs w:val="20"/>
        </w:rPr>
        <w:t xml:space="preserve"> addresses these challenges by </w:t>
      </w:r>
      <w:r w:rsidRPr="001B66EE">
        <w:rPr>
          <w:color w:val="000000" w:themeColor="text1"/>
          <w:szCs w:val="20"/>
          <w:lang w:val="en-US"/>
        </w:rPr>
        <w:t xml:space="preserve">allowing regulators to leverage the work done by trusted partners </w:t>
      </w:r>
      <w:r>
        <w:rPr>
          <w:color w:val="000000" w:themeColor="text1"/>
          <w:szCs w:val="20"/>
          <w:lang w:val="en-US"/>
        </w:rPr>
        <w:t xml:space="preserve">to support regulatory decision-making processes </w:t>
      </w:r>
      <w:r w:rsidRPr="001B66EE">
        <w:rPr>
          <w:color w:val="000000" w:themeColor="text1"/>
          <w:szCs w:val="20"/>
          <w:lang w:val="en-US"/>
        </w:rPr>
        <w:t xml:space="preserve">– an approach promoted by the World Health Organization (WHO) in its </w:t>
      </w:r>
      <w:r w:rsidRPr="001B66EE">
        <w:rPr>
          <w:i/>
          <w:iCs/>
          <w:color w:val="000000" w:themeColor="text1"/>
          <w:szCs w:val="20"/>
          <w:lang w:val="en-US"/>
        </w:rPr>
        <w:t xml:space="preserve">Good Reliance Practices </w:t>
      </w:r>
      <w:r w:rsidR="00722A4F">
        <w:rPr>
          <w:i/>
          <w:iCs/>
          <w:color w:val="000000" w:themeColor="text1"/>
          <w:szCs w:val="20"/>
          <w:lang w:val="en-US"/>
        </w:rPr>
        <w:t>in the regulation of</w:t>
      </w:r>
      <w:r w:rsidRPr="001B66EE">
        <w:rPr>
          <w:i/>
          <w:iCs/>
          <w:color w:val="000000" w:themeColor="text1"/>
          <w:szCs w:val="20"/>
          <w:lang w:val="en-US"/>
        </w:rPr>
        <w:t xml:space="preserve"> medical products</w:t>
      </w:r>
      <w:r w:rsidRPr="001B66EE">
        <w:rPr>
          <w:color w:val="000000" w:themeColor="text1"/>
          <w:szCs w:val="20"/>
          <w:lang w:val="en-US"/>
        </w:rPr>
        <w:t xml:space="preserve"> (see </w:t>
      </w:r>
      <w:hyperlink w:anchor="_Referenced_in_text" w:history="1">
        <w:r w:rsidRPr="00D62272">
          <w:rPr>
            <w:rStyle w:val="Hyperlink"/>
            <w:szCs w:val="20"/>
            <w:lang w:val="en-US"/>
          </w:rPr>
          <w:t xml:space="preserve">Section </w:t>
        </w:r>
        <w:r w:rsidR="006D5679" w:rsidRPr="00783DFA">
          <w:rPr>
            <w:rStyle w:val="Hyperlink"/>
          </w:rPr>
          <w:t>7</w:t>
        </w:r>
        <w:r w:rsidRPr="00783DFA">
          <w:rPr>
            <w:rStyle w:val="Hyperlink"/>
          </w:rPr>
          <w:t>.1</w:t>
        </w:r>
      </w:hyperlink>
      <w:r w:rsidRPr="001B66EE">
        <w:rPr>
          <w:color w:val="000000" w:themeColor="text1"/>
          <w:szCs w:val="20"/>
          <w:lang w:val="en-US"/>
        </w:rPr>
        <w:t xml:space="preserve">). </w:t>
      </w:r>
    </w:p>
    <w:p w14:paraId="3DD52070" w14:textId="547EF6B1" w:rsidR="0003708A" w:rsidRDefault="0003708A" w:rsidP="0003708A">
      <w:pPr>
        <w:jc w:val="both"/>
        <w:rPr>
          <w:szCs w:val="20"/>
        </w:rPr>
      </w:pPr>
      <w:r w:rsidRPr="00791EAD">
        <w:rPr>
          <w:szCs w:val="20"/>
        </w:rPr>
        <w:t>Appropriately designed regulatory reliance programs benefit the entire medical device ecosystem</w:t>
      </w:r>
      <w:r>
        <w:rPr>
          <w:szCs w:val="20"/>
        </w:rPr>
        <w:t xml:space="preserve">, with the </w:t>
      </w:r>
      <w:r w:rsidRPr="00A36E6B">
        <w:rPr>
          <w:szCs w:val="20"/>
        </w:rPr>
        <w:t>ultimate goal</w:t>
      </w:r>
      <w:r>
        <w:rPr>
          <w:szCs w:val="20"/>
        </w:rPr>
        <w:t xml:space="preserve"> of </w:t>
      </w:r>
      <w:r w:rsidRPr="00A36E6B">
        <w:rPr>
          <w:szCs w:val="20"/>
        </w:rPr>
        <w:t>improv</w:t>
      </w:r>
      <w:r>
        <w:rPr>
          <w:szCs w:val="20"/>
        </w:rPr>
        <w:t>ing</w:t>
      </w:r>
      <w:r w:rsidRPr="00A36E6B">
        <w:rPr>
          <w:szCs w:val="20"/>
        </w:rPr>
        <w:t xml:space="preserve"> patient access to safe and effective medical devices that meet the Essential Principles of Safety and Performance in IMDRF/GRRP WG/N47</w:t>
      </w:r>
      <w:r w:rsidR="00514D3E">
        <w:rPr>
          <w:szCs w:val="20"/>
        </w:rPr>
        <w:t xml:space="preserve"> </w:t>
      </w:r>
      <w:r w:rsidR="00514D3E">
        <w:rPr>
          <w:szCs w:val="20"/>
          <w:lang w:val="en-GB"/>
        </w:rPr>
        <w:t xml:space="preserve">- </w:t>
      </w:r>
      <w:r w:rsidR="00514D3E" w:rsidRPr="000A79F0">
        <w:rPr>
          <w:i/>
          <w:iCs/>
          <w:szCs w:val="20"/>
          <w:lang w:val="en-GB"/>
        </w:rPr>
        <w:t>Essential Principles of Safety and Performance of Medical Devices and IVD Medical Devices</w:t>
      </w:r>
      <w:r w:rsidRPr="00A36E6B">
        <w:rPr>
          <w:szCs w:val="20"/>
        </w:rPr>
        <w:t>.</w:t>
      </w:r>
    </w:p>
    <w:p w14:paraId="344A3318" w14:textId="77777777" w:rsidR="0003708A" w:rsidRDefault="0003708A" w:rsidP="0003708A">
      <w:pPr>
        <w:jc w:val="both"/>
        <w:rPr>
          <w:b/>
          <w:bCs/>
          <w:color w:val="808080" w:themeColor="background1" w:themeShade="80"/>
          <w:szCs w:val="20"/>
        </w:rPr>
      </w:pPr>
    </w:p>
    <w:p w14:paraId="1D96E15C" w14:textId="77777777" w:rsidR="0003708A" w:rsidRPr="001607B0" w:rsidRDefault="0003708A" w:rsidP="0003708A">
      <w:pPr>
        <w:jc w:val="both"/>
        <w:rPr>
          <w:b/>
          <w:bCs/>
          <w:color w:val="000000" w:themeColor="text1"/>
          <w:szCs w:val="20"/>
        </w:rPr>
      </w:pPr>
      <w:r w:rsidRPr="001607B0">
        <w:rPr>
          <w:b/>
          <w:bCs/>
          <w:color w:val="000000" w:themeColor="text1"/>
          <w:szCs w:val="20"/>
        </w:rPr>
        <w:t xml:space="preserve">What This Playbook Offers </w:t>
      </w:r>
    </w:p>
    <w:p w14:paraId="40503E65" w14:textId="3A683FAE" w:rsidR="0003708A" w:rsidRPr="00553590" w:rsidRDefault="0003708A" w:rsidP="0003708A">
      <w:pPr>
        <w:jc w:val="both"/>
        <w:rPr>
          <w:szCs w:val="20"/>
        </w:rPr>
      </w:pPr>
      <w:r w:rsidRPr="00553590">
        <w:rPr>
          <w:szCs w:val="20"/>
        </w:rPr>
        <w:t>Th</w:t>
      </w:r>
      <w:r>
        <w:rPr>
          <w:szCs w:val="20"/>
        </w:rPr>
        <w:t>e goal of this</w:t>
      </w:r>
      <w:r w:rsidRPr="00553590">
        <w:rPr>
          <w:szCs w:val="20"/>
        </w:rPr>
        <w:t xml:space="preserve"> playbook </w:t>
      </w:r>
      <w:r>
        <w:rPr>
          <w:szCs w:val="20"/>
        </w:rPr>
        <w:t xml:space="preserve">is to </w:t>
      </w:r>
      <w:r w:rsidRPr="00445F25">
        <w:rPr>
          <w:szCs w:val="20"/>
          <w:lang w:val="en-US"/>
        </w:rPr>
        <w:t xml:space="preserve">promote efficient and aligned approaches to regulatory decision-making by providing examples and </w:t>
      </w:r>
      <w:r>
        <w:rPr>
          <w:szCs w:val="20"/>
          <w:lang w:val="en-US"/>
        </w:rPr>
        <w:t xml:space="preserve">considerations </w:t>
      </w:r>
      <w:r w:rsidRPr="00553590">
        <w:rPr>
          <w:szCs w:val="20"/>
        </w:rPr>
        <w:t>to support the development and implementation of regulatory reliance programs</w:t>
      </w:r>
      <w:r>
        <w:rPr>
          <w:szCs w:val="20"/>
        </w:rPr>
        <w:t xml:space="preserve">. It </w:t>
      </w:r>
      <w:r w:rsidRPr="00553590">
        <w:rPr>
          <w:szCs w:val="20"/>
        </w:rPr>
        <w:t xml:space="preserve">builds on existing regulatory reliance approaches to provide high-level strategies, including specific considerations and </w:t>
      </w:r>
      <w:r w:rsidR="00915572">
        <w:rPr>
          <w:szCs w:val="20"/>
        </w:rPr>
        <w:t xml:space="preserve">suggested </w:t>
      </w:r>
      <w:r w:rsidRPr="00553590">
        <w:rPr>
          <w:szCs w:val="20"/>
        </w:rPr>
        <w:t>steps</w:t>
      </w:r>
      <w:r>
        <w:rPr>
          <w:color w:val="FF0000"/>
          <w:szCs w:val="20"/>
        </w:rPr>
        <w:t xml:space="preserve"> </w:t>
      </w:r>
      <w:r w:rsidRPr="00553590">
        <w:rPr>
          <w:szCs w:val="20"/>
        </w:rPr>
        <w:t xml:space="preserve">that: </w:t>
      </w:r>
    </w:p>
    <w:p w14:paraId="61767677" w14:textId="77777777" w:rsidR="0003708A" w:rsidRPr="005D43CA" w:rsidRDefault="0003708A" w:rsidP="00783DFA">
      <w:pPr>
        <w:pStyle w:val="NormalNumbered"/>
        <w:numPr>
          <w:ilvl w:val="0"/>
          <w:numId w:val="35"/>
        </w:numPr>
        <w:ind w:left="288" w:hanging="288"/>
        <w:jc w:val="both"/>
        <w:rPr>
          <w:noProof/>
          <w:szCs w:val="20"/>
        </w:rPr>
      </w:pPr>
      <w:r w:rsidRPr="005D43CA">
        <w:rPr>
          <w:noProof/>
          <w:szCs w:val="20"/>
        </w:rPr>
        <w:t>are sufficiently flexible to apply to various medical device technologies and throughout the product lifecycle</w:t>
      </w:r>
    </w:p>
    <w:p w14:paraId="18ABA1E7" w14:textId="77777777" w:rsidR="0003708A" w:rsidRDefault="0003708A" w:rsidP="00783DFA">
      <w:pPr>
        <w:pStyle w:val="NormalNumbered"/>
        <w:numPr>
          <w:ilvl w:val="0"/>
          <w:numId w:val="35"/>
        </w:numPr>
        <w:ind w:left="288" w:hanging="288"/>
        <w:jc w:val="both"/>
        <w:rPr>
          <w:noProof/>
          <w:szCs w:val="20"/>
        </w:rPr>
      </w:pPr>
      <w:r w:rsidRPr="005D43CA">
        <w:rPr>
          <w:noProof/>
          <w:szCs w:val="20"/>
        </w:rPr>
        <w:t>are adaptable to suit regulator</w:t>
      </w:r>
      <w:r>
        <w:rPr>
          <w:noProof/>
          <w:szCs w:val="20"/>
        </w:rPr>
        <w:t>’s</w:t>
      </w:r>
      <w:r w:rsidRPr="005D43CA">
        <w:rPr>
          <w:noProof/>
          <w:szCs w:val="20"/>
        </w:rPr>
        <w:t xml:space="preserve"> needs</w:t>
      </w:r>
    </w:p>
    <w:p w14:paraId="3691979D" w14:textId="6CA48BC0" w:rsidR="0003708A" w:rsidRDefault="0003708A" w:rsidP="0003708A">
      <w:pPr>
        <w:jc w:val="both"/>
        <w:rPr>
          <w:color w:val="000000" w:themeColor="text1"/>
          <w:szCs w:val="20"/>
        </w:rPr>
      </w:pPr>
      <w:r w:rsidRPr="00DA2504">
        <w:rPr>
          <w:color w:val="000000" w:themeColor="text1"/>
          <w:szCs w:val="20"/>
        </w:rPr>
        <w:t xml:space="preserve">This document aims to drive reliance program adoption. </w:t>
      </w:r>
      <w:r w:rsidRPr="00820059">
        <w:rPr>
          <w:color w:val="000000" w:themeColor="text1"/>
          <w:szCs w:val="20"/>
        </w:rPr>
        <w:t>F</w:t>
      </w:r>
      <w:r w:rsidRPr="00DA2504">
        <w:rPr>
          <w:color w:val="000000" w:themeColor="text1"/>
          <w:szCs w:val="20"/>
        </w:rPr>
        <w:t>ollowing the</w:t>
      </w:r>
      <w:r w:rsidRPr="00820059">
        <w:rPr>
          <w:color w:val="000000" w:themeColor="text1"/>
          <w:szCs w:val="20"/>
        </w:rPr>
        <w:t>se considerations</w:t>
      </w:r>
      <w:r w:rsidRPr="00DA2504">
        <w:rPr>
          <w:color w:val="000000" w:themeColor="text1"/>
          <w:szCs w:val="20"/>
        </w:rPr>
        <w:t xml:space="preserve"> </w:t>
      </w:r>
      <w:r w:rsidRPr="00820059">
        <w:rPr>
          <w:color w:val="000000" w:themeColor="text1"/>
          <w:szCs w:val="20"/>
        </w:rPr>
        <w:t xml:space="preserve">will </w:t>
      </w:r>
      <w:r w:rsidRPr="00DA2504">
        <w:rPr>
          <w:color w:val="000000" w:themeColor="text1"/>
          <w:szCs w:val="20"/>
        </w:rPr>
        <w:t>advance reliance, convergence</w:t>
      </w:r>
      <w:r w:rsidR="000870DF">
        <w:rPr>
          <w:color w:val="000000" w:themeColor="text1"/>
          <w:szCs w:val="20"/>
        </w:rPr>
        <w:t>,</w:t>
      </w:r>
      <w:r w:rsidRPr="00DA2504">
        <w:rPr>
          <w:color w:val="000000" w:themeColor="text1"/>
          <w:szCs w:val="20"/>
        </w:rPr>
        <w:t xml:space="preserve"> and harmoni</w:t>
      </w:r>
      <w:r w:rsidR="00BC59C5">
        <w:rPr>
          <w:color w:val="000000" w:themeColor="text1"/>
          <w:szCs w:val="20"/>
        </w:rPr>
        <w:t>z</w:t>
      </w:r>
      <w:r w:rsidRPr="00DA2504">
        <w:rPr>
          <w:color w:val="000000" w:themeColor="text1"/>
          <w:szCs w:val="20"/>
        </w:rPr>
        <w:t>ation practices whil</w:t>
      </w:r>
      <w:r>
        <w:rPr>
          <w:color w:val="000000" w:themeColor="text1"/>
          <w:szCs w:val="20"/>
        </w:rPr>
        <w:t>e</w:t>
      </w:r>
      <w:r w:rsidRPr="00DA2504">
        <w:rPr>
          <w:color w:val="000000" w:themeColor="text1"/>
          <w:szCs w:val="20"/>
        </w:rPr>
        <w:t xml:space="preserve"> </w:t>
      </w:r>
      <w:r>
        <w:rPr>
          <w:color w:val="000000" w:themeColor="text1"/>
          <w:szCs w:val="20"/>
        </w:rPr>
        <w:t xml:space="preserve">strengthening </w:t>
      </w:r>
      <w:r w:rsidRPr="00DA2504">
        <w:rPr>
          <w:color w:val="000000" w:themeColor="text1"/>
          <w:szCs w:val="20"/>
        </w:rPr>
        <w:t>communication and trust a</w:t>
      </w:r>
      <w:r>
        <w:rPr>
          <w:color w:val="000000" w:themeColor="text1"/>
          <w:szCs w:val="20"/>
        </w:rPr>
        <w:t>mong</w:t>
      </w:r>
      <w:r w:rsidRPr="00DA2504">
        <w:rPr>
          <w:color w:val="000000" w:themeColor="text1"/>
          <w:szCs w:val="20"/>
        </w:rPr>
        <w:t xml:space="preserve"> regulatory jurisdictions. These achievements </w:t>
      </w:r>
      <w:r w:rsidRPr="00820059">
        <w:rPr>
          <w:color w:val="000000" w:themeColor="text1"/>
          <w:szCs w:val="20"/>
        </w:rPr>
        <w:t xml:space="preserve">can be facilitated by </w:t>
      </w:r>
      <w:r w:rsidRPr="00DA2504">
        <w:rPr>
          <w:color w:val="000000" w:themeColor="text1"/>
          <w:szCs w:val="20"/>
        </w:rPr>
        <w:t>continued development and adoption of globally aligned regulatory resources, such as IMDRF guidance and consensus standards.</w:t>
      </w:r>
      <w:r w:rsidR="00BC59C5">
        <w:rPr>
          <w:color w:val="000000" w:themeColor="text1"/>
          <w:szCs w:val="20"/>
        </w:rPr>
        <w:t xml:space="preserve">  </w:t>
      </w:r>
    </w:p>
    <w:p w14:paraId="42806A6E" w14:textId="6EF70084" w:rsidR="00375563" w:rsidRPr="002B59C4" w:rsidRDefault="00375563" w:rsidP="00375563">
      <w:pPr>
        <w:keepLines w:val="0"/>
        <w:jc w:val="both"/>
        <w:rPr>
          <w:lang w:val="en-US"/>
        </w:rPr>
      </w:pPr>
      <w:r w:rsidRPr="00BC59C5">
        <w:rPr>
          <w:color w:val="000000" w:themeColor="text1"/>
          <w:szCs w:val="20"/>
          <w:lang w:val="en-SG"/>
        </w:rPr>
        <w:t xml:space="preserve">This reliance playbook </w:t>
      </w:r>
      <w:r>
        <w:rPr>
          <w:color w:val="000000" w:themeColor="text1"/>
          <w:szCs w:val="20"/>
          <w:lang w:val="en-SG"/>
        </w:rPr>
        <w:t>is written as guidance for regulatory authorities (RAs)</w:t>
      </w:r>
      <w:r w:rsidR="00D3409A">
        <w:rPr>
          <w:color w:val="000000" w:themeColor="text1"/>
          <w:szCs w:val="20"/>
          <w:lang w:val="en-SG"/>
        </w:rPr>
        <w:t>,</w:t>
      </w:r>
      <w:r w:rsidRPr="00BC59C5">
        <w:rPr>
          <w:color w:val="000000" w:themeColor="text1"/>
          <w:szCs w:val="20"/>
          <w:lang w:val="en-SG"/>
        </w:rPr>
        <w:t xml:space="preserve"> both </w:t>
      </w:r>
      <w:r w:rsidR="00E901F3">
        <w:rPr>
          <w:color w:val="000000" w:themeColor="text1"/>
          <w:szCs w:val="20"/>
          <w:lang w:val="en-SG"/>
        </w:rPr>
        <w:t xml:space="preserve">those </w:t>
      </w:r>
      <w:r w:rsidRPr="00BC59C5">
        <w:rPr>
          <w:color w:val="000000" w:themeColor="text1"/>
          <w:szCs w:val="20"/>
          <w:lang w:val="en-SG"/>
        </w:rPr>
        <w:t>embarking on their first reliance program and those aiming to enhance their existing program or create additional reliance frameworks.</w:t>
      </w:r>
      <w:r>
        <w:rPr>
          <w:color w:val="000000" w:themeColor="text1"/>
          <w:szCs w:val="20"/>
          <w:lang w:val="en-SG"/>
        </w:rPr>
        <w:t xml:space="preserve"> Although intended for regulators</w:t>
      </w:r>
      <w:r w:rsidRPr="001403AC">
        <w:rPr>
          <w:color w:val="000000" w:themeColor="text1"/>
          <w:szCs w:val="20"/>
        </w:rPr>
        <w:t>, th</w:t>
      </w:r>
      <w:r>
        <w:rPr>
          <w:color w:val="000000" w:themeColor="text1"/>
          <w:szCs w:val="20"/>
        </w:rPr>
        <w:t xml:space="preserve">is document </w:t>
      </w:r>
      <w:r w:rsidRPr="001403AC">
        <w:rPr>
          <w:color w:val="000000" w:themeColor="text1"/>
          <w:szCs w:val="20"/>
        </w:rPr>
        <w:t>is relevant to all medical device stakeholders.</w:t>
      </w:r>
      <w:r>
        <w:rPr>
          <w:color w:val="000000" w:themeColor="text1"/>
          <w:szCs w:val="20"/>
        </w:rPr>
        <w:t xml:space="preserve"> </w:t>
      </w:r>
    </w:p>
    <w:p w14:paraId="20AD9D09" w14:textId="77777777" w:rsidR="00375563" w:rsidRPr="00783DFA" w:rsidRDefault="00375563" w:rsidP="0003708A">
      <w:pPr>
        <w:jc w:val="both"/>
        <w:rPr>
          <w:color w:val="000000" w:themeColor="text1"/>
          <w:szCs w:val="20"/>
          <w:lang w:val="en-US"/>
        </w:rPr>
      </w:pPr>
    </w:p>
    <w:p w14:paraId="02D862C4" w14:textId="1BFAA25C" w:rsidR="00037DE9" w:rsidRDefault="00BB0456" w:rsidP="00BF357F">
      <w:pPr>
        <w:pStyle w:val="Heading1"/>
        <w:rPr>
          <w:noProof/>
          <w:lang w:val="en-US"/>
        </w:rPr>
      </w:pPr>
      <w:bookmarkStart w:id="1" w:name="_Toc213265614"/>
      <w:r>
        <w:rPr>
          <w:noProof/>
          <w:lang w:val="en-US"/>
        </w:rPr>
        <w:t>Scope</w:t>
      </w:r>
      <w:bookmarkEnd w:id="1"/>
    </w:p>
    <w:p w14:paraId="04FA581E" w14:textId="046FF2B3" w:rsidR="00752EE6" w:rsidRPr="00C94AED" w:rsidRDefault="00752EE6" w:rsidP="00752EE6">
      <w:pPr>
        <w:jc w:val="both"/>
        <w:rPr>
          <w:szCs w:val="20"/>
        </w:rPr>
      </w:pPr>
      <w:r w:rsidRPr="00C94AED">
        <w:rPr>
          <w:szCs w:val="20"/>
        </w:rPr>
        <w:t>The information in this document applies to all medical devices,</w:t>
      </w:r>
      <w:r w:rsidRPr="00C94AED">
        <w:rPr>
          <w:szCs w:val="20"/>
          <w:lang w:val="en-US"/>
        </w:rPr>
        <w:t xml:space="preserve"> including IVD medical devices</w:t>
      </w:r>
      <w:r w:rsidRPr="00C94AED">
        <w:rPr>
          <w:szCs w:val="20"/>
        </w:rPr>
        <w:t xml:space="preserve">. </w:t>
      </w:r>
      <w:r w:rsidRPr="00C94AED">
        <w:rPr>
          <w:szCs w:val="20"/>
          <w:lang w:val="en-US"/>
        </w:rPr>
        <w:t xml:space="preserve">Unless otherwise specified, the principles discussed can be applied to </w:t>
      </w:r>
      <w:r w:rsidRPr="00C94AED">
        <w:rPr>
          <w:szCs w:val="20"/>
        </w:rPr>
        <w:t xml:space="preserve">any phase of the product lifecycle </w:t>
      </w:r>
      <w:r w:rsidRPr="00C94AED">
        <w:rPr>
          <w:szCs w:val="20"/>
          <w:lang w:val="en-US"/>
        </w:rPr>
        <w:t>(e.g., technical documentation</w:t>
      </w:r>
      <w:r w:rsidR="00037F02">
        <w:rPr>
          <w:rStyle w:val="FootnoteReference"/>
          <w:szCs w:val="20"/>
          <w:lang w:val="en-US"/>
        </w:rPr>
        <w:footnoteReference w:id="3"/>
      </w:r>
      <w:r w:rsidRPr="00C94AED">
        <w:rPr>
          <w:szCs w:val="20"/>
          <w:lang w:val="en-US"/>
        </w:rPr>
        <w:t xml:space="preserve"> review, evaluation of quality management system</w:t>
      </w:r>
      <w:r w:rsidR="00312848">
        <w:rPr>
          <w:szCs w:val="20"/>
          <w:lang w:val="en-US"/>
        </w:rPr>
        <w:t>s</w:t>
      </w:r>
      <w:r w:rsidRPr="00C94AED">
        <w:rPr>
          <w:szCs w:val="20"/>
          <w:lang w:val="en-US"/>
        </w:rPr>
        <w:t xml:space="preserve">, post-market activities, device changes requiring regulatory review) and are meant to work with </w:t>
      </w:r>
      <w:r w:rsidR="00D8179F">
        <w:rPr>
          <w:szCs w:val="20"/>
          <w:lang w:val="en-US"/>
        </w:rPr>
        <w:t xml:space="preserve">a </w:t>
      </w:r>
      <w:r w:rsidRPr="00C94AED">
        <w:rPr>
          <w:szCs w:val="20"/>
          <w:lang w:val="en-US"/>
        </w:rPr>
        <w:t xml:space="preserve">variety of reliance mechanisms (e.g., harmonized decisions, unilateral or multilateral/mutual recognition, work-sharing). </w:t>
      </w:r>
      <w:r w:rsidRPr="00C94AED">
        <w:rPr>
          <w:szCs w:val="20"/>
        </w:rPr>
        <w:t xml:space="preserve">Reliance can also be deployed as a strategic tool during public health emergency contexts, such as pandemics or natural disasters. </w:t>
      </w:r>
    </w:p>
    <w:p w14:paraId="5EA15553" w14:textId="77777777" w:rsidR="00752EE6" w:rsidRPr="00C94AED" w:rsidRDefault="00752EE6" w:rsidP="00752EE6">
      <w:pPr>
        <w:jc w:val="both"/>
        <w:rPr>
          <w:szCs w:val="20"/>
        </w:rPr>
      </w:pPr>
      <w:r w:rsidRPr="00C94AED">
        <w:rPr>
          <w:szCs w:val="20"/>
        </w:rPr>
        <w:t>As a regulator looking to set up a reliance program, you should note:</w:t>
      </w:r>
    </w:p>
    <w:p w14:paraId="6E534045" w14:textId="2C6629A4" w:rsidR="00752EE6" w:rsidRPr="00C94AED" w:rsidRDefault="00752EE6" w:rsidP="00783DFA">
      <w:pPr>
        <w:pStyle w:val="NormalNumbered"/>
        <w:numPr>
          <w:ilvl w:val="0"/>
          <w:numId w:val="35"/>
        </w:numPr>
        <w:ind w:left="288" w:hanging="288"/>
        <w:jc w:val="both"/>
        <w:rPr>
          <w:noProof/>
          <w:szCs w:val="20"/>
        </w:rPr>
      </w:pPr>
      <w:r w:rsidRPr="00C94AED">
        <w:rPr>
          <w:noProof/>
          <w:szCs w:val="20"/>
        </w:rPr>
        <w:t>There is information in this document about factors that are beyond your direct control</w:t>
      </w:r>
      <w:r w:rsidR="00A27CE8">
        <w:rPr>
          <w:noProof/>
          <w:szCs w:val="20"/>
        </w:rPr>
        <w:t>,</w:t>
      </w:r>
      <w:r w:rsidRPr="00C94AED">
        <w:rPr>
          <w:noProof/>
          <w:szCs w:val="20"/>
        </w:rPr>
        <w:t xml:space="preserve"> but is included to give you a broader understanding of factors impacting the design and implementation of a reliance program</w:t>
      </w:r>
    </w:p>
    <w:p w14:paraId="0AD57F38" w14:textId="77777777" w:rsidR="00752EE6" w:rsidRPr="00C94AED" w:rsidRDefault="00752EE6" w:rsidP="00783DFA">
      <w:pPr>
        <w:pStyle w:val="NormalNumbered"/>
        <w:numPr>
          <w:ilvl w:val="0"/>
          <w:numId w:val="35"/>
        </w:numPr>
        <w:ind w:left="288" w:hanging="288"/>
        <w:jc w:val="both"/>
        <w:rPr>
          <w:noProof/>
          <w:szCs w:val="20"/>
        </w:rPr>
      </w:pPr>
      <w:r w:rsidRPr="00C94AED">
        <w:rPr>
          <w:noProof/>
          <w:szCs w:val="20"/>
        </w:rPr>
        <w:t xml:space="preserve">It is not intended to provide an IMDRF-endorsed reliance framework, </w:t>
      </w:r>
      <w:r w:rsidRPr="00783DFA">
        <w:rPr>
          <w:noProof/>
          <w:szCs w:val="20"/>
        </w:rPr>
        <w:t xml:space="preserve">nor promote one specific reliance framework </w:t>
      </w:r>
    </w:p>
    <w:p w14:paraId="3B7E4D67" w14:textId="12E111EC" w:rsidR="00752EE6" w:rsidRPr="00C94AED" w:rsidRDefault="00752EE6" w:rsidP="00783DFA">
      <w:pPr>
        <w:pStyle w:val="NormalNumbered"/>
        <w:numPr>
          <w:ilvl w:val="0"/>
          <w:numId w:val="35"/>
        </w:numPr>
        <w:ind w:left="288" w:hanging="288"/>
        <w:jc w:val="both"/>
        <w:rPr>
          <w:noProof/>
          <w:szCs w:val="20"/>
        </w:rPr>
      </w:pPr>
      <w:r w:rsidRPr="00783DFA">
        <w:rPr>
          <w:noProof/>
          <w:szCs w:val="20"/>
        </w:rPr>
        <w:t>The extent to which a</w:t>
      </w:r>
      <w:r w:rsidR="00D8179F" w:rsidRPr="00783DFA">
        <w:rPr>
          <w:noProof/>
          <w:szCs w:val="20"/>
        </w:rPr>
        <w:t>n</w:t>
      </w:r>
      <w:r w:rsidRPr="00783DFA">
        <w:rPr>
          <w:noProof/>
          <w:szCs w:val="20"/>
        </w:rPr>
        <w:t xml:space="preserve"> RA relies on a trusted partner’s work can vary. </w:t>
      </w:r>
      <w:r w:rsidRPr="00C94AED">
        <w:rPr>
          <w:noProof/>
          <w:szCs w:val="20"/>
        </w:rPr>
        <w:t>You have flexibility in determining your reliance extent</w:t>
      </w:r>
    </w:p>
    <w:p w14:paraId="776C3BE3" w14:textId="769B2D8E" w:rsidR="00752EE6" w:rsidRPr="00C94AED" w:rsidRDefault="00752EE6" w:rsidP="00783DFA">
      <w:pPr>
        <w:pStyle w:val="NormalNumbered"/>
        <w:numPr>
          <w:ilvl w:val="0"/>
          <w:numId w:val="35"/>
        </w:numPr>
        <w:ind w:left="288" w:hanging="288"/>
        <w:jc w:val="both"/>
        <w:rPr>
          <w:noProof/>
          <w:szCs w:val="20"/>
        </w:rPr>
      </w:pPr>
      <w:r w:rsidRPr="00C94AED">
        <w:rPr>
          <w:noProof/>
          <w:szCs w:val="20"/>
        </w:rPr>
        <w:t>You maintain flexibility in how you conduct activities within the reliance scope, including the use of third part</w:t>
      </w:r>
      <w:r w:rsidR="00D8179F">
        <w:rPr>
          <w:noProof/>
          <w:szCs w:val="20"/>
        </w:rPr>
        <w:t>ies</w:t>
      </w:r>
      <w:r w:rsidRPr="00C94AED">
        <w:rPr>
          <w:noProof/>
          <w:szCs w:val="20"/>
        </w:rPr>
        <w:t xml:space="preserve"> </w:t>
      </w:r>
    </w:p>
    <w:p w14:paraId="0A23FB5F" w14:textId="0948B3BD" w:rsidR="00227780" w:rsidRDefault="00752EE6" w:rsidP="00752EE6">
      <w:pPr>
        <w:rPr>
          <w:b/>
          <w:bCs/>
          <w:sz w:val="24"/>
          <w:lang w:val="en-US"/>
        </w:rPr>
      </w:pPr>
      <w:r w:rsidRPr="00C94AED">
        <w:rPr>
          <w:szCs w:val="20"/>
        </w:rPr>
        <w:t>This document provides advice and information to help you establish a program that best meet</w:t>
      </w:r>
      <w:r w:rsidR="009E35F4">
        <w:rPr>
          <w:szCs w:val="20"/>
        </w:rPr>
        <w:t>s</w:t>
      </w:r>
      <w:r w:rsidRPr="00C94AED">
        <w:rPr>
          <w:szCs w:val="20"/>
        </w:rPr>
        <w:t xml:space="preserve"> your and your jurisdiction’s needs</w:t>
      </w:r>
      <w:r w:rsidR="008B3881">
        <w:rPr>
          <w:szCs w:val="20"/>
        </w:rPr>
        <w:t>.</w:t>
      </w:r>
    </w:p>
    <w:p w14:paraId="4FF4E147" w14:textId="77777777" w:rsidR="008C32F0" w:rsidRPr="000F7A87" w:rsidRDefault="008C32F0" w:rsidP="008C32F0">
      <w:pPr>
        <w:keepLines w:val="0"/>
        <w:spacing w:before="0" w:after="0" w:line="240" w:lineRule="auto"/>
        <w:rPr>
          <w:noProof/>
          <w:lang w:val="en-US"/>
        </w:rPr>
      </w:pPr>
      <w:r w:rsidRPr="000F7A87">
        <w:rPr>
          <w:noProof/>
          <w:lang w:val="en-US"/>
        </w:rPr>
        <w:br w:type="page"/>
      </w:r>
    </w:p>
    <w:p w14:paraId="2001B283" w14:textId="77777777" w:rsidR="002D305C" w:rsidRDefault="002D305C" w:rsidP="002D305C">
      <w:pPr>
        <w:pStyle w:val="Heading1"/>
        <w:rPr>
          <w:noProof/>
          <w:lang w:val="en-US"/>
        </w:rPr>
      </w:pPr>
      <w:bookmarkStart w:id="2" w:name="_Definitions"/>
      <w:bookmarkStart w:id="3" w:name="_Toc213265615"/>
      <w:bookmarkEnd w:id="2"/>
      <w:r w:rsidRPr="000F7A87">
        <w:rPr>
          <w:noProof/>
          <w:lang w:val="en-US"/>
        </w:rPr>
        <w:t>Definitions</w:t>
      </w:r>
      <w:bookmarkEnd w:id="3"/>
    </w:p>
    <w:p w14:paraId="75E23F6E" w14:textId="4AB25144" w:rsidR="00107B68" w:rsidRDefault="00107B68" w:rsidP="00594273">
      <w:pPr>
        <w:pStyle w:val="Heading2"/>
        <w:keepNext w:val="0"/>
        <w:widowControl w:val="0"/>
        <w:spacing w:before="120" w:after="120" w:line="240" w:lineRule="exact"/>
        <w:jc w:val="both"/>
        <w:rPr>
          <w:rFonts w:asciiTheme="minorHAnsi" w:hAnsiTheme="minorHAnsi" w:cstheme="minorHAnsi"/>
          <w:b w:val="0"/>
          <w:bCs w:val="0"/>
          <w:color w:val="auto"/>
          <w:sz w:val="20"/>
          <w:szCs w:val="20"/>
        </w:rPr>
      </w:pPr>
      <w:bookmarkStart w:id="4" w:name="_Abridged_Regulatory_Pathway:"/>
      <w:bookmarkStart w:id="5" w:name="_Toc213265616"/>
      <w:bookmarkStart w:id="6" w:name="_Toc185157831"/>
      <w:bookmarkStart w:id="7" w:name="_Toc156407422"/>
      <w:bookmarkStart w:id="8" w:name="_Toc156410481"/>
      <w:bookmarkStart w:id="9" w:name="_Toc183071135"/>
      <w:bookmarkStart w:id="10" w:name="_Toc180070227"/>
      <w:bookmarkStart w:id="11" w:name="_Toc180071287"/>
      <w:bookmarkStart w:id="12" w:name="_Toc182908183"/>
      <w:bookmarkStart w:id="13" w:name="_Toc176412832"/>
      <w:bookmarkStart w:id="14" w:name="_Toc176800346"/>
      <w:bookmarkStart w:id="15" w:name="_Toc176985482"/>
      <w:bookmarkStart w:id="16" w:name="_Toc178004260"/>
      <w:bookmarkStart w:id="17" w:name="_Toc178839719"/>
      <w:bookmarkStart w:id="18" w:name="_Toc178839847"/>
      <w:bookmarkEnd w:id="4"/>
      <w:r w:rsidRPr="00687F73">
        <w:rPr>
          <w:rFonts w:asciiTheme="minorHAnsi" w:hAnsiTheme="minorHAnsi" w:cstheme="minorHAnsi"/>
          <w:b w:val="0"/>
          <w:bCs w:val="0"/>
          <w:i/>
          <w:iCs/>
          <w:color w:val="auto"/>
          <w:sz w:val="20"/>
          <w:szCs w:val="20"/>
        </w:rPr>
        <w:t xml:space="preserve">Abridged </w:t>
      </w:r>
      <w:r w:rsidR="00270C98">
        <w:rPr>
          <w:rFonts w:asciiTheme="minorHAnsi" w:hAnsiTheme="minorHAnsi" w:cstheme="minorHAnsi"/>
          <w:b w:val="0"/>
          <w:bCs w:val="0"/>
          <w:i/>
          <w:iCs/>
          <w:color w:val="auto"/>
          <w:sz w:val="20"/>
          <w:szCs w:val="20"/>
        </w:rPr>
        <w:t>R</w:t>
      </w:r>
      <w:r w:rsidRPr="00687F73">
        <w:rPr>
          <w:rFonts w:asciiTheme="minorHAnsi" w:hAnsiTheme="minorHAnsi" w:cstheme="minorHAnsi"/>
          <w:b w:val="0"/>
          <w:bCs w:val="0"/>
          <w:i/>
          <w:iCs/>
          <w:color w:val="auto"/>
          <w:sz w:val="20"/>
          <w:szCs w:val="20"/>
        </w:rPr>
        <w:t xml:space="preserve">egulatory </w:t>
      </w:r>
      <w:r w:rsidR="00270C98">
        <w:rPr>
          <w:rFonts w:asciiTheme="minorHAnsi" w:hAnsiTheme="minorHAnsi" w:cstheme="minorHAnsi"/>
          <w:b w:val="0"/>
          <w:bCs w:val="0"/>
          <w:i/>
          <w:iCs/>
          <w:color w:val="auto"/>
          <w:sz w:val="20"/>
          <w:szCs w:val="20"/>
        </w:rPr>
        <w:t>P</w:t>
      </w:r>
      <w:r w:rsidRPr="00687F73">
        <w:rPr>
          <w:rFonts w:asciiTheme="minorHAnsi" w:hAnsiTheme="minorHAnsi" w:cstheme="minorHAnsi"/>
          <w:b w:val="0"/>
          <w:bCs w:val="0"/>
          <w:i/>
          <w:iCs/>
          <w:color w:val="auto"/>
          <w:sz w:val="20"/>
          <w:szCs w:val="20"/>
        </w:rPr>
        <w:t>athway</w:t>
      </w:r>
      <w:r w:rsidR="00BD0751">
        <w:rPr>
          <w:rFonts w:asciiTheme="minorHAnsi" w:hAnsiTheme="minorHAnsi" w:cstheme="minorHAnsi"/>
          <w:b w:val="0"/>
          <w:bCs w:val="0"/>
          <w:color w:val="auto"/>
          <w:sz w:val="20"/>
          <w:szCs w:val="20"/>
        </w:rPr>
        <w:t>:</w:t>
      </w:r>
      <w:r w:rsidRPr="00107B68">
        <w:rPr>
          <w:rFonts w:asciiTheme="minorHAnsi" w:hAnsiTheme="minorHAnsi" w:cstheme="minorHAnsi"/>
          <w:b w:val="0"/>
          <w:bCs w:val="0"/>
          <w:color w:val="auto"/>
          <w:sz w:val="20"/>
          <w:szCs w:val="20"/>
        </w:rPr>
        <w:t xml:space="preserve"> Regulatory procedures facilitated by reliance, whereby a regulatory decision is solely or partially based on application of reliance. </w:t>
      </w:r>
      <w:r w:rsidR="00167C83" w:rsidRPr="00687F73">
        <w:rPr>
          <w:rFonts w:asciiTheme="minorHAnsi" w:hAnsiTheme="minorHAnsi" w:cstheme="minorHAnsi"/>
          <w:b w:val="0"/>
          <w:bCs w:val="0"/>
          <w:color w:val="auto"/>
          <w:sz w:val="20"/>
          <w:szCs w:val="20"/>
        </w:rPr>
        <w:t>This usually involves some work by the regulatory authority that is practi</w:t>
      </w:r>
      <w:r w:rsidR="00167C83">
        <w:rPr>
          <w:rFonts w:asciiTheme="minorHAnsi" w:hAnsiTheme="minorHAnsi" w:cstheme="minorHAnsi"/>
          <w:b w:val="0"/>
          <w:bCs w:val="0"/>
          <w:color w:val="auto"/>
          <w:sz w:val="20"/>
          <w:szCs w:val="20"/>
        </w:rPr>
        <w:t>c</w:t>
      </w:r>
      <w:r w:rsidR="00167C83" w:rsidRPr="00687F73">
        <w:rPr>
          <w:rFonts w:asciiTheme="minorHAnsi" w:hAnsiTheme="minorHAnsi" w:cstheme="minorHAnsi"/>
          <w:b w:val="0"/>
          <w:bCs w:val="0"/>
          <w:color w:val="auto"/>
          <w:sz w:val="20"/>
          <w:szCs w:val="20"/>
        </w:rPr>
        <w:t>ing reliance</w:t>
      </w:r>
      <w:r w:rsidR="00167C83">
        <w:rPr>
          <w:rFonts w:asciiTheme="minorHAnsi" w:hAnsiTheme="minorHAnsi" w:cstheme="minorHAnsi"/>
          <w:b w:val="0"/>
          <w:bCs w:val="0"/>
          <w:color w:val="auto"/>
          <w:sz w:val="20"/>
          <w:szCs w:val="20"/>
        </w:rPr>
        <w:t>.</w:t>
      </w:r>
      <w:bookmarkEnd w:id="5"/>
    </w:p>
    <w:p w14:paraId="56A3D039" w14:textId="6889AF65" w:rsidR="009D78C7" w:rsidRDefault="009D78C7" w:rsidP="00594273">
      <w:pPr>
        <w:ind w:left="680"/>
        <w:jc w:val="both"/>
        <w:rPr>
          <w:rFonts w:eastAsiaTheme="majorEastAsia" w:cstheme="minorHAnsi"/>
          <w:szCs w:val="20"/>
          <w:lang w:val="en-GB"/>
        </w:rPr>
      </w:pPr>
      <w:r>
        <w:rPr>
          <w:rFonts w:eastAsiaTheme="majorEastAsia" w:cstheme="minorHAnsi"/>
          <w:szCs w:val="20"/>
          <w:lang w:val="en-GB"/>
        </w:rPr>
        <w:t xml:space="preserve">(Modified from </w:t>
      </w:r>
      <w:r w:rsidR="00ED60C2" w:rsidRPr="004C106C">
        <w:rPr>
          <w:noProof/>
          <w:lang w:val="en-US"/>
        </w:rPr>
        <w:t>WHO Expert Committee on Specifications for Pharmaceutical Preparations, Fifty-fifth Report, Annex 10</w:t>
      </w:r>
      <w:r w:rsidR="007951FA">
        <w:rPr>
          <w:rFonts w:eastAsiaTheme="majorEastAsia" w:cstheme="minorHAnsi"/>
          <w:szCs w:val="20"/>
          <w:lang w:val="en-GB"/>
        </w:rPr>
        <w:t>)</w:t>
      </w:r>
    </w:p>
    <w:p w14:paraId="256BF83A" w14:textId="10C1CD00" w:rsidR="0092197C" w:rsidRPr="00764BD7" w:rsidRDefault="0092197C" w:rsidP="00594273">
      <w:pPr>
        <w:pStyle w:val="Heading2"/>
        <w:keepNext w:val="0"/>
        <w:widowControl w:val="0"/>
        <w:spacing w:before="120" w:after="120" w:line="240" w:lineRule="exact"/>
        <w:jc w:val="both"/>
        <w:rPr>
          <w:rFonts w:asciiTheme="minorHAnsi" w:hAnsiTheme="minorHAnsi" w:cstheme="minorHAnsi"/>
          <w:b w:val="0"/>
          <w:bCs w:val="0"/>
          <w:color w:val="auto"/>
          <w:sz w:val="20"/>
          <w:szCs w:val="20"/>
        </w:rPr>
      </w:pPr>
      <w:bookmarkStart w:id="19" w:name="_Convergence:_A_voluntary"/>
      <w:bookmarkStart w:id="20" w:name="_Toc213265617"/>
      <w:bookmarkEnd w:id="19"/>
      <w:r w:rsidRPr="00764BD7">
        <w:rPr>
          <w:rFonts w:asciiTheme="minorHAnsi" w:hAnsiTheme="minorHAnsi" w:cstheme="minorHAnsi"/>
          <w:b w:val="0"/>
          <w:bCs w:val="0"/>
          <w:i/>
          <w:iCs/>
          <w:color w:val="auto"/>
          <w:sz w:val="20"/>
          <w:szCs w:val="20"/>
        </w:rPr>
        <w:t>Convergence</w:t>
      </w:r>
      <w:r w:rsidRPr="00764BD7">
        <w:rPr>
          <w:rFonts w:asciiTheme="minorHAnsi" w:hAnsiTheme="minorHAnsi" w:cstheme="minorHAnsi"/>
          <w:b w:val="0"/>
          <w:bCs w:val="0"/>
          <w:color w:val="auto"/>
          <w:sz w:val="20"/>
          <w:szCs w:val="20"/>
        </w:rPr>
        <w:t xml:space="preserve">: </w:t>
      </w:r>
      <w:r w:rsidR="00FB2895">
        <w:rPr>
          <w:rFonts w:asciiTheme="minorHAnsi" w:hAnsiTheme="minorHAnsi" w:cstheme="minorHAnsi"/>
          <w:b w:val="0"/>
          <w:bCs w:val="0"/>
          <w:color w:val="auto"/>
          <w:sz w:val="20"/>
          <w:szCs w:val="20"/>
        </w:rPr>
        <w:t>A</w:t>
      </w:r>
      <w:r w:rsidR="001E5258" w:rsidRPr="00372283">
        <w:rPr>
          <w:rFonts w:asciiTheme="minorHAnsi" w:hAnsiTheme="minorHAnsi" w:cstheme="minorHAnsi"/>
          <w:b w:val="0"/>
          <w:bCs w:val="0"/>
          <w:color w:val="auto"/>
          <w:sz w:val="20"/>
          <w:szCs w:val="20"/>
        </w:rPr>
        <w:t xml:space="preserve"> voluntary process whereby the regulatory requirements in different countries or regions become more similar or “aligned” over time. Convergence results from gradual adoption of internationally recognized technical guideline documents, standards, scientific principles, common or similar practices and procedures, or the establishment of appropriate domestic regulatory mechanisms that align with shared principles to achieve a common public health goal</w:t>
      </w:r>
      <w:bookmarkEnd w:id="6"/>
      <w:r w:rsidR="007B10B9">
        <w:rPr>
          <w:rFonts w:asciiTheme="minorHAnsi" w:hAnsiTheme="minorHAnsi" w:cstheme="minorHAnsi"/>
          <w:b w:val="0"/>
          <w:bCs w:val="0"/>
          <w:color w:val="auto"/>
          <w:sz w:val="20"/>
          <w:szCs w:val="20"/>
        </w:rPr>
        <w:t>.</w:t>
      </w:r>
      <w:bookmarkEnd w:id="20"/>
    </w:p>
    <w:p w14:paraId="541F5572" w14:textId="6E589AF4" w:rsidR="0092197C" w:rsidRDefault="0092197C" w:rsidP="00E1295C">
      <w:pPr>
        <w:ind w:left="680"/>
        <w:rPr>
          <w:b/>
        </w:rPr>
      </w:pPr>
      <w:bookmarkStart w:id="21" w:name="_Toc185157832"/>
      <w:bookmarkStart w:id="22" w:name="_Toc213265618"/>
      <w:r w:rsidRPr="00764BD7">
        <w:t>(WHO Expert Committee on Specifications for Pharmaceutical Preparations</w:t>
      </w:r>
      <w:r w:rsidR="000C4972">
        <w:t>,</w:t>
      </w:r>
      <w:r w:rsidRPr="00764BD7">
        <w:t xml:space="preserve"> </w:t>
      </w:r>
      <w:r w:rsidR="000C4972">
        <w:t>F</w:t>
      </w:r>
      <w:r w:rsidRPr="00764BD7">
        <w:t xml:space="preserve">ifty-fifth </w:t>
      </w:r>
      <w:r w:rsidR="000C4972">
        <w:t>R</w:t>
      </w:r>
      <w:r w:rsidRPr="00764BD7">
        <w:t>eport</w:t>
      </w:r>
      <w:r w:rsidR="000C4972">
        <w:t xml:space="preserve">, </w:t>
      </w:r>
      <w:r w:rsidRPr="00764BD7">
        <w:t>Annex 11</w:t>
      </w:r>
      <w:r w:rsidR="000C4972">
        <w:t>)</w:t>
      </w:r>
      <w:bookmarkEnd w:id="21"/>
      <w:bookmarkEnd w:id="22"/>
    </w:p>
    <w:p w14:paraId="2C7CAC61" w14:textId="46E995CA" w:rsidR="00C66CA0" w:rsidRDefault="00C66CA0" w:rsidP="00594273">
      <w:pPr>
        <w:pStyle w:val="Heading2"/>
        <w:keepNext w:val="0"/>
        <w:widowControl w:val="0"/>
        <w:spacing w:before="120" w:after="120" w:line="240" w:lineRule="exact"/>
        <w:jc w:val="both"/>
        <w:rPr>
          <w:rFonts w:asciiTheme="minorHAnsi" w:hAnsiTheme="minorHAnsi" w:cstheme="minorHAnsi"/>
          <w:b w:val="0"/>
          <w:bCs w:val="0"/>
          <w:color w:val="auto"/>
          <w:sz w:val="20"/>
          <w:szCs w:val="20"/>
        </w:rPr>
      </w:pPr>
      <w:bookmarkStart w:id="23" w:name="_Harmonization:_A_process"/>
      <w:bookmarkStart w:id="24" w:name="_Toc185157833"/>
      <w:bookmarkStart w:id="25" w:name="_Toc213265619"/>
      <w:bookmarkEnd w:id="23"/>
      <w:r w:rsidRPr="00764BD7">
        <w:rPr>
          <w:rFonts w:asciiTheme="minorHAnsi" w:hAnsiTheme="minorHAnsi" w:cstheme="minorHAnsi"/>
          <w:b w:val="0"/>
          <w:bCs w:val="0"/>
          <w:i/>
          <w:iCs/>
          <w:color w:val="auto"/>
          <w:sz w:val="20"/>
          <w:szCs w:val="20"/>
        </w:rPr>
        <w:t>Harmonization</w:t>
      </w:r>
      <w:r w:rsidRPr="00764BD7">
        <w:rPr>
          <w:rFonts w:asciiTheme="minorHAnsi" w:hAnsiTheme="minorHAnsi" w:cstheme="minorHAnsi"/>
          <w:b w:val="0"/>
          <w:bCs w:val="0"/>
          <w:color w:val="auto"/>
          <w:sz w:val="20"/>
          <w:szCs w:val="20"/>
        </w:rPr>
        <w:t xml:space="preserve">: </w:t>
      </w:r>
      <w:r w:rsidR="003250EF">
        <w:rPr>
          <w:rFonts w:asciiTheme="minorHAnsi" w:hAnsiTheme="minorHAnsi" w:cstheme="minorHAnsi"/>
          <w:b w:val="0"/>
          <w:bCs w:val="0"/>
          <w:color w:val="auto"/>
          <w:sz w:val="20"/>
          <w:szCs w:val="20"/>
        </w:rPr>
        <w:t>A</w:t>
      </w:r>
      <w:r w:rsidRPr="00764BD7">
        <w:rPr>
          <w:rFonts w:asciiTheme="minorHAnsi" w:hAnsiTheme="minorHAnsi" w:cstheme="minorHAnsi"/>
          <w:b w:val="0"/>
          <w:bCs w:val="0"/>
          <w:color w:val="auto"/>
          <w:sz w:val="20"/>
          <w:szCs w:val="20"/>
        </w:rPr>
        <w:t xml:space="preserve"> process whereby the technical guidelines</w:t>
      </w:r>
      <w:r>
        <w:rPr>
          <w:rFonts w:asciiTheme="minorHAnsi" w:hAnsiTheme="minorHAnsi" w:cstheme="minorHAnsi"/>
          <w:b w:val="0"/>
          <w:bCs w:val="0"/>
          <w:color w:val="auto"/>
          <w:sz w:val="20"/>
          <w:szCs w:val="20"/>
        </w:rPr>
        <w:t xml:space="preserve"> </w:t>
      </w:r>
      <w:r w:rsidRPr="00764BD7">
        <w:rPr>
          <w:rFonts w:asciiTheme="minorHAnsi" w:hAnsiTheme="minorHAnsi" w:cstheme="minorHAnsi"/>
          <w:b w:val="0"/>
          <w:bCs w:val="0"/>
          <w:color w:val="auto"/>
          <w:sz w:val="20"/>
          <w:szCs w:val="20"/>
        </w:rPr>
        <w:t>of participating authorities in several countries are made uniform</w:t>
      </w:r>
      <w:bookmarkEnd w:id="24"/>
      <w:r w:rsidR="007B10B9">
        <w:rPr>
          <w:rFonts w:asciiTheme="minorHAnsi" w:hAnsiTheme="minorHAnsi" w:cstheme="minorHAnsi"/>
          <w:b w:val="0"/>
          <w:bCs w:val="0"/>
          <w:color w:val="auto"/>
          <w:sz w:val="20"/>
          <w:szCs w:val="20"/>
        </w:rPr>
        <w:t>.</w:t>
      </w:r>
      <w:bookmarkEnd w:id="25"/>
    </w:p>
    <w:p w14:paraId="56371BDB" w14:textId="1209ACCD" w:rsidR="00E5342F" w:rsidRPr="00764BD7" w:rsidRDefault="00E5342F" w:rsidP="00E1295C">
      <w:pPr>
        <w:ind w:left="680"/>
        <w:rPr>
          <w:b/>
        </w:rPr>
      </w:pPr>
      <w:bookmarkStart w:id="26" w:name="_Toc185157834"/>
      <w:bookmarkStart w:id="27" w:name="_Toc213265620"/>
      <w:r w:rsidRPr="005351AD">
        <w:t>(WHO Expert Committee on Specifications for Pharmaceutical Preparations</w:t>
      </w:r>
      <w:r>
        <w:t>,</w:t>
      </w:r>
      <w:r w:rsidRPr="005351AD">
        <w:t xml:space="preserve"> </w:t>
      </w:r>
      <w:r>
        <w:t>F</w:t>
      </w:r>
      <w:r w:rsidRPr="005351AD">
        <w:t xml:space="preserve">ifty-fifth </w:t>
      </w:r>
      <w:r>
        <w:t>R</w:t>
      </w:r>
      <w:r w:rsidRPr="005351AD">
        <w:t>eport</w:t>
      </w:r>
      <w:r>
        <w:t xml:space="preserve">, </w:t>
      </w:r>
      <w:r w:rsidRPr="005351AD">
        <w:t>Annex 11</w:t>
      </w:r>
      <w:r>
        <w:t>)</w:t>
      </w:r>
      <w:bookmarkEnd w:id="26"/>
      <w:bookmarkEnd w:id="27"/>
    </w:p>
    <w:p w14:paraId="61E2A1E8" w14:textId="3818AB2F" w:rsidR="00AB09F9" w:rsidRPr="00257626" w:rsidRDefault="00AB09F9" w:rsidP="00594273">
      <w:pPr>
        <w:pStyle w:val="Heading2"/>
        <w:keepNext w:val="0"/>
        <w:widowControl w:val="0"/>
        <w:spacing w:before="120" w:after="120" w:line="240" w:lineRule="exact"/>
        <w:jc w:val="both"/>
        <w:rPr>
          <w:rFonts w:asciiTheme="minorHAnsi" w:hAnsiTheme="minorHAnsi" w:cstheme="minorHAnsi"/>
          <w:b w:val="0"/>
          <w:color w:val="auto"/>
          <w:sz w:val="20"/>
          <w:szCs w:val="20"/>
        </w:rPr>
      </w:pPr>
      <w:bookmarkStart w:id="28" w:name="_Toc185157835"/>
      <w:bookmarkStart w:id="29" w:name="_Toc213265621"/>
      <w:r w:rsidRPr="00257626">
        <w:rPr>
          <w:rFonts w:asciiTheme="minorHAnsi" w:hAnsiTheme="minorHAnsi" w:cstheme="minorHAnsi"/>
          <w:b w:val="0"/>
          <w:i/>
          <w:color w:val="auto"/>
          <w:sz w:val="20"/>
          <w:szCs w:val="20"/>
        </w:rPr>
        <w:t>Medical Device</w:t>
      </w:r>
      <w:r w:rsidRPr="00257626">
        <w:rPr>
          <w:rFonts w:asciiTheme="minorHAnsi" w:hAnsiTheme="minorHAnsi" w:cstheme="minorHAnsi"/>
          <w:b w:val="0"/>
          <w:color w:val="auto"/>
          <w:sz w:val="20"/>
          <w:szCs w:val="20"/>
        </w:rPr>
        <w:t>: Any instrument, apparatus, implement, machine, appliance, implant, reagent for in vitro use, software, material or other similar or related article, intended by the manufacturer to be used, alone or in combination, for human beings, for one or more of the specific medical purpose(s) of:</w:t>
      </w:r>
      <w:bookmarkEnd w:id="7"/>
      <w:bookmarkEnd w:id="8"/>
      <w:bookmarkEnd w:id="9"/>
      <w:bookmarkEnd w:id="28"/>
      <w:bookmarkEnd w:id="29"/>
    </w:p>
    <w:p w14:paraId="4E6A27B5" w14:textId="77777777" w:rsidR="00AB09F9" w:rsidRPr="00257626"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257626">
        <w:rPr>
          <w:rFonts w:cstheme="minorHAnsi"/>
          <w:spacing w:val="-3"/>
          <w:szCs w:val="20"/>
        </w:rPr>
        <w:t>diagnosis, prevention, monitoring, treatment or allevi</w:t>
      </w:r>
      <w:r w:rsidRPr="00257626">
        <w:rPr>
          <w:rFonts w:cstheme="minorHAnsi"/>
          <w:spacing w:val="-3"/>
          <w:szCs w:val="20"/>
        </w:rPr>
        <w:softHyphen/>
        <w:t>ation of disease,</w:t>
      </w:r>
    </w:p>
    <w:p w14:paraId="59823035" w14:textId="77777777" w:rsidR="00AB09F9" w:rsidRPr="00257626"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257626">
        <w:rPr>
          <w:rFonts w:cstheme="minorHAnsi"/>
          <w:spacing w:val="-3"/>
          <w:szCs w:val="20"/>
        </w:rPr>
        <w:t>diag</w:t>
      </w:r>
      <w:r w:rsidRPr="00257626">
        <w:rPr>
          <w:rFonts w:cstheme="minorHAnsi"/>
          <w:spacing w:val="-3"/>
          <w:szCs w:val="20"/>
        </w:rPr>
        <w:softHyphen/>
        <w:t>nosis, monitoring, treatment, alleviation of, or com</w:t>
      </w:r>
      <w:r w:rsidRPr="00257626">
        <w:rPr>
          <w:rFonts w:cstheme="minorHAnsi"/>
          <w:spacing w:val="-3"/>
          <w:szCs w:val="20"/>
        </w:rPr>
        <w:softHyphen/>
        <w:t>pensation for, an injury,</w:t>
      </w:r>
    </w:p>
    <w:p w14:paraId="728038D8" w14:textId="77777777" w:rsidR="00AB09F9" w:rsidRPr="00257626"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257626">
        <w:rPr>
          <w:rFonts w:cstheme="minorHAnsi"/>
          <w:spacing w:val="-3"/>
          <w:szCs w:val="20"/>
        </w:rPr>
        <w:t>inves</w:t>
      </w:r>
      <w:r w:rsidRPr="00257626">
        <w:rPr>
          <w:rFonts w:cstheme="minorHAnsi"/>
          <w:spacing w:val="-3"/>
          <w:szCs w:val="20"/>
        </w:rPr>
        <w:softHyphen/>
        <w:t>tigation, replacement, modification, or support of the anatomy, or of a physiologi</w:t>
      </w:r>
      <w:r w:rsidRPr="00257626">
        <w:rPr>
          <w:rFonts w:cstheme="minorHAnsi"/>
          <w:spacing w:val="-3"/>
          <w:szCs w:val="20"/>
        </w:rPr>
        <w:softHyphen/>
        <w:t>cal process,</w:t>
      </w:r>
    </w:p>
    <w:p w14:paraId="3C119D45" w14:textId="77777777" w:rsidR="00AB09F9" w:rsidRPr="00257626"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257626">
        <w:rPr>
          <w:rFonts w:cstheme="minorHAnsi"/>
          <w:spacing w:val="-3"/>
          <w:szCs w:val="20"/>
        </w:rPr>
        <w:t>supporting or sustaining life,</w:t>
      </w:r>
    </w:p>
    <w:p w14:paraId="0ACB4200" w14:textId="77777777" w:rsidR="00AB09F9" w:rsidRPr="00257626"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257626">
        <w:rPr>
          <w:rFonts w:cstheme="minorHAnsi"/>
          <w:spacing w:val="-3"/>
          <w:szCs w:val="20"/>
        </w:rPr>
        <w:t>con</w:t>
      </w:r>
      <w:r w:rsidRPr="00257626">
        <w:rPr>
          <w:rFonts w:cstheme="minorHAnsi"/>
          <w:spacing w:val="-3"/>
          <w:szCs w:val="20"/>
        </w:rPr>
        <w:softHyphen/>
        <w:t>trol of conception,</w:t>
      </w:r>
    </w:p>
    <w:p w14:paraId="32AFBCFD" w14:textId="77777777" w:rsidR="00AB09F9" w:rsidRPr="00257626"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257626">
        <w:rPr>
          <w:rFonts w:cstheme="minorHAnsi"/>
          <w:szCs w:val="20"/>
        </w:rPr>
        <w:t>cleaning, disinfection or sterilization of medical devices,</w:t>
      </w:r>
    </w:p>
    <w:p w14:paraId="1AF1F839" w14:textId="77777777" w:rsidR="00AB09F9" w:rsidRPr="00257626"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257626">
        <w:rPr>
          <w:rFonts w:cstheme="minorHAnsi"/>
          <w:szCs w:val="20"/>
        </w:rPr>
        <w:t xml:space="preserve">providing information by means of in vitro examination of specimens derived from the human body; </w:t>
      </w:r>
    </w:p>
    <w:p w14:paraId="4FCC7308" w14:textId="77777777" w:rsidR="00AB09F9" w:rsidRPr="00257626" w:rsidRDefault="00AB09F9" w:rsidP="00594273">
      <w:pPr>
        <w:widowControl w:val="0"/>
        <w:tabs>
          <w:tab w:val="left" w:pos="-1440"/>
          <w:tab w:val="left" w:pos="-720"/>
          <w:tab w:val="left" w:pos="720"/>
          <w:tab w:val="left" w:pos="4998"/>
          <w:tab w:val="left" w:pos="5040"/>
        </w:tabs>
        <w:ind w:left="720"/>
        <w:jc w:val="both"/>
        <w:rPr>
          <w:rFonts w:cstheme="minorHAnsi"/>
          <w:spacing w:val="-3"/>
          <w:szCs w:val="20"/>
        </w:rPr>
      </w:pPr>
      <w:r w:rsidRPr="00257626">
        <w:rPr>
          <w:rFonts w:cstheme="minorHAnsi"/>
          <w:szCs w:val="20"/>
        </w:rPr>
        <w:t xml:space="preserve">and does </w:t>
      </w:r>
      <w:r w:rsidRPr="00257626">
        <w:rPr>
          <w:rFonts w:cstheme="minorHAnsi"/>
          <w:spacing w:val="-3"/>
          <w:szCs w:val="20"/>
        </w:rPr>
        <w:t>not achieve its primary intended action by pharmaco</w:t>
      </w:r>
      <w:r w:rsidRPr="00257626">
        <w:rPr>
          <w:rFonts w:cstheme="minorHAnsi"/>
          <w:spacing w:val="-3"/>
          <w:szCs w:val="20"/>
        </w:rPr>
        <w:softHyphen/>
        <w:t xml:space="preserve">logical, immunological, or metabolic means, in or on the human body, but which may be assisted in its intended function by such means. </w:t>
      </w:r>
    </w:p>
    <w:p w14:paraId="7165C8F4" w14:textId="60E71F33" w:rsidR="00AB09F9" w:rsidRPr="00257626" w:rsidRDefault="00AB09F9" w:rsidP="00594273">
      <w:pPr>
        <w:pStyle w:val="Header"/>
        <w:widowControl w:val="0"/>
        <w:tabs>
          <w:tab w:val="left" w:pos="-1440"/>
          <w:tab w:val="left" w:pos="-720"/>
          <w:tab w:val="left" w:pos="720"/>
          <w:tab w:val="left" w:pos="4998"/>
          <w:tab w:val="left" w:pos="5040"/>
        </w:tabs>
        <w:spacing w:line="240" w:lineRule="exact"/>
        <w:ind w:left="720"/>
        <w:jc w:val="both"/>
        <w:rPr>
          <w:rFonts w:cstheme="minorHAnsi"/>
          <w:color w:val="auto"/>
          <w:szCs w:val="20"/>
        </w:rPr>
      </w:pPr>
      <w:r w:rsidRPr="00257626">
        <w:rPr>
          <w:rFonts w:cstheme="minorHAnsi"/>
          <w:color w:val="auto"/>
          <w:szCs w:val="20"/>
        </w:rPr>
        <w:t>NOTE 1:</w:t>
      </w:r>
      <w:r w:rsidR="00E64ECF">
        <w:rPr>
          <w:rFonts w:cstheme="minorHAnsi"/>
          <w:color w:val="auto"/>
          <w:szCs w:val="20"/>
        </w:rPr>
        <w:t xml:space="preserve"> </w:t>
      </w:r>
      <w:r w:rsidRPr="00257626">
        <w:rPr>
          <w:rFonts w:cstheme="minorHAnsi"/>
          <w:color w:val="auto"/>
          <w:szCs w:val="20"/>
        </w:rPr>
        <w:t>Products which may be considered to be medical devices in some jurisdictions but not in others include:</w:t>
      </w:r>
    </w:p>
    <w:p w14:paraId="68DB2AAE" w14:textId="77777777" w:rsidR="00AB09F9" w:rsidRPr="00783DFA"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783DFA">
        <w:rPr>
          <w:rFonts w:cstheme="minorHAnsi"/>
          <w:spacing w:val="-3"/>
          <w:szCs w:val="20"/>
        </w:rPr>
        <w:t>disinfection substances,</w:t>
      </w:r>
    </w:p>
    <w:p w14:paraId="3B0140BC" w14:textId="77777777" w:rsidR="00AB09F9" w:rsidRPr="00783DFA"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783DFA">
        <w:rPr>
          <w:rFonts w:cstheme="minorHAnsi"/>
          <w:spacing w:val="-3"/>
          <w:szCs w:val="20"/>
        </w:rPr>
        <w:t>aids for persons with disabilities,</w:t>
      </w:r>
    </w:p>
    <w:p w14:paraId="3A1D38E0" w14:textId="77777777" w:rsidR="00AB09F9" w:rsidRPr="00783DFA"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783DFA">
        <w:rPr>
          <w:rFonts w:cstheme="minorHAnsi"/>
          <w:spacing w:val="-3"/>
          <w:szCs w:val="20"/>
        </w:rPr>
        <w:t>devices incorporating animal and/or human tissues,</w:t>
      </w:r>
    </w:p>
    <w:p w14:paraId="0E1BB548" w14:textId="77777777" w:rsidR="00AB09F9" w:rsidRPr="00783DFA" w:rsidRDefault="00AB09F9" w:rsidP="00783DFA">
      <w:pPr>
        <w:keepLines w:val="0"/>
        <w:widowControl w:val="0"/>
        <w:numPr>
          <w:ilvl w:val="0"/>
          <w:numId w:val="44"/>
        </w:numPr>
        <w:tabs>
          <w:tab w:val="left" w:pos="-1440"/>
          <w:tab w:val="left" w:pos="-720"/>
          <w:tab w:val="left" w:pos="1080"/>
          <w:tab w:val="left" w:pos="4998"/>
          <w:tab w:val="left" w:pos="5040"/>
        </w:tabs>
        <w:jc w:val="both"/>
        <w:rPr>
          <w:rFonts w:cstheme="minorHAnsi"/>
          <w:spacing w:val="-3"/>
          <w:szCs w:val="20"/>
        </w:rPr>
      </w:pPr>
      <w:r w:rsidRPr="00783DFA">
        <w:rPr>
          <w:rFonts w:cstheme="minorHAnsi"/>
          <w:spacing w:val="-3"/>
          <w:szCs w:val="20"/>
        </w:rPr>
        <w:t>devices for in-vitro fertilization or assisted reproduction technologies.</w:t>
      </w:r>
    </w:p>
    <w:p w14:paraId="63156F5C" w14:textId="77777777" w:rsidR="00875C7B" w:rsidRPr="00875C7B" w:rsidRDefault="00875C7B" w:rsidP="00594273">
      <w:pPr>
        <w:pStyle w:val="ListParagraph"/>
        <w:widowControl w:val="0"/>
        <w:ind w:left="680"/>
        <w:jc w:val="both"/>
        <w:rPr>
          <w:rFonts w:cstheme="minorHAnsi"/>
          <w:bCs/>
          <w:szCs w:val="20"/>
        </w:rPr>
      </w:pPr>
      <w:r w:rsidRPr="00875C7B">
        <w:rPr>
          <w:rFonts w:cstheme="minorHAnsi"/>
          <w:bCs/>
          <w:szCs w:val="20"/>
        </w:rPr>
        <w:t>NOTE 2: For clarification purposes, in certain regulatory jurisdictions, devices for cosmetic/aesthetic purposes are also considered medical devices.</w:t>
      </w:r>
    </w:p>
    <w:p w14:paraId="1ECF1C3B" w14:textId="134D6D16" w:rsidR="002B1EAD" w:rsidRDefault="00875C7B" w:rsidP="00594273">
      <w:pPr>
        <w:pStyle w:val="ListParagraph"/>
        <w:widowControl w:val="0"/>
        <w:ind w:left="680"/>
        <w:jc w:val="both"/>
        <w:rPr>
          <w:rFonts w:cstheme="minorHAnsi"/>
          <w:bCs/>
          <w:szCs w:val="20"/>
        </w:rPr>
      </w:pPr>
      <w:r w:rsidRPr="00875C7B">
        <w:rPr>
          <w:rFonts w:cstheme="minorHAnsi"/>
          <w:bCs/>
          <w:szCs w:val="20"/>
        </w:rPr>
        <w:t>NOTE 3: For clarification purposes, in certain regulatory jurisdictions, the commerce of devices incorporating human tissues is not allowed.</w:t>
      </w:r>
    </w:p>
    <w:p w14:paraId="7B135207" w14:textId="2FDCC2BE" w:rsidR="00C10D99" w:rsidRPr="00634085" w:rsidRDefault="00C10D99" w:rsidP="00594273">
      <w:pPr>
        <w:pStyle w:val="ListParagraph"/>
        <w:widowControl w:val="0"/>
        <w:ind w:left="680"/>
        <w:jc w:val="both"/>
        <w:rPr>
          <w:rFonts w:cstheme="minorHAnsi"/>
          <w:bCs/>
          <w:szCs w:val="20"/>
        </w:rPr>
      </w:pPr>
      <w:r>
        <w:rPr>
          <w:rFonts w:cstheme="minorHAnsi"/>
          <w:bCs/>
          <w:szCs w:val="20"/>
        </w:rPr>
        <w:t>(IMDRF/GRRP WG/N47)</w:t>
      </w:r>
    </w:p>
    <w:p w14:paraId="4A97BE9C" w14:textId="57E18D7F" w:rsidR="00560347" w:rsidRDefault="00560347" w:rsidP="00191CD6">
      <w:pPr>
        <w:pStyle w:val="Heading2"/>
        <w:spacing w:before="120" w:after="120" w:line="240" w:lineRule="exact"/>
        <w:ind w:left="677" w:hanging="677"/>
        <w:jc w:val="both"/>
        <w:rPr>
          <w:rFonts w:ascii="Arial" w:hAnsi="Arial" w:cs="Arial"/>
          <w:b w:val="0"/>
          <w:bCs w:val="0"/>
          <w:noProof/>
          <w:color w:val="auto"/>
          <w:sz w:val="20"/>
          <w:szCs w:val="20"/>
          <w:lang w:val="en-US"/>
        </w:rPr>
      </w:pPr>
      <w:bookmarkStart w:id="30" w:name="_Recognition:_Acceptance_of"/>
      <w:bookmarkStart w:id="31" w:name="_Toc213265622"/>
      <w:bookmarkStart w:id="32" w:name="_Toc183071136"/>
      <w:bookmarkStart w:id="33" w:name="_Toc185157836"/>
      <w:bookmarkEnd w:id="30"/>
      <w:r w:rsidRPr="00191CD6">
        <w:rPr>
          <w:rFonts w:ascii="Arial" w:hAnsi="Arial" w:cs="Arial"/>
          <w:b w:val="0"/>
          <w:bCs w:val="0"/>
          <w:i/>
          <w:iCs/>
          <w:noProof/>
          <w:color w:val="auto"/>
          <w:sz w:val="20"/>
          <w:szCs w:val="20"/>
          <w:lang w:val="en-US"/>
        </w:rPr>
        <w:t>Recognition</w:t>
      </w:r>
      <w:r w:rsidR="00467986">
        <w:rPr>
          <w:rFonts w:ascii="Arial" w:hAnsi="Arial" w:cs="Arial"/>
          <w:b w:val="0"/>
          <w:bCs w:val="0"/>
          <w:noProof/>
          <w:color w:val="auto"/>
          <w:sz w:val="20"/>
          <w:szCs w:val="20"/>
          <w:lang w:val="en-US"/>
        </w:rPr>
        <w:t>:</w:t>
      </w:r>
      <w:r w:rsidRPr="00560347">
        <w:rPr>
          <w:rFonts w:ascii="Arial" w:hAnsi="Arial" w:cs="Arial"/>
          <w:b w:val="0"/>
          <w:bCs w:val="0"/>
          <w:noProof/>
          <w:color w:val="auto"/>
          <w:sz w:val="20"/>
          <w:szCs w:val="20"/>
          <w:lang w:val="en-US"/>
        </w:rPr>
        <w:t xml:space="preserve"> Acceptance of the regulatory decision of another regulator or trusted institution. Recognition should be based on evidence that the regulatory requirements of the reference regulatory authority are sufficient to meet the regulatory requirements of the relying authority.</w:t>
      </w:r>
      <w:bookmarkEnd w:id="31"/>
      <w:r w:rsidRPr="00560347">
        <w:rPr>
          <w:rFonts w:ascii="Arial" w:hAnsi="Arial" w:cs="Arial"/>
          <w:b w:val="0"/>
          <w:bCs w:val="0"/>
          <w:noProof/>
          <w:color w:val="auto"/>
          <w:sz w:val="20"/>
          <w:szCs w:val="20"/>
          <w:lang w:val="en-US"/>
        </w:rPr>
        <w:t xml:space="preserve"> </w:t>
      </w:r>
    </w:p>
    <w:p w14:paraId="424301AE" w14:textId="78ACE214" w:rsidR="00D06143" w:rsidRDefault="00F3174E" w:rsidP="00594273">
      <w:pPr>
        <w:ind w:left="680"/>
        <w:jc w:val="both"/>
        <w:rPr>
          <w:rFonts w:eastAsiaTheme="majorEastAsia" w:cstheme="minorHAnsi"/>
          <w:szCs w:val="20"/>
          <w:lang w:val="en-GB"/>
        </w:rPr>
      </w:pPr>
      <w:r>
        <w:rPr>
          <w:rFonts w:eastAsiaTheme="majorEastAsia" w:cstheme="minorHAnsi"/>
          <w:szCs w:val="20"/>
          <w:lang w:val="en-GB"/>
        </w:rPr>
        <w:t xml:space="preserve">(Modified from </w:t>
      </w:r>
      <w:r w:rsidR="00D06143" w:rsidRPr="004C106C">
        <w:rPr>
          <w:noProof/>
          <w:lang w:val="en-US"/>
        </w:rPr>
        <w:t>WHO Expert Committee on Specifications for Pharmaceutical Preparations, Fifty-fifth Report, Annex 10</w:t>
      </w:r>
      <w:r w:rsidR="00D06143">
        <w:rPr>
          <w:rFonts w:eastAsiaTheme="majorEastAsia" w:cstheme="minorHAnsi"/>
          <w:szCs w:val="20"/>
          <w:lang w:val="en-GB"/>
        </w:rPr>
        <w:t>)</w:t>
      </w:r>
    </w:p>
    <w:p w14:paraId="35FCA502" w14:textId="4B8A6194" w:rsidR="002767B7" w:rsidRDefault="00FF1466" w:rsidP="00594273">
      <w:pPr>
        <w:pStyle w:val="Heading2"/>
        <w:spacing w:before="120" w:after="120" w:line="240" w:lineRule="exact"/>
        <w:ind w:left="677" w:hanging="677"/>
        <w:jc w:val="both"/>
        <w:rPr>
          <w:rFonts w:ascii="Arial" w:hAnsi="Arial" w:cs="Arial"/>
          <w:b w:val="0"/>
          <w:bCs w:val="0"/>
          <w:noProof/>
          <w:color w:val="auto"/>
          <w:sz w:val="20"/>
          <w:szCs w:val="20"/>
          <w:lang w:val="en-US"/>
        </w:rPr>
      </w:pPr>
      <w:bookmarkStart w:id="34" w:name="_Toc213265623"/>
      <w:r>
        <w:rPr>
          <w:rFonts w:ascii="Arial" w:hAnsi="Arial" w:cs="Arial"/>
          <w:b w:val="0"/>
          <w:bCs w:val="0"/>
          <w:i/>
          <w:iCs/>
          <w:noProof/>
          <w:color w:val="auto"/>
          <w:sz w:val="20"/>
          <w:szCs w:val="20"/>
        </w:rPr>
        <w:t>Reference Regulatory Authority</w:t>
      </w:r>
      <w:r w:rsidRPr="006E3942">
        <w:rPr>
          <w:rFonts w:ascii="Arial" w:hAnsi="Arial" w:cs="Arial"/>
          <w:b w:val="0"/>
          <w:bCs w:val="0"/>
          <w:noProof/>
          <w:color w:val="auto"/>
          <w:sz w:val="20"/>
          <w:szCs w:val="20"/>
          <w:lang w:val="en-US"/>
        </w:rPr>
        <w:t xml:space="preserve">: </w:t>
      </w:r>
      <w:r w:rsidR="003C4067">
        <w:rPr>
          <w:rFonts w:ascii="Arial" w:hAnsi="Arial" w:cs="Arial"/>
          <w:b w:val="0"/>
          <w:bCs w:val="0"/>
          <w:noProof/>
          <w:color w:val="auto"/>
          <w:sz w:val="20"/>
          <w:szCs w:val="20"/>
          <w:lang w:val="en-US"/>
        </w:rPr>
        <w:t>A</w:t>
      </w:r>
      <w:r w:rsidRPr="00FF1466">
        <w:rPr>
          <w:rFonts w:ascii="Arial" w:hAnsi="Arial" w:cs="Arial"/>
          <w:b w:val="0"/>
          <w:bCs w:val="0"/>
          <w:noProof/>
          <w:color w:val="auto"/>
          <w:sz w:val="20"/>
          <w:szCs w:val="20"/>
          <w:lang w:val="en-US"/>
        </w:rPr>
        <w:t xml:space="preserve"> national or regional authority or a trusted institution, </w:t>
      </w:r>
      <w:r w:rsidR="001D2CC5">
        <w:rPr>
          <w:rFonts w:ascii="Arial" w:hAnsi="Arial" w:cs="Arial"/>
          <w:b w:val="0"/>
          <w:bCs w:val="0"/>
          <w:noProof/>
          <w:color w:val="auto"/>
          <w:sz w:val="20"/>
          <w:szCs w:val="20"/>
          <w:lang w:val="en-US"/>
        </w:rPr>
        <w:t>which can include</w:t>
      </w:r>
      <w:r w:rsidRPr="00FF1466">
        <w:rPr>
          <w:rFonts w:ascii="Arial" w:hAnsi="Arial" w:cs="Arial"/>
          <w:b w:val="0"/>
          <w:bCs w:val="0"/>
          <w:noProof/>
          <w:color w:val="auto"/>
          <w:sz w:val="20"/>
          <w:szCs w:val="20"/>
          <w:lang w:val="en-US"/>
        </w:rPr>
        <w:t xml:space="preserve"> </w:t>
      </w:r>
      <w:r w:rsidR="001D2CC5">
        <w:rPr>
          <w:rFonts w:ascii="Arial" w:hAnsi="Arial" w:cs="Arial"/>
          <w:b w:val="0"/>
          <w:bCs w:val="0"/>
          <w:noProof/>
          <w:color w:val="auto"/>
          <w:sz w:val="20"/>
          <w:szCs w:val="20"/>
          <w:lang w:val="en-US"/>
        </w:rPr>
        <w:t xml:space="preserve">the </w:t>
      </w:r>
      <w:r w:rsidRPr="00FF1466">
        <w:rPr>
          <w:rFonts w:ascii="Arial" w:hAnsi="Arial" w:cs="Arial"/>
          <w:b w:val="0"/>
          <w:bCs w:val="0"/>
          <w:noProof/>
          <w:color w:val="auto"/>
          <w:sz w:val="20"/>
          <w:szCs w:val="20"/>
          <w:lang w:val="en-US"/>
        </w:rPr>
        <w:t xml:space="preserve">WHO prequalification </w:t>
      </w:r>
      <w:r w:rsidR="001D2CC5">
        <w:rPr>
          <w:rFonts w:ascii="Arial" w:hAnsi="Arial" w:cs="Arial"/>
          <w:b w:val="0"/>
          <w:bCs w:val="0"/>
          <w:noProof/>
          <w:color w:val="auto"/>
          <w:sz w:val="20"/>
          <w:szCs w:val="20"/>
          <w:lang w:val="en-US"/>
        </w:rPr>
        <w:t xml:space="preserve">program </w:t>
      </w:r>
      <w:r w:rsidRPr="00FF1466">
        <w:rPr>
          <w:rFonts w:ascii="Arial" w:hAnsi="Arial" w:cs="Arial"/>
          <w:b w:val="0"/>
          <w:bCs w:val="0"/>
          <w:noProof/>
          <w:color w:val="auto"/>
          <w:sz w:val="20"/>
          <w:szCs w:val="20"/>
          <w:lang w:val="en-US"/>
        </w:rPr>
        <w:t>or a</w:t>
      </w:r>
      <w:r w:rsidR="00955D4D">
        <w:rPr>
          <w:rFonts w:ascii="Arial" w:hAnsi="Arial" w:cs="Arial"/>
          <w:b w:val="0"/>
          <w:bCs w:val="0"/>
          <w:noProof/>
          <w:color w:val="auto"/>
          <w:sz w:val="20"/>
          <w:szCs w:val="20"/>
          <w:lang w:val="en-US"/>
        </w:rPr>
        <w:t xml:space="preserve"> </w:t>
      </w:r>
      <w:r w:rsidRPr="00FF1466">
        <w:rPr>
          <w:rFonts w:ascii="Arial" w:hAnsi="Arial" w:cs="Arial"/>
          <w:b w:val="0"/>
          <w:bCs w:val="0"/>
          <w:noProof/>
          <w:color w:val="auto"/>
          <w:sz w:val="20"/>
          <w:szCs w:val="20"/>
          <w:lang w:val="en-US"/>
        </w:rPr>
        <w:t>conformity assessment body, whose regulatory decisions and/or regulatory work products are relied upon by another regulatory authority to inform its own regulatory decisions.</w:t>
      </w:r>
      <w:bookmarkEnd w:id="34"/>
    </w:p>
    <w:p w14:paraId="30D6A391" w14:textId="77777777" w:rsidR="002C38C1" w:rsidRDefault="002C38C1" w:rsidP="00594273">
      <w:pPr>
        <w:ind w:left="680"/>
        <w:jc w:val="both"/>
        <w:rPr>
          <w:rFonts w:eastAsiaTheme="majorEastAsia" w:cstheme="minorHAnsi"/>
          <w:szCs w:val="20"/>
          <w:lang w:val="en-GB"/>
        </w:rPr>
      </w:pPr>
      <w:r>
        <w:rPr>
          <w:rFonts w:ascii="Arial" w:eastAsiaTheme="majorEastAsia" w:hAnsi="Arial" w:cs="Arial"/>
          <w:noProof/>
          <w:szCs w:val="20"/>
          <w:lang w:val="en-GB"/>
        </w:rPr>
        <w:t>(</w:t>
      </w:r>
      <w:r>
        <w:rPr>
          <w:rFonts w:eastAsiaTheme="majorEastAsia" w:cstheme="minorHAnsi"/>
          <w:szCs w:val="20"/>
          <w:lang w:val="en-GB"/>
        </w:rPr>
        <w:t xml:space="preserve">Modified from </w:t>
      </w:r>
      <w:r w:rsidRPr="004C106C">
        <w:rPr>
          <w:noProof/>
          <w:lang w:val="en-US"/>
        </w:rPr>
        <w:t>WHO Expert Committee on Specifications for Pharmaceutical Preparations, Fifty-fifth Report, Annex 10</w:t>
      </w:r>
      <w:r>
        <w:rPr>
          <w:rFonts w:eastAsiaTheme="majorEastAsia" w:cstheme="minorHAnsi"/>
          <w:szCs w:val="20"/>
          <w:lang w:val="en-GB"/>
        </w:rPr>
        <w:t>)</w:t>
      </w:r>
    </w:p>
    <w:p w14:paraId="6DC6C6F9" w14:textId="0290BF31" w:rsidR="006E3942" w:rsidRDefault="006E3942" w:rsidP="00594273">
      <w:pPr>
        <w:pStyle w:val="Heading2"/>
        <w:keepLines w:val="0"/>
        <w:spacing w:before="120" w:after="120" w:line="240" w:lineRule="atLeast"/>
        <w:ind w:left="677" w:hanging="677"/>
        <w:jc w:val="both"/>
        <w:rPr>
          <w:rFonts w:ascii="Arial" w:hAnsi="Arial" w:cs="Arial"/>
          <w:b w:val="0"/>
          <w:bCs w:val="0"/>
          <w:noProof/>
          <w:color w:val="auto"/>
          <w:sz w:val="20"/>
          <w:szCs w:val="20"/>
          <w:lang w:val="en-US"/>
        </w:rPr>
      </w:pPr>
      <w:bookmarkStart w:id="35" w:name="_Regulatory_Submission:_A"/>
      <w:bookmarkStart w:id="36" w:name="_Toc213265624"/>
      <w:bookmarkEnd w:id="35"/>
      <w:r w:rsidRPr="00EA42E2">
        <w:rPr>
          <w:rFonts w:ascii="Arial" w:hAnsi="Arial" w:cs="Arial"/>
          <w:b w:val="0"/>
          <w:bCs w:val="0"/>
          <w:i/>
          <w:iCs/>
          <w:noProof/>
          <w:color w:val="auto"/>
          <w:sz w:val="20"/>
          <w:szCs w:val="20"/>
          <w:lang w:val="en-US"/>
        </w:rPr>
        <w:t xml:space="preserve">Regulatory </w:t>
      </w:r>
      <w:bookmarkStart w:id="37" w:name="_Hlk208586297"/>
      <w:r w:rsidRPr="00EA42E2">
        <w:rPr>
          <w:rFonts w:ascii="Arial" w:hAnsi="Arial" w:cs="Arial"/>
          <w:b w:val="0"/>
          <w:bCs w:val="0"/>
          <w:i/>
          <w:iCs/>
          <w:noProof/>
          <w:color w:val="auto"/>
          <w:sz w:val="20"/>
          <w:szCs w:val="20"/>
          <w:lang w:val="en-US"/>
        </w:rPr>
        <w:t>Submission</w:t>
      </w:r>
      <w:r w:rsidRPr="006E3942">
        <w:rPr>
          <w:rFonts w:ascii="Arial" w:hAnsi="Arial" w:cs="Arial"/>
          <w:b w:val="0"/>
          <w:bCs w:val="0"/>
          <w:noProof/>
          <w:color w:val="auto"/>
          <w:sz w:val="20"/>
          <w:szCs w:val="20"/>
          <w:lang w:val="en-US"/>
        </w:rPr>
        <w:t>: A regulatory submission can be any type of</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information related to a medical device regulatory process. This includes but is</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not limited to a request for approval/authorization to market a device, any</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communications relating to the original submission, and any request for</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 xml:space="preserve">modification to an existing </w:t>
      </w:r>
      <w:bookmarkEnd w:id="37"/>
      <w:r w:rsidRPr="006E3942">
        <w:rPr>
          <w:rFonts w:ascii="Arial" w:hAnsi="Arial" w:cs="Arial"/>
          <w:b w:val="0"/>
          <w:bCs w:val="0"/>
          <w:noProof/>
          <w:color w:val="auto"/>
          <w:sz w:val="20"/>
          <w:szCs w:val="20"/>
          <w:lang w:val="en-US"/>
        </w:rPr>
        <w:t>approval. A regulatory submission includes the</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technical documentation and an explanation of how the technical</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documentation demonstrates that the medical device conforms with essential</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principles of safety and performance and other relevant regulatory</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requirements and guidelines. Guidance on contents for a regulatory</w:t>
      </w:r>
      <w:r>
        <w:rPr>
          <w:rFonts w:ascii="Arial" w:hAnsi="Arial" w:cs="Arial"/>
          <w:b w:val="0"/>
          <w:bCs w:val="0"/>
          <w:noProof/>
          <w:color w:val="auto"/>
          <w:sz w:val="20"/>
          <w:szCs w:val="20"/>
          <w:lang w:val="en-US"/>
        </w:rPr>
        <w:t xml:space="preserve"> </w:t>
      </w:r>
      <w:r w:rsidRPr="006E3942">
        <w:rPr>
          <w:rFonts w:ascii="Arial" w:hAnsi="Arial" w:cs="Arial"/>
          <w:b w:val="0"/>
          <w:bCs w:val="0"/>
          <w:noProof/>
          <w:color w:val="auto"/>
          <w:sz w:val="20"/>
          <w:szCs w:val="20"/>
          <w:lang w:val="en-US"/>
        </w:rPr>
        <w:t>submission is provided in IMDRF/RPS WG/N9 and IMDRF/RPS WG/N13</w:t>
      </w:r>
      <w:bookmarkEnd w:id="10"/>
      <w:bookmarkEnd w:id="11"/>
      <w:bookmarkEnd w:id="12"/>
      <w:bookmarkEnd w:id="32"/>
      <w:bookmarkEnd w:id="33"/>
      <w:r w:rsidR="007B10B9">
        <w:rPr>
          <w:rFonts w:ascii="Arial" w:hAnsi="Arial" w:cs="Arial"/>
          <w:b w:val="0"/>
          <w:bCs w:val="0"/>
          <w:noProof/>
          <w:color w:val="auto"/>
          <w:sz w:val="20"/>
          <w:szCs w:val="20"/>
          <w:lang w:val="en-US"/>
        </w:rPr>
        <w:t>.</w:t>
      </w:r>
      <w:bookmarkEnd w:id="36"/>
    </w:p>
    <w:p w14:paraId="00F011CE" w14:textId="4C19F486" w:rsidR="006E3942" w:rsidRPr="00EA42E2" w:rsidRDefault="006E3942" w:rsidP="00594273">
      <w:pPr>
        <w:spacing w:line="240" w:lineRule="atLeast"/>
        <w:ind w:left="680"/>
        <w:jc w:val="both"/>
        <w:rPr>
          <w:b/>
          <w:bCs/>
          <w:lang w:val="en-US"/>
        </w:rPr>
      </w:pPr>
      <w:r>
        <w:rPr>
          <w:lang w:val="en-US"/>
        </w:rPr>
        <w:t>(IMDRF/GRRP WG/N59)</w:t>
      </w:r>
    </w:p>
    <w:p w14:paraId="47DC7F4A" w14:textId="77777777" w:rsidR="00F61D52" w:rsidRPr="005B27A2" w:rsidRDefault="00F61D52" w:rsidP="00594273">
      <w:pPr>
        <w:pStyle w:val="Heading2"/>
        <w:spacing w:before="120" w:after="120" w:line="240" w:lineRule="atLeast"/>
        <w:ind w:left="677" w:hanging="677"/>
        <w:jc w:val="both"/>
        <w:rPr>
          <w:rFonts w:ascii="Arial" w:hAnsi="Arial" w:cs="Arial"/>
          <w:b w:val="0"/>
          <w:bCs w:val="0"/>
          <w:noProof/>
          <w:color w:val="auto"/>
          <w:sz w:val="20"/>
          <w:szCs w:val="20"/>
          <w:lang w:val="en-US"/>
        </w:rPr>
      </w:pPr>
      <w:bookmarkStart w:id="38" w:name="_Reliance:_The_act"/>
      <w:bookmarkStart w:id="39" w:name="_Toc213265625"/>
      <w:bookmarkStart w:id="40" w:name="_Toc180070228"/>
      <w:bookmarkStart w:id="41" w:name="_Toc180071288"/>
      <w:bookmarkStart w:id="42" w:name="_Toc182908184"/>
      <w:bookmarkStart w:id="43" w:name="_Toc183071137"/>
      <w:bookmarkStart w:id="44" w:name="_Toc185157837"/>
      <w:bookmarkEnd w:id="38"/>
      <w:r>
        <w:rPr>
          <w:rFonts w:ascii="Arial" w:hAnsi="Arial" w:cs="Arial"/>
          <w:b w:val="0"/>
          <w:bCs w:val="0"/>
          <w:i/>
          <w:iCs/>
          <w:noProof/>
          <w:color w:val="auto"/>
          <w:sz w:val="20"/>
          <w:szCs w:val="20"/>
          <w:lang w:val="en-US"/>
        </w:rPr>
        <w:t>Reliance:</w:t>
      </w:r>
      <w:r>
        <w:rPr>
          <w:rFonts w:ascii="Arial" w:hAnsi="Arial" w:cs="Arial"/>
          <w:b w:val="0"/>
          <w:bCs w:val="0"/>
          <w:noProof/>
          <w:color w:val="auto"/>
          <w:sz w:val="20"/>
          <w:szCs w:val="20"/>
          <w:lang w:val="en-US"/>
        </w:rPr>
        <w:t xml:space="preserve"> </w:t>
      </w:r>
      <w:r w:rsidRPr="005B27A2">
        <w:rPr>
          <w:rFonts w:ascii="Arial" w:hAnsi="Arial" w:cs="Arial"/>
          <w:b w:val="0"/>
          <w:bCs w:val="0"/>
          <w:noProof/>
          <w:color w:val="auto"/>
          <w:sz w:val="20"/>
          <w:szCs w:val="20"/>
          <w:lang w:val="en-US"/>
        </w:rPr>
        <w:t>The act whereby the regulatory authority in one jurisdiction takes into account and gives significant weight to assessments performed by another regulatory authority or trusted institution, or to any other authoritative information, in reaching its own decision. The relying authority remains independent, responsible and accountable for the decisions taken, even when it relies on the decisions, assessments and information of others</w:t>
      </w:r>
      <w:r>
        <w:rPr>
          <w:rFonts w:ascii="Arial" w:hAnsi="Arial" w:cs="Arial"/>
          <w:b w:val="0"/>
          <w:bCs w:val="0"/>
          <w:noProof/>
          <w:color w:val="auto"/>
          <w:sz w:val="20"/>
          <w:szCs w:val="20"/>
          <w:lang w:val="en-US"/>
        </w:rPr>
        <w:t>.</w:t>
      </w:r>
      <w:bookmarkEnd w:id="39"/>
    </w:p>
    <w:p w14:paraId="710C0EEC" w14:textId="77777777" w:rsidR="00F61D52" w:rsidRDefault="00F61D52" w:rsidP="00594273">
      <w:pPr>
        <w:spacing w:line="240" w:lineRule="atLeast"/>
        <w:ind w:left="680"/>
        <w:jc w:val="both"/>
        <w:rPr>
          <w:noProof/>
          <w:lang w:val="en-US"/>
        </w:rPr>
      </w:pPr>
      <w:r>
        <w:rPr>
          <w:noProof/>
          <w:lang w:val="en-US"/>
        </w:rPr>
        <w:t>(</w:t>
      </w:r>
      <w:r w:rsidRPr="004C106C">
        <w:rPr>
          <w:noProof/>
          <w:lang w:val="en-US"/>
        </w:rPr>
        <w:t>WHO Expert Committee on Specifications for Pharmaceutical Preparations, Fifty-fifth Report, Annex 10</w:t>
      </w:r>
      <w:r>
        <w:rPr>
          <w:noProof/>
          <w:lang w:val="en-US"/>
        </w:rPr>
        <w:t>)</w:t>
      </w:r>
    </w:p>
    <w:p w14:paraId="0C6405B1" w14:textId="0CAC8F74" w:rsidR="00AC5DD5" w:rsidRDefault="00F61D52" w:rsidP="00687F73">
      <w:pPr>
        <w:pStyle w:val="Heading2"/>
        <w:keepLines w:val="0"/>
        <w:spacing w:before="120" w:after="120" w:line="240" w:lineRule="atLeast"/>
        <w:ind w:left="677" w:hanging="677"/>
        <w:jc w:val="both"/>
        <w:rPr>
          <w:noProof/>
          <w:lang w:val="en-US"/>
        </w:rPr>
      </w:pPr>
      <w:bookmarkStart w:id="45" w:name="_Work-Sharing:_A_process"/>
      <w:bookmarkStart w:id="46" w:name="_Toc213265626"/>
      <w:bookmarkEnd w:id="45"/>
      <w:r>
        <w:rPr>
          <w:rFonts w:ascii="Arial" w:hAnsi="Arial" w:cs="Arial"/>
          <w:b w:val="0"/>
          <w:bCs w:val="0"/>
          <w:i/>
          <w:iCs/>
          <w:noProof/>
          <w:color w:val="auto"/>
          <w:sz w:val="20"/>
          <w:szCs w:val="20"/>
        </w:rPr>
        <w:t>Work-</w:t>
      </w:r>
      <w:r w:rsidR="00FF1466">
        <w:rPr>
          <w:rFonts w:ascii="Arial" w:hAnsi="Arial" w:cs="Arial"/>
          <w:b w:val="0"/>
          <w:bCs w:val="0"/>
          <w:i/>
          <w:iCs/>
          <w:noProof/>
          <w:color w:val="auto"/>
          <w:sz w:val="20"/>
          <w:szCs w:val="20"/>
        </w:rPr>
        <w:t>S</w:t>
      </w:r>
      <w:r>
        <w:rPr>
          <w:rFonts w:ascii="Arial" w:hAnsi="Arial" w:cs="Arial"/>
          <w:b w:val="0"/>
          <w:bCs w:val="0"/>
          <w:i/>
          <w:iCs/>
          <w:noProof/>
          <w:color w:val="auto"/>
          <w:sz w:val="20"/>
          <w:szCs w:val="20"/>
        </w:rPr>
        <w:t>haring:</w:t>
      </w:r>
      <w:r>
        <w:rPr>
          <w:rFonts w:ascii="Arial" w:hAnsi="Arial" w:cs="Arial"/>
          <w:b w:val="0"/>
          <w:bCs w:val="0"/>
          <w:noProof/>
          <w:color w:val="auto"/>
          <w:sz w:val="20"/>
          <w:szCs w:val="20"/>
        </w:rPr>
        <w:t xml:space="preserve"> </w:t>
      </w:r>
      <w:r w:rsidR="00FC2331" w:rsidRPr="00FC2331">
        <w:rPr>
          <w:rFonts w:ascii="Arial" w:hAnsi="Arial" w:cs="Arial"/>
          <w:b w:val="0"/>
          <w:bCs w:val="0"/>
          <w:noProof/>
          <w:color w:val="auto"/>
          <w:sz w:val="20"/>
          <w:szCs w:val="20"/>
        </w:rPr>
        <w:t>A process by which regulatory authorit</w:t>
      </w:r>
      <w:r w:rsidR="00FC2331">
        <w:rPr>
          <w:rFonts w:ascii="Arial" w:hAnsi="Arial" w:cs="Arial"/>
          <w:b w:val="0"/>
          <w:bCs w:val="0"/>
          <w:noProof/>
          <w:color w:val="auto"/>
          <w:sz w:val="20"/>
          <w:szCs w:val="20"/>
        </w:rPr>
        <w:t>ies</w:t>
      </w:r>
      <w:r w:rsidR="00FC2331" w:rsidRPr="00FC2331">
        <w:rPr>
          <w:rFonts w:ascii="Arial" w:hAnsi="Arial" w:cs="Arial"/>
          <w:b w:val="0"/>
          <w:bCs w:val="0"/>
          <w:noProof/>
          <w:color w:val="auto"/>
          <w:sz w:val="20"/>
          <w:szCs w:val="20"/>
        </w:rPr>
        <w:t xml:space="preserve"> of two or more jurisdictions share activities to accomplish a specific regulatory task.</w:t>
      </w:r>
      <w:bookmarkEnd w:id="46"/>
      <w:r w:rsidR="00FC2331" w:rsidRPr="00FC2331">
        <w:rPr>
          <w:rFonts w:ascii="Arial" w:hAnsi="Arial" w:cs="Arial"/>
          <w:b w:val="0"/>
          <w:bCs w:val="0"/>
          <w:noProof/>
          <w:color w:val="auto"/>
          <w:sz w:val="20"/>
          <w:szCs w:val="20"/>
        </w:rPr>
        <w:t xml:space="preserve"> </w:t>
      </w:r>
      <w:bookmarkStart w:id="47" w:name="_Toc213265627"/>
      <w:bookmarkStart w:id="48" w:name="_Toc213265628"/>
      <w:bookmarkEnd w:id="13"/>
      <w:bookmarkEnd w:id="14"/>
      <w:bookmarkEnd w:id="15"/>
      <w:bookmarkEnd w:id="16"/>
      <w:bookmarkEnd w:id="17"/>
      <w:bookmarkEnd w:id="18"/>
      <w:bookmarkEnd w:id="40"/>
      <w:bookmarkEnd w:id="41"/>
      <w:bookmarkEnd w:id="42"/>
      <w:bookmarkEnd w:id="43"/>
      <w:bookmarkEnd w:id="44"/>
      <w:bookmarkEnd w:id="47"/>
      <w:bookmarkEnd w:id="48"/>
    </w:p>
    <w:p w14:paraId="5D2B759F" w14:textId="77777777" w:rsidR="0083634C" w:rsidRDefault="0083634C" w:rsidP="00594273">
      <w:pPr>
        <w:ind w:left="680"/>
        <w:jc w:val="both"/>
        <w:rPr>
          <w:rFonts w:eastAsiaTheme="majorEastAsia" w:cstheme="minorHAnsi"/>
          <w:szCs w:val="20"/>
          <w:lang w:val="en-GB"/>
        </w:rPr>
      </w:pPr>
      <w:r>
        <w:rPr>
          <w:rFonts w:eastAsiaTheme="majorEastAsia" w:cstheme="minorHAnsi"/>
          <w:szCs w:val="20"/>
          <w:lang w:val="en-GB"/>
        </w:rPr>
        <w:t xml:space="preserve">(Modified from </w:t>
      </w:r>
      <w:r w:rsidRPr="004C106C">
        <w:rPr>
          <w:noProof/>
          <w:lang w:val="en-US"/>
        </w:rPr>
        <w:t>WHO Expert Committee on Specifications for Pharmaceutical Preparations, Fifty-fifth Report, Annex 10</w:t>
      </w:r>
      <w:r>
        <w:rPr>
          <w:rFonts w:eastAsiaTheme="majorEastAsia" w:cstheme="minorHAnsi"/>
          <w:szCs w:val="20"/>
          <w:lang w:val="en-GB"/>
        </w:rPr>
        <w:t>)</w:t>
      </w:r>
    </w:p>
    <w:p w14:paraId="2C01B504" w14:textId="4D3A05E6" w:rsidR="00D27000" w:rsidRDefault="00D27000" w:rsidP="00594273">
      <w:pPr>
        <w:jc w:val="both"/>
      </w:pPr>
    </w:p>
    <w:p w14:paraId="0FB51F72" w14:textId="5C7B54CF" w:rsidR="00BF357F" w:rsidRPr="000F7A87" w:rsidRDefault="004E1D62" w:rsidP="00BF357F">
      <w:pPr>
        <w:pStyle w:val="Heading1"/>
        <w:rPr>
          <w:noProof/>
          <w:lang w:val="en-US"/>
        </w:rPr>
      </w:pPr>
      <w:bookmarkStart w:id="49" w:name="_Toc213265629"/>
      <w:r>
        <w:rPr>
          <w:noProof/>
          <w:lang w:val="en-US"/>
        </w:rPr>
        <w:t>Overview of Medical Device Regulatory Reliance</w:t>
      </w:r>
      <w:r w:rsidR="00B2162B">
        <w:rPr>
          <w:noProof/>
          <w:lang w:val="en-US"/>
        </w:rPr>
        <w:t xml:space="preserve"> </w:t>
      </w:r>
      <w:r w:rsidR="00F111BF">
        <w:rPr>
          <w:noProof/>
          <w:lang w:val="en-US"/>
        </w:rPr>
        <w:t>Programs</w:t>
      </w:r>
      <w:bookmarkEnd w:id="49"/>
    </w:p>
    <w:p w14:paraId="1BB0D1C9" w14:textId="7D96617D" w:rsidR="008C30E3" w:rsidRPr="009B6A94" w:rsidRDefault="00360C7F" w:rsidP="009B6A94">
      <w:pPr>
        <w:pStyle w:val="Heading2"/>
      </w:pPr>
      <w:bookmarkStart w:id="50" w:name="_Toc213265630"/>
      <w:bookmarkStart w:id="51" w:name="_Toc175600444"/>
      <w:r w:rsidRPr="009B6A94">
        <w:t>Role</w:t>
      </w:r>
      <w:r w:rsidR="008C30E3" w:rsidRPr="009B6A94">
        <w:t xml:space="preserve"> of </w:t>
      </w:r>
      <w:r w:rsidR="00380B91">
        <w:t>r</w:t>
      </w:r>
      <w:r w:rsidR="008C30E3" w:rsidRPr="009B6A94">
        <w:t xml:space="preserve">egulatory </w:t>
      </w:r>
      <w:r w:rsidR="00380B91">
        <w:t>r</w:t>
      </w:r>
      <w:r w:rsidR="008C30E3" w:rsidRPr="009B6A94">
        <w:t>eliance</w:t>
      </w:r>
      <w:bookmarkEnd w:id="50"/>
      <w:r w:rsidR="008C30E3" w:rsidRPr="009B6A94">
        <w:t xml:space="preserve"> </w:t>
      </w:r>
      <w:bookmarkEnd w:id="51"/>
    </w:p>
    <w:p w14:paraId="11388306" w14:textId="4DB3157A" w:rsidR="00BD6DE8" w:rsidRPr="00C059A7" w:rsidRDefault="00BD6DE8" w:rsidP="00783DFA">
      <w:pPr>
        <w:jc w:val="both"/>
        <w:rPr>
          <w:noProof/>
          <w:szCs w:val="20"/>
          <w:lang w:val="en-SG"/>
        </w:rPr>
      </w:pPr>
      <w:bookmarkStart w:id="52" w:name="_Toc175600445"/>
      <w:r w:rsidRPr="00C059A7">
        <w:rPr>
          <w:noProof/>
          <w:szCs w:val="20"/>
          <w:lang w:val="en-SG"/>
        </w:rPr>
        <w:t xml:space="preserve">Reliance programs streamline and expedite regulatory processes by allowing regulators to leverage assessments performed by trusted partners. </w:t>
      </w:r>
      <w:r w:rsidR="00B71AB1">
        <w:rPr>
          <w:noProof/>
          <w:szCs w:val="20"/>
          <w:lang w:val="en-SG"/>
        </w:rPr>
        <w:t>A</w:t>
      </w:r>
      <w:r w:rsidRPr="00C059A7">
        <w:rPr>
          <w:noProof/>
          <w:szCs w:val="20"/>
          <w:lang w:val="en-SG"/>
        </w:rPr>
        <w:t>dopting appropriate reliance approaches help</w:t>
      </w:r>
      <w:r w:rsidR="00B71AB1">
        <w:rPr>
          <w:noProof/>
          <w:szCs w:val="20"/>
          <w:lang w:val="en-SG"/>
        </w:rPr>
        <w:t>s</w:t>
      </w:r>
      <w:r w:rsidRPr="00C059A7">
        <w:rPr>
          <w:noProof/>
          <w:szCs w:val="20"/>
          <w:lang w:val="en-SG"/>
        </w:rPr>
        <w:t xml:space="preserve"> </w:t>
      </w:r>
      <w:r w:rsidR="00B71AB1">
        <w:rPr>
          <w:noProof/>
          <w:szCs w:val="20"/>
          <w:lang w:val="en-SG"/>
        </w:rPr>
        <w:t>improve</w:t>
      </w:r>
      <w:r w:rsidRPr="00C059A7">
        <w:rPr>
          <w:noProof/>
          <w:szCs w:val="20"/>
          <w:lang w:val="en-SG"/>
        </w:rPr>
        <w:t xml:space="preserve">: </w:t>
      </w:r>
    </w:p>
    <w:p w14:paraId="4007330E" w14:textId="6A4BCA33" w:rsidR="00BD6DE8" w:rsidRPr="00C059A7" w:rsidRDefault="00BD6DE8" w:rsidP="00783DFA">
      <w:pPr>
        <w:pStyle w:val="NormalNumbered"/>
        <w:numPr>
          <w:ilvl w:val="0"/>
          <w:numId w:val="35"/>
        </w:numPr>
        <w:ind w:left="288" w:hanging="288"/>
        <w:jc w:val="both"/>
        <w:rPr>
          <w:noProof/>
          <w:szCs w:val="20"/>
          <w:lang w:val="en-SG"/>
        </w:rPr>
      </w:pPr>
      <w:r w:rsidRPr="00783DFA">
        <w:rPr>
          <w:i/>
          <w:iCs/>
          <w:noProof/>
          <w:szCs w:val="20"/>
        </w:rPr>
        <w:t>Efficiency</w:t>
      </w:r>
      <w:r>
        <w:rPr>
          <w:noProof/>
          <w:szCs w:val="20"/>
        </w:rPr>
        <w:t xml:space="preserve">: </w:t>
      </w:r>
      <w:r w:rsidRPr="00C059A7">
        <w:rPr>
          <w:noProof/>
          <w:szCs w:val="20"/>
        </w:rPr>
        <w:t>reduc</w:t>
      </w:r>
      <w:r w:rsidR="00F71401">
        <w:rPr>
          <w:noProof/>
          <w:szCs w:val="20"/>
        </w:rPr>
        <w:t>ing</w:t>
      </w:r>
      <w:r w:rsidRPr="00C059A7">
        <w:rPr>
          <w:noProof/>
          <w:szCs w:val="20"/>
        </w:rPr>
        <w:t xml:space="preserve"> duplicative work while maintaining </w:t>
      </w:r>
      <w:r w:rsidRPr="00C059A7">
        <w:rPr>
          <w:szCs w:val="20"/>
        </w:rPr>
        <w:t>rigorous</w:t>
      </w:r>
      <w:r w:rsidRPr="00C059A7">
        <w:rPr>
          <w:noProof/>
          <w:szCs w:val="20"/>
        </w:rPr>
        <w:t xml:space="preserve"> oversight</w:t>
      </w:r>
    </w:p>
    <w:p w14:paraId="6F3E6A90" w14:textId="78990168" w:rsidR="00BD6DE8" w:rsidRPr="00C059A7" w:rsidRDefault="00BD6DE8" w:rsidP="00783DFA">
      <w:pPr>
        <w:pStyle w:val="NormalNumbered"/>
        <w:numPr>
          <w:ilvl w:val="0"/>
          <w:numId w:val="35"/>
        </w:numPr>
        <w:ind w:left="288" w:hanging="288"/>
        <w:jc w:val="both"/>
        <w:rPr>
          <w:noProof/>
          <w:szCs w:val="20"/>
          <w:lang w:val="en-SG"/>
        </w:rPr>
      </w:pPr>
      <w:r w:rsidRPr="00783DFA">
        <w:rPr>
          <w:i/>
          <w:iCs/>
          <w:noProof/>
          <w:szCs w:val="20"/>
          <w:lang w:val="en-SG"/>
        </w:rPr>
        <w:t>Resource optimization</w:t>
      </w:r>
      <w:r>
        <w:rPr>
          <w:noProof/>
          <w:szCs w:val="20"/>
          <w:lang w:val="en-SG"/>
        </w:rPr>
        <w:t xml:space="preserve">: </w:t>
      </w:r>
      <w:r w:rsidRPr="00C059A7">
        <w:rPr>
          <w:noProof/>
          <w:szCs w:val="20"/>
          <w:lang w:val="en-SG"/>
        </w:rPr>
        <w:t>free</w:t>
      </w:r>
      <w:r w:rsidR="00F71401">
        <w:rPr>
          <w:noProof/>
          <w:szCs w:val="20"/>
          <w:lang w:val="en-SG"/>
        </w:rPr>
        <w:t>ing</w:t>
      </w:r>
      <w:r w:rsidRPr="00C059A7">
        <w:rPr>
          <w:noProof/>
          <w:szCs w:val="20"/>
          <w:lang w:val="en-SG"/>
        </w:rPr>
        <w:t xml:space="preserve"> up your resources for priority areas</w:t>
      </w:r>
      <w:r>
        <w:rPr>
          <w:noProof/>
          <w:szCs w:val="20"/>
          <w:lang w:val="en-SG"/>
        </w:rPr>
        <w:t xml:space="preserve"> </w:t>
      </w:r>
      <w:r w:rsidRPr="004769A1">
        <w:rPr>
          <w:noProof/>
          <w:szCs w:val="20"/>
          <w:lang w:val="en-SG"/>
        </w:rPr>
        <w:t xml:space="preserve">or emergency </w:t>
      </w:r>
      <w:r>
        <w:rPr>
          <w:noProof/>
          <w:szCs w:val="20"/>
          <w:lang w:val="en-SG"/>
        </w:rPr>
        <w:t xml:space="preserve">responses like </w:t>
      </w:r>
      <w:r w:rsidRPr="004769A1">
        <w:rPr>
          <w:noProof/>
          <w:szCs w:val="20"/>
          <w:lang w:val="en-SG"/>
        </w:rPr>
        <w:t>pandemics</w:t>
      </w:r>
    </w:p>
    <w:p w14:paraId="488B0548" w14:textId="20D7EECA" w:rsidR="00BD6DE8" w:rsidRPr="00C059A7" w:rsidRDefault="00BD6DE8" w:rsidP="00783DFA">
      <w:pPr>
        <w:pStyle w:val="NormalNumbered"/>
        <w:numPr>
          <w:ilvl w:val="0"/>
          <w:numId w:val="35"/>
        </w:numPr>
        <w:ind w:left="288" w:hanging="288"/>
        <w:jc w:val="both"/>
        <w:rPr>
          <w:noProof/>
          <w:szCs w:val="20"/>
          <w:lang w:val="en-SG"/>
        </w:rPr>
      </w:pPr>
      <w:r w:rsidRPr="00783DFA">
        <w:rPr>
          <w:i/>
          <w:iCs/>
          <w:noProof/>
          <w:szCs w:val="20"/>
        </w:rPr>
        <w:t>Industry support</w:t>
      </w:r>
      <w:r>
        <w:rPr>
          <w:noProof/>
          <w:szCs w:val="20"/>
        </w:rPr>
        <w:t xml:space="preserve">: </w:t>
      </w:r>
      <w:r w:rsidRPr="00C059A7">
        <w:rPr>
          <w:noProof/>
          <w:szCs w:val="20"/>
        </w:rPr>
        <w:t>minimiz</w:t>
      </w:r>
      <w:r w:rsidR="00F71401">
        <w:rPr>
          <w:noProof/>
          <w:szCs w:val="20"/>
        </w:rPr>
        <w:t>ing</w:t>
      </w:r>
      <w:r w:rsidRPr="00C059A7">
        <w:rPr>
          <w:noProof/>
          <w:szCs w:val="20"/>
        </w:rPr>
        <w:t xml:space="preserve"> regulatory burdens, </w:t>
      </w:r>
      <w:r w:rsidRPr="00C059A7">
        <w:rPr>
          <w:noProof/>
          <w:szCs w:val="20"/>
          <w:lang w:val="en-SG"/>
        </w:rPr>
        <w:t xml:space="preserve">including </w:t>
      </w:r>
      <w:r w:rsidR="00F71401">
        <w:rPr>
          <w:noProof/>
          <w:szCs w:val="20"/>
          <w:lang w:val="en-SG"/>
        </w:rPr>
        <w:t xml:space="preserve">those </w:t>
      </w:r>
      <w:r>
        <w:rPr>
          <w:noProof/>
          <w:szCs w:val="20"/>
          <w:lang w:val="en-SG"/>
        </w:rPr>
        <w:t xml:space="preserve">on </w:t>
      </w:r>
      <w:r w:rsidRPr="00C059A7">
        <w:rPr>
          <w:noProof/>
          <w:szCs w:val="20"/>
          <w:lang w:val="en-SG"/>
        </w:rPr>
        <w:t>small and medium-sized enterprises</w:t>
      </w:r>
    </w:p>
    <w:p w14:paraId="47E46B88" w14:textId="77777777" w:rsidR="00BD6DE8" w:rsidRPr="00C059A7" w:rsidRDefault="00BD6DE8" w:rsidP="00783DFA">
      <w:pPr>
        <w:jc w:val="both"/>
        <w:rPr>
          <w:szCs w:val="20"/>
        </w:rPr>
      </w:pPr>
      <w:r w:rsidRPr="00C059A7">
        <w:rPr>
          <w:szCs w:val="20"/>
        </w:rPr>
        <w:t xml:space="preserve">Your reliance program should offer concrete participation incentives, such as shorter review timeframes. </w:t>
      </w:r>
      <w:r w:rsidRPr="00B27375">
        <w:rPr>
          <w:szCs w:val="20"/>
        </w:rPr>
        <w:t>Reliance programs that are voluntary in nature and not the only possible pathway for a given regulatory process are more likely to demonstrate benefit.</w:t>
      </w:r>
    </w:p>
    <w:p w14:paraId="20FE276F" w14:textId="77777777" w:rsidR="00BD6DE8" w:rsidRPr="00C059A7" w:rsidRDefault="00BD6DE8" w:rsidP="00783DFA">
      <w:pPr>
        <w:jc w:val="both"/>
        <w:rPr>
          <w:szCs w:val="20"/>
        </w:rPr>
      </w:pPr>
    </w:p>
    <w:p w14:paraId="513B9DCC" w14:textId="77777777" w:rsidR="00BD6DE8" w:rsidRPr="00C059A7" w:rsidRDefault="00BD6DE8" w:rsidP="00783DFA">
      <w:pPr>
        <w:spacing w:before="0"/>
        <w:jc w:val="both"/>
        <w:rPr>
          <w:color w:val="FFC000" w:themeColor="accent5"/>
          <w:szCs w:val="20"/>
        </w:rPr>
      </w:pPr>
      <w:r w:rsidRPr="00C059A7">
        <w:rPr>
          <w:b/>
          <w:bCs/>
          <w:szCs w:val="20"/>
        </w:rPr>
        <w:t>Understanding Key Concepts</w:t>
      </w:r>
      <w:r w:rsidRPr="00C059A7">
        <w:rPr>
          <w:szCs w:val="20"/>
        </w:rPr>
        <w:t xml:space="preserve"> </w:t>
      </w:r>
    </w:p>
    <w:p w14:paraId="77217818" w14:textId="18737492" w:rsidR="00BD6DE8" w:rsidRPr="00C059A7" w:rsidRDefault="00BD6DE8" w:rsidP="00783DFA">
      <w:pPr>
        <w:pStyle w:val="NormalNumbered"/>
        <w:spacing w:line="240" w:lineRule="auto"/>
        <w:jc w:val="both"/>
        <w:rPr>
          <w:noProof/>
          <w:szCs w:val="20"/>
        </w:rPr>
      </w:pPr>
      <w:r w:rsidRPr="00C059A7">
        <w:rPr>
          <w:noProof/>
          <w:szCs w:val="20"/>
        </w:rPr>
        <w:t>Reliance, convergence, and harmonization are distinct but interconnected concepts</w:t>
      </w:r>
      <w:r w:rsidR="002D042E">
        <w:rPr>
          <w:noProof/>
          <w:szCs w:val="20"/>
        </w:rPr>
        <w:t>, as shown in Table 1</w:t>
      </w:r>
      <w:r w:rsidRPr="00C059A7">
        <w:rPr>
          <w:noProof/>
          <w:szCs w:val="20"/>
        </w:rPr>
        <w:t>:</w:t>
      </w:r>
    </w:p>
    <w:p w14:paraId="5A091A84" w14:textId="53F3D431" w:rsidR="00BD6DE8" w:rsidRPr="00C059A7" w:rsidRDefault="00BD6DE8" w:rsidP="00783DFA">
      <w:pPr>
        <w:pStyle w:val="NormalNumbered"/>
        <w:numPr>
          <w:ilvl w:val="0"/>
          <w:numId w:val="15"/>
        </w:numPr>
        <w:jc w:val="both"/>
        <w:rPr>
          <w:noProof/>
          <w:szCs w:val="20"/>
        </w:rPr>
      </w:pPr>
      <w:hyperlink w:anchor="_Reliance:_The_act" w:history="1">
        <w:r w:rsidRPr="00783DFA">
          <w:rPr>
            <w:rStyle w:val="Hyperlink"/>
            <w:i/>
            <w:iCs/>
          </w:rPr>
          <w:t>Reliance</w:t>
        </w:r>
      </w:hyperlink>
      <w:r w:rsidRPr="00C059A7">
        <w:rPr>
          <w:noProof/>
          <w:szCs w:val="20"/>
        </w:rPr>
        <w:t xml:space="preserve"> is where an RA leverages </w:t>
      </w:r>
      <w:r w:rsidRPr="00C059A7">
        <w:rPr>
          <w:szCs w:val="20"/>
        </w:rPr>
        <w:t xml:space="preserve">another </w:t>
      </w:r>
      <w:r>
        <w:rPr>
          <w:szCs w:val="20"/>
        </w:rPr>
        <w:t>reference RA</w:t>
      </w:r>
      <w:r w:rsidRPr="00C059A7">
        <w:rPr>
          <w:szCs w:val="20"/>
        </w:rPr>
        <w:t xml:space="preserve">’s </w:t>
      </w:r>
      <w:r w:rsidRPr="00C059A7">
        <w:rPr>
          <w:noProof/>
          <w:szCs w:val="20"/>
        </w:rPr>
        <w:t>assessment or decision to reach their own decision</w:t>
      </w:r>
    </w:p>
    <w:p w14:paraId="2A4B2614" w14:textId="553EC82F" w:rsidR="00BD6DE8" w:rsidRPr="00C059A7" w:rsidRDefault="00BD6DE8" w:rsidP="00783DFA">
      <w:pPr>
        <w:pStyle w:val="NormalNumbered"/>
        <w:numPr>
          <w:ilvl w:val="0"/>
          <w:numId w:val="15"/>
        </w:numPr>
        <w:jc w:val="both"/>
        <w:rPr>
          <w:noProof/>
          <w:szCs w:val="20"/>
        </w:rPr>
      </w:pPr>
      <w:hyperlink w:anchor="_Convergence:_A_voluntary" w:history="1">
        <w:r w:rsidRPr="00783DFA">
          <w:rPr>
            <w:rStyle w:val="Hyperlink"/>
            <w:i/>
            <w:iCs/>
          </w:rPr>
          <w:t>Convergence</w:t>
        </w:r>
      </w:hyperlink>
      <w:r w:rsidRPr="00C059A7">
        <w:rPr>
          <w:noProof/>
          <w:szCs w:val="20"/>
        </w:rPr>
        <w:t xml:space="preserve"> refers to efforts to align regulatory practices and requirements among different RAs. It does not mean decisions made by other organizations are always accepted or recogn</w:t>
      </w:r>
      <w:r w:rsidR="00BC59C5">
        <w:rPr>
          <w:noProof/>
          <w:szCs w:val="20"/>
        </w:rPr>
        <w:t>ize</w:t>
      </w:r>
      <w:r w:rsidRPr="00C059A7">
        <w:rPr>
          <w:noProof/>
          <w:szCs w:val="20"/>
        </w:rPr>
        <w:t>d</w:t>
      </w:r>
    </w:p>
    <w:p w14:paraId="200084DD" w14:textId="4D068745" w:rsidR="00BD6DE8" w:rsidRDefault="00BD6DE8" w:rsidP="00632807">
      <w:pPr>
        <w:pStyle w:val="NormalNumbered"/>
        <w:numPr>
          <w:ilvl w:val="0"/>
          <w:numId w:val="15"/>
        </w:numPr>
        <w:jc w:val="both"/>
        <w:rPr>
          <w:noProof/>
          <w:szCs w:val="20"/>
        </w:rPr>
      </w:pPr>
      <w:hyperlink w:anchor="_Harmonization:_A_process" w:history="1">
        <w:r w:rsidRPr="00783DFA">
          <w:rPr>
            <w:rStyle w:val="Hyperlink"/>
            <w:i/>
            <w:iCs/>
          </w:rPr>
          <w:t>Harmonization</w:t>
        </w:r>
      </w:hyperlink>
      <w:r w:rsidRPr="00C059A7">
        <w:rPr>
          <w:noProof/>
          <w:szCs w:val="20"/>
        </w:rPr>
        <w:t xml:space="preserve"> aims for a higher level of uniformity by creating consistent standards and requirements across jurisdictions, striving for global regulatory consistency</w:t>
      </w:r>
    </w:p>
    <w:p w14:paraId="60A7AE4D" w14:textId="440FDC50" w:rsidR="009006AE" w:rsidRDefault="009006AE" w:rsidP="009006AE">
      <w:pPr>
        <w:pStyle w:val="NormalNumbered"/>
        <w:jc w:val="both"/>
        <w:rPr>
          <w:szCs w:val="20"/>
        </w:rPr>
      </w:pPr>
      <w:r w:rsidRPr="00C059A7">
        <w:rPr>
          <w:noProof/>
          <w:szCs w:val="20"/>
        </w:rPr>
        <w:t xml:space="preserve">While reliance focuses on using existing approvals or decisions, convergence and harmonization aim to achieve broader alignment across different regulatory systems. </w:t>
      </w:r>
      <w:r w:rsidRPr="00C059A7">
        <w:rPr>
          <w:szCs w:val="20"/>
        </w:rPr>
        <w:t>Each plays a different role in regulatory practice. Convergence and harmon</w:t>
      </w:r>
      <w:r>
        <w:rPr>
          <w:szCs w:val="20"/>
        </w:rPr>
        <w:t>ization</w:t>
      </w:r>
      <w:r w:rsidRPr="00C059A7">
        <w:rPr>
          <w:szCs w:val="20"/>
        </w:rPr>
        <w:t xml:space="preserve"> can facilitate reliance, but you can implement reliance programs without them. Understanding these concepts and using reliance with your other regulatory program</w:t>
      </w:r>
      <w:r>
        <w:rPr>
          <w:szCs w:val="20"/>
        </w:rPr>
        <w:t>s</w:t>
      </w:r>
      <w:r w:rsidRPr="00C059A7">
        <w:rPr>
          <w:szCs w:val="20"/>
        </w:rPr>
        <w:t xml:space="preserve"> will improve efficiency and cooperation in medical device regulation.</w:t>
      </w:r>
    </w:p>
    <w:p w14:paraId="2F83C00F" w14:textId="77777777" w:rsidR="009006AE" w:rsidRDefault="009006AE">
      <w:pPr>
        <w:keepLines w:val="0"/>
        <w:spacing w:before="0" w:after="0" w:line="240" w:lineRule="auto"/>
        <w:rPr>
          <w:szCs w:val="20"/>
        </w:rPr>
      </w:pPr>
      <w:r>
        <w:rPr>
          <w:szCs w:val="20"/>
        </w:rPr>
        <w:br w:type="page"/>
      </w:r>
    </w:p>
    <w:p w14:paraId="5D515F36" w14:textId="1CEB9036" w:rsidR="002C3695" w:rsidRPr="002C3695" w:rsidRDefault="002C3695" w:rsidP="00783DFA">
      <w:pPr>
        <w:jc w:val="center"/>
        <w:rPr>
          <w:noProof/>
          <w:lang w:val="en-GB"/>
        </w:rPr>
      </w:pPr>
      <w:r w:rsidRPr="00783DFA">
        <w:rPr>
          <w:rFonts w:asciiTheme="majorHAnsi" w:eastAsiaTheme="majorEastAsia" w:hAnsiTheme="majorHAnsi" w:cstheme="minorHAnsi"/>
          <w:b/>
          <w:noProof/>
          <w:color w:val="1369EA" w:themeColor="accent1"/>
          <w:sz w:val="24"/>
          <w:lang w:val="en-GB"/>
        </w:rPr>
        <w:t>Table 1. Comparing Reliance, Convergence, and Harmonization</w:t>
      </w:r>
    </w:p>
    <w:tbl>
      <w:tblPr>
        <w:tblStyle w:val="IMDRF1"/>
        <w:tblpPr w:leftFromText="180" w:rightFromText="180" w:vertAnchor="text" w:horzAnchor="margin" w:tblpY="-49"/>
        <w:tblW w:w="7680" w:type="dxa"/>
        <w:tblLayout w:type="fixed"/>
        <w:tblLook w:val="04A0" w:firstRow="1" w:lastRow="0" w:firstColumn="1" w:lastColumn="0" w:noHBand="0" w:noVBand="1"/>
      </w:tblPr>
      <w:tblGrid>
        <w:gridCol w:w="1560"/>
        <w:gridCol w:w="3820"/>
        <w:gridCol w:w="2300"/>
      </w:tblGrid>
      <w:tr w:rsidR="002C3695" w:rsidRPr="00820511" w14:paraId="44004FAD" w14:textId="77777777" w:rsidTr="007A5E1C">
        <w:trPr>
          <w:cnfStyle w:val="100000000000" w:firstRow="1" w:lastRow="0" w:firstColumn="0" w:lastColumn="0" w:oddVBand="0" w:evenVBand="0" w:oddHBand="0" w:evenHBand="0" w:firstRowFirstColumn="0" w:firstRowLastColumn="0" w:lastRowFirstColumn="0" w:lastRowLastColumn="0"/>
          <w:trHeight w:val="357"/>
        </w:trPr>
        <w:tc>
          <w:tcPr>
            <w:tcW w:w="1560" w:type="dxa"/>
            <w:hideMark/>
          </w:tcPr>
          <w:p w14:paraId="7A582759" w14:textId="77777777" w:rsidR="002C3695" w:rsidRPr="000C75E7" w:rsidRDefault="002C3695" w:rsidP="00A8237A">
            <w:pPr>
              <w:jc w:val="center"/>
              <w:rPr>
                <w:rFonts w:eastAsia="Cambria"/>
                <w:b w:val="0"/>
                <w:sz w:val="18"/>
                <w:szCs w:val="18"/>
              </w:rPr>
            </w:pPr>
            <w:r>
              <w:rPr>
                <w:rFonts w:eastAsia="Cambria"/>
                <w:sz w:val="18"/>
                <w:szCs w:val="18"/>
              </w:rPr>
              <w:t>Concept</w:t>
            </w:r>
          </w:p>
        </w:tc>
        <w:tc>
          <w:tcPr>
            <w:tcW w:w="3820" w:type="dxa"/>
          </w:tcPr>
          <w:p w14:paraId="22EA7027" w14:textId="77777777" w:rsidR="002C3695" w:rsidRPr="000C75E7" w:rsidRDefault="002C3695" w:rsidP="00A8237A">
            <w:pPr>
              <w:jc w:val="center"/>
              <w:rPr>
                <w:rFonts w:eastAsia="Cambria"/>
                <w:b w:val="0"/>
                <w:sz w:val="18"/>
                <w:szCs w:val="18"/>
              </w:rPr>
            </w:pPr>
            <w:r>
              <w:rPr>
                <w:rFonts w:eastAsia="Cambria"/>
                <w:sz w:val="18"/>
                <w:szCs w:val="18"/>
              </w:rPr>
              <w:t>Definition</w:t>
            </w:r>
          </w:p>
        </w:tc>
        <w:tc>
          <w:tcPr>
            <w:tcW w:w="2300" w:type="dxa"/>
            <w:hideMark/>
          </w:tcPr>
          <w:p w14:paraId="16DD5486" w14:textId="77777777" w:rsidR="002C3695" w:rsidRPr="000C75E7" w:rsidRDefault="002C3695" w:rsidP="00A8237A">
            <w:pPr>
              <w:jc w:val="center"/>
              <w:rPr>
                <w:rFonts w:eastAsia="Cambria"/>
                <w:b w:val="0"/>
                <w:sz w:val="18"/>
                <w:szCs w:val="18"/>
              </w:rPr>
            </w:pPr>
            <w:r>
              <w:rPr>
                <w:rFonts w:eastAsia="Cambria"/>
                <w:sz w:val="18"/>
                <w:szCs w:val="18"/>
              </w:rPr>
              <w:t>Example</w:t>
            </w:r>
          </w:p>
        </w:tc>
      </w:tr>
      <w:tr w:rsidR="002C3695" w:rsidRPr="00820511" w14:paraId="53BE1DB2" w14:textId="77777777" w:rsidTr="007A5E1C">
        <w:trPr>
          <w:trHeight w:val="656"/>
        </w:trPr>
        <w:tc>
          <w:tcPr>
            <w:tcW w:w="1560" w:type="dxa"/>
            <w:hideMark/>
          </w:tcPr>
          <w:p w14:paraId="5AFD8620" w14:textId="77777777" w:rsidR="002C3695" w:rsidRPr="000C75E7" w:rsidRDefault="002C3695" w:rsidP="00A8237A">
            <w:pPr>
              <w:rPr>
                <w:rFonts w:eastAsia="Cambria"/>
                <w:b/>
                <w:sz w:val="18"/>
                <w:szCs w:val="18"/>
              </w:rPr>
            </w:pPr>
            <w:r>
              <w:rPr>
                <w:rFonts w:eastAsia="Cambria"/>
                <w:b/>
                <w:sz w:val="18"/>
                <w:szCs w:val="18"/>
              </w:rPr>
              <w:t>Reliance</w:t>
            </w:r>
          </w:p>
        </w:tc>
        <w:tc>
          <w:tcPr>
            <w:tcW w:w="3820" w:type="dxa"/>
          </w:tcPr>
          <w:p w14:paraId="4B0F5124" w14:textId="58F10D96" w:rsidR="002C3695" w:rsidRPr="00783DFA" w:rsidRDefault="002C3695" w:rsidP="00A8237A">
            <w:pPr>
              <w:rPr>
                <w:rFonts w:eastAsia="Cambria"/>
                <w:bCs/>
                <w:sz w:val="18"/>
                <w:szCs w:val="18"/>
              </w:rPr>
            </w:pPr>
            <w:r w:rsidRPr="00783DFA">
              <w:rPr>
                <w:rFonts w:eastAsia="Cambria"/>
                <w:bCs/>
                <w:sz w:val="18"/>
                <w:szCs w:val="18"/>
              </w:rPr>
              <w:t>RA considers the assessments made by a</w:t>
            </w:r>
            <w:r w:rsidR="00BC59C5" w:rsidRPr="00783DFA">
              <w:rPr>
                <w:rFonts w:eastAsia="Cambria"/>
                <w:bCs/>
                <w:sz w:val="18"/>
                <w:szCs w:val="18"/>
              </w:rPr>
              <w:t xml:space="preserve"> reference RA w</w:t>
            </w:r>
            <w:r w:rsidRPr="00783DFA">
              <w:rPr>
                <w:rFonts w:eastAsia="Cambria"/>
                <w:bCs/>
                <w:sz w:val="18"/>
                <w:szCs w:val="18"/>
              </w:rPr>
              <w:t>hen making its own decisions</w:t>
            </w:r>
          </w:p>
        </w:tc>
        <w:tc>
          <w:tcPr>
            <w:tcW w:w="2300" w:type="dxa"/>
            <w:hideMark/>
          </w:tcPr>
          <w:p w14:paraId="25A8B1EA" w14:textId="02808E31" w:rsidR="002C3695" w:rsidRPr="000C75E7" w:rsidRDefault="00375563" w:rsidP="00A8237A">
            <w:pPr>
              <w:rPr>
                <w:rFonts w:eastAsia="Cambria"/>
                <w:sz w:val="18"/>
                <w:szCs w:val="18"/>
              </w:rPr>
            </w:pPr>
            <w:r>
              <w:rPr>
                <w:rFonts w:eastAsia="Cambria"/>
                <w:sz w:val="18"/>
                <w:szCs w:val="18"/>
              </w:rPr>
              <w:t xml:space="preserve">See </w:t>
            </w:r>
            <w:hyperlink w:anchor="_Types_of_regulatory" w:history="1">
              <w:r w:rsidRPr="00375563">
                <w:rPr>
                  <w:rStyle w:val="Hyperlink"/>
                  <w:rFonts w:eastAsia="Cambria"/>
                  <w:sz w:val="18"/>
                  <w:szCs w:val="18"/>
                </w:rPr>
                <w:t>Section 4.2</w:t>
              </w:r>
            </w:hyperlink>
            <w:r>
              <w:rPr>
                <w:rFonts w:eastAsia="Cambria"/>
                <w:sz w:val="18"/>
                <w:szCs w:val="18"/>
              </w:rPr>
              <w:t xml:space="preserve"> for several examples</w:t>
            </w:r>
          </w:p>
        </w:tc>
      </w:tr>
      <w:tr w:rsidR="002C3695" w:rsidRPr="00820511" w14:paraId="708DCE8C" w14:textId="77777777" w:rsidTr="007A5E1C">
        <w:trPr>
          <w:cnfStyle w:val="000000010000" w:firstRow="0" w:lastRow="0" w:firstColumn="0" w:lastColumn="0" w:oddVBand="0" w:evenVBand="0" w:oddHBand="0" w:evenHBand="1" w:firstRowFirstColumn="0" w:firstRowLastColumn="0" w:lastRowFirstColumn="0" w:lastRowLastColumn="0"/>
          <w:trHeight w:val="922"/>
        </w:trPr>
        <w:tc>
          <w:tcPr>
            <w:tcW w:w="1560" w:type="dxa"/>
            <w:hideMark/>
          </w:tcPr>
          <w:p w14:paraId="3F861EA4" w14:textId="77777777" w:rsidR="002C3695" w:rsidRPr="000C75E7" w:rsidRDefault="002C3695" w:rsidP="00A8237A">
            <w:pPr>
              <w:rPr>
                <w:rFonts w:eastAsia="Cambria"/>
                <w:b/>
                <w:sz w:val="18"/>
                <w:szCs w:val="18"/>
              </w:rPr>
            </w:pPr>
            <w:r>
              <w:rPr>
                <w:rFonts w:eastAsia="Cambria"/>
                <w:b/>
                <w:sz w:val="18"/>
                <w:szCs w:val="18"/>
              </w:rPr>
              <w:t>Convergence</w:t>
            </w:r>
          </w:p>
          <w:p w14:paraId="17523F6A" w14:textId="77777777" w:rsidR="002C3695" w:rsidRPr="000C75E7" w:rsidRDefault="002C3695" w:rsidP="00A8237A">
            <w:pPr>
              <w:rPr>
                <w:rFonts w:eastAsia="Cambria"/>
                <w:b/>
                <w:sz w:val="18"/>
                <w:szCs w:val="18"/>
              </w:rPr>
            </w:pPr>
          </w:p>
        </w:tc>
        <w:tc>
          <w:tcPr>
            <w:tcW w:w="3820" w:type="dxa"/>
          </w:tcPr>
          <w:p w14:paraId="49578413" w14:textId="77777777" w:rsidR="002C3695" w:rsidRPr="00783DFA" w:rsidRDefault="002C3695" w:rsidP="00A8237A">
            <w:pPr>
              <w:rPr>
                <w:rFonts w:eastAsia="Cambria"/>
                <w:bCs/>
                <w:sz w:val="18"/>
                <w:szCs w:val="18"/>
              </w:rPr>
            </w:pPr>
            <w:r w:rsidRPr="00783DFA">
              <w:rPr>
                <w:rFonts w:eastAsia="Cambria"/>
                <w:bCs/>
                <w:sz w:val="18"/>
                <w:szCs w:val="18"/>
              </w:rPr>
              <w:t xml:space="preserve">Voluntary, gradual alignment of regulatory frameworks through shared guidance and principles </w:t>
            </w:r>
          </w:p>
        </w:tc>
        <w:tc>
          <w:tcPr>
            <w:tcW w:w="2300" w:type="dxa"/>
            <w:hideMark/>
          </w:tcPr>
          <w:p w14:paraId="3D729A14" w14:textId="77777777" w:rsidR="002C3695" w:rsidRPr="000C75E7" w:rsidRDefault="002C3695" w:rsidP="00A8237A">
            <w:pPr>
              <w:rPr>
                <w:rFonts w:eastAsia="Cambria"/>
                <w:sz w:val="18"/>
                <w:szCs w:val="18"/>
              </w:rPr>
            </w:pPr>
            <w:r>
              <w:rPr>
                <w:rFonts w:eastAsia="Cambria"/>
                <w:sz w:val="18"/>
                <w:szCs w:val="18"/>
              </w:rPr>
              <w:t>Common use of IMDRF guidance or ISO standards</w:t>
            </w:r>
          </w:p>
        </w:tc>
      </w:tr>
      <w:tr w:rsidR="002C3695" w:rsidRPr="00820511" w14:paraId="3A95AFB7" w14:textId="77777777" w:rsidTr="007A5E1C">
        <w:trPr>
          <w:trHeight w:val="539"/>
        </w:trPr>
        <w:tc>
          <w:tcPr>
            <w:tcW w:w="1560" w:type="dxa"/>
            <w:hideMark/>
          </w:tcPr>
          <w:p w14:paraId="0B39D689" w14:textId="77777777" w:rsidR="002C3695" w:rsidRPr="000C75E7" w:rsidRDefault="002C3695" w:rsidP="00A8237A">
            <w:pPr>
              <w:rPr>
                <w:rFonts w:eastAsia="Cambria"/>
                <w:b/>
                <w:sz w:val="18"/>
                <w:szCs w:val="18"/>
              </w:rPr>
            </w:pPr>
            <w:r>
              <w:rPr>
                <w:rFonts w:eastAsia="Cambria"/>
                <w:b/>
                <w:sz w:val="18"/>
                <w:szCs w:val="18"/>
              </w:rPr>
              <w:t>Harmonization</w:t>
            </w:r>
          </w:p>
        </w:tc>
        <w:tc>
          <w:tcPr>
            <w:tcW w:w="3820" w:type="dxa"/>
          </w:tcPr>
          <w:p w14:paraId="44E7FB0B" w14:textId="77777777" w:rsidR="002C3695" w:rsidRPr="00783DFA" w:rsidRDefault="002C3695" w:rsidP="00A8237A">
            <w:pPr>
              <w:rPr>
                <w:rFonts w:eastAsia="Cambria"/>
                <w:bCs/>
                <w:sz w:val="18"/>
                <w:szCs w:val="18"/>
              </w:rPr>
            </w:pPr>
            <w:r w:rsidRPr="00783DFA">
              <w:rPr>
                <w:rFonts w:eastAsia="Cambria"/>
                <w:bCs/>
                <w:sz w:val="18"/>
                <w:szCs w:val="18"/>
              </w:rPr>
              <w:t>Formal unification of technical requirements among multiple RAs</w:t>
            </w:r>
          </w:p>
        </w:tc>
        <w:tc>
          <w:tcPr>
            <w:tcW w:w="2300" w:type="dxa"/>
            <w:hideMark/>
          </w:tcPr>
          <w:p w14:paraId="1296B475" w14:textId="190884EE" w:rsidR="002C3695" w:rsidRPr="000C75E7" w:rsidRDefault="002C3695" w:rsidP="00A8237A">
            <w:pPr>
              <w:rPr>
                <w:rFonts w:eastAsia="Cambria"/>
                <w:sz w:val="18"/>
                <w:szCs w:val="18"/>
              </w:rPr>
            </w:pPr>
            <w:r>
              <w:rPr>
                <w:rFonts w:eastAsia="Cambria"/>
                <w:sz w:val="18"/>
                <w:szCs w:val="18"/>
              </w:rPr>
              <w:t xml:space="preserve">CE-marking system </w:t>
            </w:r>
            <w:r w:rsidR="00480497">
              <w:rPr>
                <w:rFonts w:eastAsia="Cambria"/>
                <w:sz w:val="18"/>
                <w:szCs w:val="18"/>
              </w:rPr>
              <w:t>with</w:t>
            </w:r>
            <w:r>
              <w:rPr>
                <w:rFonts w:eastAsia="Cambria"/>
                <w:sz w:val="18"/>
                <w:szCs w:val="18"/>
              </w:rPr>
              <w:t>in the European Union</w:t>
            </w:r>
          </w:p>
        </w:tc>
      </w:tr>
    </w:tbl>
    <w:p w14:paraId="76A856FD" w14:textId="77777777" w:rsidR="00693426" w:rsidRPr="00783DFA" w:rsidRDefault="00693426" w:rsidP="00783DFA"/>
    <w:p w14:paraId="2A73F508" w14:textId="3C867646" w:rsidR="008C30E3" w:rsidRPr="00DF2F0F" w:rsidRDefault="008C30E3" w:rsidP="00783DFA">
      <w:pPr>
        <w:pStyle w:val="Heading2"/>
        <w:ind w:left="677" w:hanging="677"/>
      </w:pPr>
      <w:bookmarkStart w:id="53" w:name="_Types_of_regulatory"/>
      <w:bookmarkStart w:id="54" w:name="_Toc213265631"/>
      <w:bookmarkEnd w:id="53"/>
      <w:r w:rsidRPr="00DF2F0F">
        <w:t xml:space="preserve">Types of </w:t>
      </w:r>
      <w:r w:rsidR="00380B91" w:rsidRPr="00DF2F0F">
        <w:t>r</w:t>
      </w:r>
      <w:r w:rsidRPr="00DF2F0F">
        <w:t xml:space="preserve">egulatory </w:t>
      </w:r>
      <w:r w:rsidR="00380B91" w:rsidRPr="00DF2F0F">
        <w:t>r</w:t>
      </w:r>
      <w:r w:rsidRPr="00DF2F0F">
        <w:t>eliance</w:t>
      </w:r>
      <w:bookmarkEnd w:id="52"/>
      <w:bookmarkEnd w:id="54"/>
      <w:r w:rsidR="00FD5FD6" w:rsidRPr="00DF2F0F">
        <w:t xml:space="preserve"> </w:t>
      </w:r>
    </w:p>
    <w:p w14:paraId="418FFCA6" w14:textId="06A67D33" w:rsidR="003F089F" w:rsidRDefault="00156CB8" w:rsidP="007026A8">
      <w:pPr>
        <w:spacing w:after="0"/>
        <w:jc w:val="both"/>
        <w:rPr>
          <w:szCs w:val="20"/>
        </w:rPr>
      </w:pPr>
      <w:r w:rsidRPr="00C059A7">
        <w:rPr>
          <w:szCs w:val="20"/>
        </w:rPr>
        <w:t xml:space="preserve">This section explores some reliance </w:t>
      </w:r>
      <w:r>
        <w:rPr>
          <w:szCs w:val="20"/>
        </w:rPr>
        <w:t>type</w:t>
      </w:r>
      <w:r w:rsidRPr="00C059A7">
        <w:rPr>
          <w:szCs w:val="20"/>
        </w:rPr>
        <w:t xml:space="preserve">s you can use to develop a reliance program for your specific needs. Each reliance </w:t>
      </w:r>
      <w:r w:rsidR="00DC2DDA">
        <w:rPr>
          <w:szCs w:val="20"/>
        </w:rPr>
        <w:t>type</w:t>
      </w:r>
      <w:r w:rsidR="00DC2DDA" w:rsidRPr="00C059A7">
        <w:rPr>
          <w:szCs w:val="20"/>
        </w:rPr>
        <w:t xml:space="preserve"> </w:t>
      </w:r>
      <w:r w:rsidRPr="00C059A7">
        <w:rPr>
          <w:szCs w:val="20"/>
        </w:rPr>
        <w:t xml:space="preserve">is </w:t>
      </w:r>
      <w:r w:rsidR="00686BD4">
        <w:rPr>
          <w:szCs w:val="20"/>
        </w:rPr>
        <w:t xml:space="preserve">summarized in </w:t>
      </w:r>
      <w:r w:rsidR="00794016">
        <w:rPr>
          <w:szCs w:val="20"/>
        </w:rPr>
        <w:t>T</w:t>
      </w:r>
      <w:r w:rsidR="00686BD4">
        <w:rPr>
          <w:szCs w:val="20"/>
        </w:rPr>
        <w:t>able 2 and</w:t>
      </w:r>
      <w:r w:rsidRPr="00C059A7">
        <w:rPr>
          <w:szCs w:val="20"/>
        </w:rPr>
        <w:t xml:space="preserve"> defined in </w:t>
      </w:r>
      <w:hyperlink w:anchor="_Definitions" w:history="1">
        <w:r w:rsidRPr="00273CAB">
          <w:rPr>
            <w:rStyle w:val="Hyperlink"/>
            <w:szCs w:val="20"/>
          </w:rPr>
          <w:t>Section</w:t>
        </w:r>
        <w:r w:rsidR="00FD7145" w:rsidRPr="00273CAB">
          <w:rPr>
            <w:rStyle w:val="Hyperlink"/>
            <w:szCs w:val="20"/>
          </w:rPr>
          <w:t xml:space="preserve"> </w:t>
        </w:r>
        <w:r w:rsidR="00273CAB" w:rsidRPr="00273CAB">
          <w:rPr>
            <w:rStyle w:val="Hyperlink"/>
            <w:szCs w:val="20"/>
          </w:rPr>
          <w:t>3</w:t>
        </w:r>
      </w:hyperlink>
      <w:r w:rsidRPr="00C059A7">
        <w:rPr>
          <w:szCs w:val="20"/>
        </w:rPr>
        <w:t>. To help you understand how these work in practice, we have included real</w:t>
      </w:r>
      <w:r w:rsidR="00EB6AE1">
        <w:rPr>
          <w:szCs w:val="20"/>
        </w:rPr>
        <w:t>-</w:t>
      </w:r>
      <w:r w:rsidRPr="00C059A7">
        <w:rPr>
          <w:szCs w:val="20"/>
        </w:rPr>
        <w:t>world examples, along with discussion o</w:t>
      </w:r>
      <w:r w:rsidR="008E01D6">
        <w:rPr>
          <w:szCs w:val="20"/>
        </w:rPr>
        <w:t>f</w:t>
      </w:r>
      <w:r w:rsidRPr="00C059A7">
        <w:rPr>
          <w:szCs w:val="20"/>
        </w:rPr>
        <w:t xml:space="preserve"> why regulators choose each </w:t>
      </w:r>
      <w:r w:rsidR="00F27DA2">
        <w:rPr>
          <w:szCs w:val="20"/>
        </w:rPr>
        <w:t>type</w:t>
      </w:r>
      <w:r w:rsidRPr="00C059A7">
        <w:rPr>
          <w:szCs w:val="20"/>
        </w:rPr>
        <w:t xml:space="preserve">. Keep in mind that </w:t>
      </w:r>
      <w:r w:rsidRPr="00950C15">
        <w:rPr>
          <w:szCs w:val="20"/>
        </w:rPr>
        <w:t>th</w:t>
      </w:r>
      <w:r>
        <w:rPr>
          <w:szCs w:val="20"/>
        </w:rPr>
        <w:t>is is</w:t>
      </w:r>
      <w:r w:rsidRPr="00950C15">
        <w:rPr>
          <w:szCs w:val="20"/>
        </w:rPr>
        <w:t xml:space="preserve"> not </w:t>
      </w:r>
      <w:r>
        <w:rPr>
          <w:szCs w:val="20"/>
        </w:rPr>
        <w:t xml:space="preserve">an </w:t>
      </w:r>
      <w:r w:rsidRPr="00950C15">
        <w:rPr>
          <w:szCs w:val="20"/>
        </w:rPr>
        <w:t>exhaustive</w:t>
      </w:r>
      <w:r>
        <w:rPr>
          <w:szCs w:val="20"/>
        </w:rPr>
        <w:t xml:space="preserve"> list</w:t>
      </w:r>
      <w:r w:rsidRPr="00950C15">
        <w:rPr>
          <w:szCs w:val="20"/>
        </w:rPr>
        <w:t>, and</w:t>
      </w:r>
      <w:r>
        <w:rPr>
          <w:b/>
          <w:bCs/>
          <w:szCs w:val="20"/>
        </w:rPr>
        <w:t xml:space="preserve"> </w:t>
      </w:r>
      <w:r w:rsidRPr="00C059A7">
        <w:rPr>
          <w:szCs w:val="20"/>
        </w:rPr>
        <w:t>you can create your own variations or combine different elements from these approaches.</w:t>
      </w:r>
    </w:p>
    <w:p w14:paraId="2C4812EA" w14:textId="77777777" w:rsidR="00AF20BB" w:rsidRDefault="00AF20BB" w:rsidP="007026A8">
      <w:pPr>
        <w:spacing w:before="0" w:after="0"/>
        <w:jc w:val="both"/>
        <w:rPr>
          <w:szCs w:val="20"/>
        </w:rPr>
      </w:pPr>
    </w:p>
    <w:p w14:paraId="4BDC3536" w14:textId="77777777" w:rsidR="003F089F" w:rsidRDefault="003F089F" w:rsidP="007A5E1C">
      <w:pPr>
        <w:spacing w:before="0" w:after="0"/>
        <w:jc w:val="center"/>
        <w:rPr>
          <w:noProof/>
          <w:color w:val="00B050"/>
          <w:lang w:val="en-GB"/>
        </w:rPr>
      </w:pPr>
      <w:r w:rsidRPr="009A457D">
        <w:rPr>
          <w:rFonts w:asciiTheme="majorHAnsi" w:eastAsiaTheme="majorEastAsia" w:hAnsiTheme="majorHAnsi" w:cstheme="minorHAnsi"/>
          <w:b/>
          <w:noProof/>
          <w:color w:val="1369EA" w:themeColor="accent1"/>
          <w:sz w:val="24"/>
          <w:lang w:val="en-GB"/>
        </w:rPr>
        <w:t xml:space="preserve">Table </w:t>
      </w:r>
      <w:r>
        <w:rPr>
          <w:rFonts w:asciiTheme="majorHAnsi" w:eastAsiaTheme="majorEastAsia" w:hAnsiTheme="majorHAnsi" w:cstheme="minorHAnsi"/>
          <w:b/>
          <w:noProof/>
          <w:color w:val="1369EA" w:themeColor="accent1"/>
          <w:sz w:val="24"/>
          <w:lang w:val="en-GB"/>
        </w:rPr>
        <w:t>2</w:t>
      </w:r>
      <w:r w:rsidRPr="009A457D">
        <w:rPr>
          <w:rFonts w:asciiTheme="majorHAnsi" w:eastAsiaTheme="majorEastAsia" w:hAnsiTheme="majorHAnsi" w:cstheme="minorHAnsi"/>
          <w:b/>
          <w:noProof/>
          <w:color w:val="1369EA" w:themeColor="accent1"/>
          <w:sz w:val="24"/>
          <w:lang w:val="en-GB"/>
        </w:rPr>
        <w:t xml:space="preserve">. </w:t>
      </w:r>
      <w:r>
        <w:rPr>
          <w:rFonts w:asciiTheme="majorHAnsi" w:eastAsiaTheme="majorEastAsia" w:hAnsiTheme="majorHAnsi" w:cstheme="minorHAnsi"/>
          <w:b/>
          <w:noProof/>
          <w:color w:val="1369EA" w:themeColor="accent1"/>
          <w:sz w:val="24"/>
          <w:lang w:val="en-GB"/>
        </w:rPr>
        <w:t>Comparison of Regulatory Reliance Types</w:t>
      </w:r>
    </w:p>
    <w:tbl>
      <w:tblPr>
        <w:tblStyle w:val="IMDRF1"/>
        <w:tblpPr w:leftFromText="180" w:rightFromText="180" w:vertAnchor="text" w:horzAnchor="margin" w:tblpY="161"/>
        <w:tblW w:w="7533" w:type="dxa"/>
        <w:tblLayout w:type="fixed"/>
        <w:tblLook w:val="04A0" w:firstRow="1" w:lastRow="0" w:firstColumn="1" w:lastColumn="0" w:noHBand="0" w:noVBand="1"/>
      </w:tblPr>
      <w:tblGrid>
        <w:gridCol w:w="2127"/>
        <w:gridCol w:w="2893"/>
        <w:gridCol w:w="2513"/>
      </w:tblGrid>
      <w:tr w:rsidR="003F089F" w:rsidRPr="00820511" w14:paraId="24845484" w14:textId="77777777" w:rsidTr="007A5E1C">
        <w:trPr>
          <w:cnfStyle w:val="100000000000" w:firstRow="1" w:lastRow="0" w:firstColumn="0" w:lastColumn="0" w:oddVBand="0" w:evenVBand="0" w:oddHBand="0" w:evenHBand="0" w:firstRowFirstColumn="0" w:firstRowLastColumn="0" w:lastRowFirstColumn="0" w:lastRowLastColumn="0"/>
          <w:trHeight w:val="357"/>
        </w:trPr>
        <w:tc>
          <w:tcPr>
            <w:tcW w:w="2127" w:type="dxa"/>
            <w:hideMark/>
          </w:tcPr>
          <w:p w14:paraId="59F22857" w14:textId="77777777" w:rsidR="003F089F" w:rsidRPr="000C75E7" w:rsidRDefault="003F089F" w:rsidP="007026A8">
            <w:pPr>
              <w:rPr>
                <w:rFonts w:eastAsia="Cambria"/>
                <w:b w:val="0"/>
                <w:sz w:val="18"/>
                <w:szCs w:val="18"/>
              </w:rPr>
            </w:pPr>
            <w:r>
              <w:rPr>
                <w:rFonts w:eastAsia="Cambria"/>
                <w:sz w:val="18"/>
                <w:szCs w:val="18"/>
              </w:rPr>
              <w:t>Type of Reliance</w:t>
            </w:r>
          </w:p>
        </w:tc>
        <w:tc>
          <w:tcPr>
            <w:tcW w:w="2893" w:type="dxa"/>
          </w:tcPr>
          <w:p w14:paraId="3A0275A3" w14:textId="77777777" w:rsidR="003F089F" w:rsidRPr="000C75E7" w:rsidRDefault="003F089F" w:rsidP="007026A8">
            <w:pPr>
              <w:rPr>
                <w:rFonts w:eastAsia="Cambria"/>
                <w:b w:val="0"/>
                <w:sz w:val="18"/>
                <w:szCs w:val="18"/>
              </w:rPr>
            </w:pPr>
            <w:r>
              <w:rPr>
                <w:rFonts w:eastAsia="Cambria"/>
                <w:sz w:val="18"/>
                <w:szCs w:val="18"/>
              </w:rPr>
              <w:t>Definition</w:t>
            </w:r>
          </w:p>
        </w:tc>
        <w:tc>
          <w:tcPr>
            <w:tcW w:w="2513" w:type="dxa"/>
            <w:hideMark/>
          </w:tcPr>
          <w:p w14:paraId="0B67B480" w14:textId="77777777" w:rsidR="003F089F" w:rsidRPr="000C75E7" w:rsidRDefault="003F089F" w:rsidP="007026A8">
            <w:pPr>
              <w:rPr>
                <w:rFonts w:eastAsia="Cambria"/>
                <w:b w:val="0"/>
                <w:sz w:val="18"/>
                <w:szCs w:val="18"/>
              </w:rPr>
            </w:pPr>
            <w:r>
              <w:rPr>
                <w:rFonts w:eastAsia="Cambria"/>
                <w:sz w:val="18"/>
                <w:szCs w:val="18"/>
              </w:rPr>
              <w:t>Example</w:t>
            </w:r>
          </w:p>
        </w:tc>
      </w:tr>
      <w:tr w:rsidR="003F089F" w:rsidRPr="00820511" w14:paraId="5A9C3B62" w14:textId="77777777" w:rsidTr="007A5E1C">
        <w:trPr>
          <w:trHeight w:val="938"/>
        </w:trPr>
        <w:tc>
          <w:tcPr>
            <w:tcW w:w="2127" w:type="dxa"/>
            <w:hideMark/>
          </w:tcPr>
          <w:p w14:paraId="03AB0068" w14:textId="77777777" w:rsidR="003F089F" w:rsidRPr="000C75E7" w:rsidRDefault="003F089F" w:rsidP="007026A8">
            <w:pPr>
              <w:rPr>
                <w:rFonts w:eastAsia="Cambria"/>
                <w:b/>
                <w:sz w:val="18"/>
                <w:szCs w:val="18"/>
              </w:rPr>
            </w:pPr>
            <w:r>
              <w:rPr>
                <w:rFonts w:eastAsia="Cambria"/>
                <w:b/>
                <w:sz w:val="18"/>
                <w:szCs w:val="18"/>
              </w:rPr>
              <w:t>Work-Sharing</w:t>
            </w:r>
          </w:p>
        </w:tc>
        <w:tc>
          <w:tcPr>
            <w:tcW w:w="2893" w:type="dxa"/>
          </w:tcPr>
          <w:p w14:paraId="523B4EF3" w14:textId="77777777" w:rsidR="003F089F" w:rsidRPr="00783DFA" w:rsidRDefault="003F089F" w:rsidP="007026A8">
            <w:pPr>
              <w:rPr>
                <w:rFonts w:eastAsia="Cambria"/>
                <w:bCs/>
                <w:sz w:val="18"/>
                <w:szCs w:val="18"/>
              </w:rPr>
            </w:pPr>
            <w:r w:rsidRPr="00783DFA">
              <w:rPr>
                <w:rFonts w:eastAsia="Cambria"/>
                <w:bCs/>
                <w:sz w:val="18"/>
                <w:szCs w:val="18"/>
              </w:rPr>
              <w:t>Collaboration among authorities to jointly perform regulatory tasks or evaluations</w:t>
            </w:r>
          </w:p>
        </w:tc>
        <w:tc>
          <w:tcPr>
            <w:tcW w:w="2513" w:type="dxa"/>
            <w:hideMark/>
          </w:tcPr>
          <w:p w14:paraId="4850B0D2" w14:textId="77777777" w:rsidR="003F089F" w:rsidRPr="000C75E7" w:rsidRDefault="003F089F" w:rsidP="007026A8">
            <w:pPr>
              <w:rPr>
                <w:rFonts w:eastAsia="Cambria"/>
                <w:sz w:val="18"/>
                <w:szCs w:val="18"/>
              </w:rPr>
            </w:pPr>
            <w:r>
              <w:rPr>
                <w:rFonts w:eastAsia="Cambria"/>
                <w:sz w:val="18"/>
                <w:szCs w:val="18"/>
              </w:rPr>
              <w:t>MDSAP: Single audit for multiple jurisdictions</w:t>
            </w:r>
          </w:p>
        </w:tc>
      </w:tr>
      <w:tr w:rsidR="003F089F" w:rsidRPr="00820511" w14:paraId="600FE3F9" w14:textId="77777777" w:rsidTr="007A5E1C">
        <w:trPr>
          <w:cnfStyle w:val="000000010000" w:firstRow="0" w:lastRow="0" w:firstColumn="0" w:lastColumn="0" w:oddVBand="0" w:evenVBand="0" w:oddHBand="0" w:evenHBand="1" w:firstRowFirstColumn="0" w:firstRowLastColumn="0" w:lastRowFirstColumn="0" w:lastRowLastColumn="0"/>
          <w:trHeight w:val="933"/>
        </w:trPr>
        <w:tc>
          <w:tcPr>
            <w:tcW w:w="2127" w:type="dxa"/>
            <w:hideMark/>
          </w:tcPr>
          <w:p w14:paraId="369F094D" w14:textId="77777777" w:rsidR="003F089F" w:rsidRPr="000C75E7" w:rsidRDefault="003F089F" w:rsidP="007026A8">
            <w:pPr>
              <w:rPr>
                <w:rFonts w:eastAsia="Cambria"/>
                <w:b/>
                <w:sz w:val="18"/>
                <w:szCs w:val="18"/>
              </w:rPr>
            </w:pPr>
            <w:r>
              <w:rPr>
                <w:rFonts w:eastAsia="Cambria"/>
                <w:b/>
                <w:sz w:val="18"/>
                <w:szCs w:val="18"/>
              </w:rPr>
              <w:t>Abridged Regulatory Pathway</w:t>
            </w:r>
          </w:p>
          <w:p w14:paraId="0E349BA1" w14:textId="77777777" w:rsidR="003F089F" w:rsidRPr="000C75E7" w:rsidRDefault="003F089F" w:rsidP="007026A8">
            <w:pPr>
              <w:rPr>
                <w:rFonts w:eastAsia="Cambria"/>
                <w:b/>
                <w:sz w:val="18"/>
                <w:szCs w:val="18"/>
              </w:rPr>
            </w:pPr>
          </w:p>
        </w:tc>
        <w:tc>
          <w:tcPr>
            <w:tcW w:w="2893" w:type="dxa"/>
          </w:tcPr>
          <w:p w14:paraId="13431C00" w14:textId="77777777" w:rsidR="003F089F" w:rsidRPr="00783DFA" w:rsidRDefault="003F089F" w:rsidP="007026A8">
            <w:pPr>
              <w:rPr>
                <w:rFonts w:eastAsia="Cambria"/>
                <w:bCs/>
                <w:sz w:val="18"/>
                <w:szCs w:val="18"/>
              </w:rPr>
            </w:pPr>
            <w:r w:rsidRPr="00783DFA">
              <w:rPr>
                <w:rFonts w:eastAsia="Cambria"/>
                <w:bCs/>
                <w:sz w:val="18"/>
                <w:szCs w:val="18"/>
              </w:rPr>
              <w:t xml:space="preserve">Partial review relying on prior assessments from a trusted authority </w:t>
            </w:r>
          </w:p>
        </w:tc>
        <w:tc>
          <w:tcPr>
            <w:tcW w:w="2513" w:type="dxa"/>
            <w:hideMark/>
          </w:tcPr>
          <w:p w14:paraId="1095DB6F" w14:textId="77777777" w:rsidR="003F089F" w:rsidRPr="000C75E7" w:rsidRDefault="003F089F" w:rsidP="007026A8">
            <w:pPr>
              <w:rPr>
                <w:rFonts w:eastAsia="Cambria"/>
                <w:sz w:val="18"/>
                <w:szCs w:val="18"/>
              </w:rPr>
            </w:pPr>
            <w:r>
              <w:rPr>
                <w:rFonts w:eastAsia="Cambria"/>
                <w:sz w:val="18"/>
                <w:szCs w:val="18"/>
              </w:rPr>
              <w:t>ANVISA (Brazil) abridged marketing pathway</w:t>
            </w:r>
          </w:p>
        </w:tc>
      </w:tr>
      <w:tr w:rsidR="003F089F" w:rsidRPr="003C4ACF" w14:paraId="61935413" w14:textId="77777777" w:rsidTr="007A5E1C">
        <w:trPr>
          <w:trHeight w:val="724"/>
        </w:trPr>
        <w:tc>
          <w:tcPr>
            <w:tcW w:w="2127" w:type="dxa"/>
            <w:hideMark/>
          </w:tcPr>
          <w:p w14:paraId="5CA9BF91" w14:textId="77777777" w:rsidR="003F089F" w:rsidRPr="000C75E7" w:rsidRDefault="003F089F" w:rsidP="007026A8">
            <w:pPr>
              <w:rPr>
                <w:rFonts w:eastAsia="Cambria"/>
                <w:b/>
                <w:sz w:val="18"/>
                <w:szCs w:val="18"/>
              </w:rPr>
            </w:pPr>
            <w:r>
              <w:rPr>
                <w:rFonts w:eastAsia="Cambria"/>
                <w:b/>
                <w:sz w:val="18"/>
                <w:szCs w:val="18"/>
              </w:rPr>
              <w:t>Recognition</w:t>
            </w:r>
          </w:p>
        </w:tc>
        <w:tc>
          <w:tcPr>
            <w:tcW w:w="2893" w:type="dxa"/>
          </w:tcPr>
          <w:p w14:paraId="7726FE08" w14:textId="77777777" w:rsidR="003F089F" w:rsidRPr="00783DFA" w:rsidRDefault="003F089F" w:rsidP="007026A8">
            <w:pPr>
              <w:rPr>
                <w:rFonts w:eastAsia="Cambria"/>
                <w:bCs/>
                <w:sz w:val="18"/>
                <w:szCs w:val="18"/>
              </w:rPr>
            </w:pPr>
            <w:r w:rsidRPr="00783DFA">
              <w:rPr>
                <w:rFonts w:eastAsia="Cambria"/>
                <w:bCs/>
                <w:sz w:val="18"/>
                <w:szCs w:val="18"/>
              </w:rPr>
              <w:t>Direct acceptance of another authority’s decision with minimal or no review</w:t>
            </w:r>
          </w:p>
        </w:tc>
        <w:tc>
          <w:tcPr>
            <w:tcW w:w="2513" w:type="dxa"/>
            <w:hideMark/>
          </w:tcPr>
          <w:p w14:paraId="2DEC6960" w14:textId="77777777" w:rsidR="003F089F" w:rsidRPr="003C4ACF" w:rsidRDefault="003F089F" w:rsidP="007026A8">
            <w:pPr>
              <w:rPr>
                <w:rFonts w:eastAsia="Cambria"/>
                <w:sz w:val="18"/>
                <w:szCs w:val="18"/>
                <w:lang w:val="en-US"/>
              </w:rPr>
            </w:pPr>
            <w:r w:rsidRPr="003C4ACF">
              <w:rPr>
                <w:rFonts w:eastAsia="Cambria"/>
                <w:sz w:val="18"/>
                <w:szCs w:val="18"/>
                <w:lang w:val="en-US"/>
              </w:rPr>
              <w:t>TGA (Australia) and MHRA (UK) mutual recognition</w:t>
            </w:r>
          </w:p>
        </w:tc>
      </w:tr>
    </w:tbl>
    <w:p w14:paraId="0E5B9C73" w14:textId="77777777" w:rsidR="009C0B6F" w:rsidRDefault="009C0B6F" w:rsidP="009C0B6F">
      <w:pPr>
        <w:pStyle w:val="Heading3"/>
        <w:rPr>
          <w:noProof/>
          <w:lang w:val="en-US"/>
        </w:rPr>
      </w:pPr>
      <w:bookmarkStart w:id="55" w:name="_Work-sharing_1"/>
      <w:bookmarkEnd w:id="55"/>
      <w:r>
        <w:rPr>
          <w:noProof/>
          <w:lang w:val="en-US"/>
        </w:rPr>
        <w:t xml:space="preserve">Work-sharing </w:t>
      </w:r>
    </w:p>
    <w:p w14:paraId="6B8DB21B" w14:textId="1E4C83FB" w:rsidR="009C0B6F" w:rsidRPr="002861C1" w:rsidRDefault="009C0B6F" w:rsidP="007A5E1C">
      <w:pPr>
        <w:spacing w:after="0"/>
        <w:jc w:val="both"/>
        <w:rPr>
          <w:szCs w:val="20"/>
        </w:rPr>
      </w:pPr>
      <w:hyperlink w:anchor="_Work-Sharing:_A_process" w:history="1">
        <w:r w:rsidRPr="00B01D64">
          <w:rPr>
            <w:rStyle w:val="Hyperlink"/>
            <w:szCs w:val="20"/>
          </w:rPr>
          <w:t>Work-sharing</w:t>
        </w:r>
      </w:hyperlink>
      <w:r w:rsidRPr="00B01D64">
        <w:rPr>
          <w:szCs w:val="20"/>
        </w:rPr>
        <w:t xml:space="preserve"> occurs</w:t>
      </w:r>
      <w:r w:rsidRPr="002861C1">
        <w:rPr>
          <w:szCs w:val="20"/>
        </w:rPr>
        <w:t xml:space="preserve"> when multiple RAs work together to complete a regulatory task. Shared activities optimize resource use and build on specialized knowledge and expertise for tasks</w:t>
      </w:r>
      <w:r>
        <w:rPr>
          <w:szCs w:val="20"/>
        </w:rPr>
        <w:t>,</w:t>
      </w:r>
      <w:r w:rsidRPr="002861C1">
        <w:rPr>
          <w:szCs w:val="20"/>
        </w:rPr>
        <w:t xml:space="preserve"> including:</w:t>
      </w:r>
    </w:p>
    <w:p w14:paraId="35F6A258" w14:textId="77777777" w:rsidR="009C0B6F" w:rsidRPr="002861C1" w:rsidRDefault="009C0B6F" w:rsidP="00783DFA">
      <w:pPr>
        <w:pStyle w:val="NormalNumbered"/>
        <w:numPr>
          <w:ilvl w:val="0"/>
          <w:numId w:val="35"/>
        </w:numPr>
        <w:ind w:left="288" w:hanging="288"/>
        <w:jc w:val="both"/>
        <w:rPr>
          <w:noProof/>
          <w:szCs w:val="20"/>
        </w:rPr>
      </w:pPr>
      <w:r w:rsidRPr="002861C1">
        <w:rPr>
          <w:noProof/>
          <w:szCs w:val="20"/>
        </w:rPr>
        <w:t>joint application assessments</w:t>
      </w:r>
    </w:p>
    <w:p w14:paraId="51BED4D2" w14:textId="77777777" w:rsidR="009C0B6F" w:rsidRPr="002861C1" w:rsidRDefault="009C0B6F" w:rsidP="00783DFA">
      <w:pPr>
        <w:pStyle w:val="NormalNumbered"/>
        <w:numPr>
          <w:ilvl w:val="0"/>
          <w:numId w:val="35"/>
        </w:numPr>
        <w:ind w:left="288" w:hanging="288"/>
        <w:jc w:val="both"/>
        <w:rPr>
          <w:noProof/>
          <w:szCs w:val="20"/>
        </w:rPr>
      </w:pPr>
      <w:r w:rsidRPr="00706C79">
        <w:rPr>
          <w:noProof/>
          <w:szCs w:val="20"/>
        </w:rPr>
        <w:t>coordinated</w:t>
      </w:r>
      <w:r w:rsidRPr="002861C1">
        <w:rPr>
          <w:noProof/>
          <w:szCs w:val="20"/>
        </w:rPr>
        <w:t xml:space="preserve"> inspections</w:t>
      </w:r>
    </w:p>
    <w:p w14:paraId="20F767BD" w14:textId="77777777" w:rsidR="009C0B6F" w:rsidRDefault="009C0B6F" w:rsidP="009006AE">
      <w:pPr>
        <w:pStyle w:val="NormalNumbered"/>
        <w:numPr>
          <w:ilvl w:val="0"/>
          <w:numId w:val="35"/>
        </w:numPr>
        <w:ind w:left="288" w:hanging="288"/>
        <w:jc w:val="both"/>
        <w:rPr>
          <w:noProof/>
          <w:szCs w:val="20"/>
        </w:rPr>
      </w:pPr>
      <w:r>
        <w:rPr>
          <w:noProof/>
          <w:szCs w:val="20"/>
        </w:rPr>
        <w:t xml:space="preserve">joint </w:t>
      </w:r>
      <w:r w:rsidRPr="002861C1">
        <w:rPr>
          <w:noProof/>
          <w:szCs w:val="20"/>
        </w:rPr>
        <w:t>development of documents like technical guidelines and regulatory standards</w:t>
      </w:r>
    </w:p>
    <w:p w14:paraId="4E538345" w14:textId="016C2582" w:rsidR="009C0B6F" w:rsidRDefault="009C0B6F" w:rsidP="007A5E1C">
      <w:pPr>
        <w:spacing w:after="0"/>
        <w:jc w:val="both"/>
        <w:rPr>
          <w:szCs w:val="20"/>
        </w:rPr>
      </w:pPr>
      <w:r w:rsidRPr="00121B4C">
        <w:rPr>
          <w:szCs w:val="20"/>
        </w:rPr>
        <w:t>Work-sharing typically requires you to establish how shared activities are distributed</w:t>
      </w:r>
      <w:r w:rsidR="008D7411">
        <w:rPr>
          <w:szCs w:val="20"/>
        </w:rPr>
        <w:t>,</w:t>
      </w:r>
      <w:r w:rsidRPr="00121B4C">
        <w:rPr>
          <w:szCs w:val="20"/>
        </w:rPr>
        <w:t xml:space="preserve"> and creati</w:t>
      </w:r>
      <w:r w:rsidR="00425A5B">
        <w:rPr>
          <w:szCs w:val="20"/>
        </w:rPr>
        <w:t>o</w:t>
      </w:r>
      <w:r w:rsidRPr="00121B4C">
        <w:rPr>
          <w:szCs w:val="20"/>
        </w:rPr>
        <w:t>n</w:t>
      </w:r>
      <w:r w:rsidR="00425A5B">
        <w:rPr>
          <w:szCs w:val="20"/>
        </w:rPr>
        <w:t xml:space="preserve"> of</w:t>
      </w:r>
      <w:r w:rsidRPr="00121B4C">
        <w:rPr>
          <w:szCs w:val="20"/>
        </w:rPr>
        <w:t xml:space="preserve"> agreements among participating authorities for information exchange, when necessary.</w:t>
      </w:r>
    </w:p>
    <w:p w14:paraId="5ECE843B" w14:textId="3ADFDD49" w:rsidR="00937B9C" w:rsidRDefault="008C30E3" w:rsidP="005C31C3">
      <w:pPr>
        <w:pStyle w:val="NormalNumbered"/>
        <w:pBdr>
          <w:top w:val="single" w:sz="4" w:space="1" w:color="auto"/>
          <w:left w:val="single" w:sz="4" w:space="4" w:color="auto"/>
          <w:bottom w:val="single" w:sz="4" w:space="1" w:color="auto"/>
          <w:right w:val="single" w:sz="4" w:space="4" w:color="auto"/>
        </w:pBdr>
        <w:ind w:left="360" w:right="87"/>
        <w:jc w:val="both"/>
        <w:rPr>
          <w:noProof/>
        </w:rPr>
      </w:pPr>
      <w:bookmarkStart w:id="56" w:name="_Work-sharing"/>
      <w:bookmarkEnd w:id="56"/>
      <w:r w:rsidRPr="003C4AA3">
        <w:rPr>
          <w:b/>
          <w:bCs/>
          <w:noProof/>
        </w:rPr>
        <w:t>Example</w:t>
      </w:r>
      <w:r w:rsidRPr="00714E6F">
        <w:rPr>
          <w:noProof/>
        </w:rPr>
        <w:t xml:space="preserve">: </w:t>
      </w:r>
      <w:r w:rsidR="00FC510B" w:rsidRPr="00FC510B">
        <w:rPr>
          <w:noProof/>
        </w:rPr>
        <w:t xml:space="preserve">The </w:t>
      </w:r>
      <w:r w:rsidR="00FC510B" w:rsidRPr="00783DFA">
        <w:rPr>
          <w:noProof/>
        </w:rPr>
        <w:t>Medical Device Single</w:t>
      </w:r>
      <w:r w:rsidR="000E40CE" w:rsidRPr="00783DFA">
        <w:rPr>
          <w:noProof/>
        </w:rPr>
        <w:t xml:space="preserve"> </w:t>
      </w:r>
      <w:r w:rsidR="00FC510B" w:rsidRPr="00783DFA">
        <w:rPr>
          <w:noProof/>
        </w:rPr>
        <w:t>Audit Program (MDSAP)</w:t>
      </w:r>
      <w:r w:rsidR="00FC510B" w:rsidRPr="00BC59C5">
        <w:rPr>
          <w:noProof/>
        </w:rPr>
        <w:t xml:space="preserve"> </w:t>
      </w:r>
      <w:r w:rsidR="00FC510B" w:rsidRPr="00FC510B">
        <w:rPr>
          <w:noProof/>
        </w:rPr>
        <w:t xml:space="preserve">originated from the IMDRF members’ desire to develop a global approach to auditing and monitoring the manufacturing of medical devices as a way to improve oversight and efficiency on an international scale. This program allows MDSAP-recognized Auditing Organizations to conduct a single audit of a medical device manufacturer to satisfy the relevant requirements of participating </w:t>
      </w:r>
      <w:r w:rsidR="008475A7">
        <w:rPr>
          <w:noProof/>
        </w:rPr>
        <w:t>RAs</w:t>
      </w:r>
      <w:r w:rsidR="00FC510B" w:rsidRPr="00FC510B">
        <w:rPr>
          <w:noProof/>
        </w:rPr>
        <w:t xml:space="preserve">. MDSAP </w:t>
      </w:r>
      <w:r w:rsidR="00EF101E">
        <w:rPr>
          <w:noProof/>
        </w:rPr>
        <w:t xml:space="preserve">consortium </w:t>
      </w:r>
      <w:r w:rsidR="00FC510B" w:rsidRPr="00FC510B">
        <w:rPr>
          <w:noProof/>
        </w:rPr>
        <w:t xml:space="preserve">members leverage each other’s resources via work-sharing to: </w:t>
      </w:r>
    </w:p>
    <w:p w14:paraId="237D0C79" w14:textId="77777777" w:rsidR="00937B9C" w:rsidRPr="00783DFA" w:rsidRDefault="00FC510B" w:rsidP="00937B9C">
      <w:pPr>
        <w:pStyle w:val="NormalNumbered"/>
        <w:numPr>
          <w:ilvl w:val="0"/>
          <w:numId w:val="43"/>
        </w:numPr>
        <w:pBdr>
          <w:top w:val="single" w:sz="4" w:space="1" w:color="auto"/>
          <w:left w:val="single" w:sz="4" w:space="4" w:color="auto"/>
          <w:bottom w:val="single" w:sz="4" w:space="1" w:color="auto"/>
          <w:right w:val="single" w:sz="4" w:space="4" w:color="auto"/>
        </w:pBdr>
        <w:ind w:right="87"/>
        <w:jc w:val="both"/>
        <w:rPr>
          <w:noProof/>
        </w:rPr>
      </w:pPr>
      <w:r w:rsidRPr="00937B9C">
        <w:rPr>
          <w:noProof/>
        </w:rPr>
        <w:t>make decisions regarding the recognition of new Auditing Organizations</w:t>
      </w:r>
    </w:p>
    <w:p w14:paraId="278C8D95" w14:textId="39390905" w:rsidR="00937B9C" w:rsidRPr="00783DFA" w:rsidRDefault="00FC510B" w:rsidP="00937B9C">
      <w:pPr>
        <w:pStyle w:val="NormalNumbered"/>
        <w:numPr>
          <w:ilvl w:val="0"/>
          <w:numId w:val="43"/>
        </w:numPr>
        <w:pBdr>
          <w:top w:val="single" w:sz="4" w:space="1" w:color="auto"/>
          <w:left w:val="single" w:sz="4" w:space="4" w:color="auto"/>
          <w:bottom w:val="single" w:sz="4" w:space="1" w:color="auto"/>
          <w:right w:val="single" w:sz="4" w:space="4" w:color="auto"/>
        </w:pBdr>
        <w:ind w:right="87"/>
        <w:jc w:val="both"/>
        <w:rPr>
          <w:noProof/>
        </w:rPr>
      </w:pPr>
      <w:r w:rsidRPr="00937B9C">
        <w:rPr>
          <w:noProof/>
        </w:rPr>
        <w:t>conduct annual assessments of Auditing Organizations to ensure they continue to meet the criteria for MDSAP recognition</w:t>
      </w:r>
    </w:p>
    <w:p w14:paraId="3A8E771D" w14:textId="5C1BD3F0" w:rsidR="00937B9C" w:rsidRPr="00783DFA" w:rsidRDefault="00FC510B" w:rsidP="00937B9C">
      <w:pPr>
        <w:pStyle w:val="NormalNumbered"/>
        <w:numPr>
          <w:ilvl w:val="0"/>
          <w:numId w:val="43"/>
        </w:numPr>
        <w:pBdr>
          <w:top w:val="single" w:sz="4" w:space="1" w:color="auto"/>
          <w:left w:val="single" w:sz="4" w:space="4" w:color="auto"/>
          <w:bottom w:val="single" w:sz="4" w:space="1" w:color="auto"/>
          <w:right w:val="single" w:sz="4" w:space="4" w:color="auto"/>
        </w:pBdr>
        <w:ind w:right="87"/>
        <w:jc w:val="both"/>
        <w:rPr>
          <w:noProof/>
        </w:rPr>
      </w:pPr>
      <w:r w:rsidRPr="00937B9C">
        <w:rPr>
          <w:noProof/>
        </w:rPr>
        <w:t>create MDSAP policies and procedures; develop and improve program requirements; and</w:t>
      </w:r>
    </w:p>
    <w:p w14:paraId="21FDEDAE" w14:textId="329E9733" w:rsidR="00BF4708" w:rsidRPr="00937B9C" w:rsidRDefault="00FC510B" w:rsidP="00783DFA">
      <w:pPr>
        <w:pStyle w:val="NormalNumbered"/>
        <w:numPr>
          <w:ilvl w:val="0"/>
          <w:numId w:val="43"/>
        </w:numPr>
        <w:pBdr>
          <w:top w:val="single" w:sz="4" w:space="1" w:color="auto"/>
          <w:left w:val="single" w:sz="4" w:space="4" w:color="auto"/>
          <w:bottom w:val="single" w:sz="4" w:space="1" w:color="auto"/>
          <w:right w:val="single" w:sz="4" w:space="4" w:color="auto"/>
        </w:pBdr>
        <w:ind w:right="87"/>
        <w:jc w:val="both"/>
        <w:rPr>
          <w:noProof/>
        </w:rPr>
      </w:pPr>
      <w:r w:rsidRPr="00937B9C">
        <w:rPr>
          <w:noProof/>
        </w:rPr>
        <w:t>conduct other operational activities that provide proper oversight of the program.</w:t>
      </w:r>
    </w:p>
    <w:p w14:paraId="3E28AA3A" w14:textId="3ED26017" w:rsidR="008C30E3" w:rsidRDefault="0020752F" w:rsidP="009C3116">
      <w:pPr>
        <w:pStyle w:val="NormalNumbered"/>
        <w:pBdr>
          <w:top w:val="single" w:sz="4" w:space="1" w:color="auto"/>
          <w:left w:val="single" w:sz="4" w:space="4" w:color="auto"/>
          <w:bottom w:val="single" w:sz="4" w:space="1" w:color="auto"/>
          <w:right w:val="single" w:sz="4" w:space="4" w:color="auto"/>
        </w:pBdr>
        <w:ind w:left="360" w:right="87"/>
        <w:jc w:val="both"/>
        <w:rPr>
          <w:noProof/>
        </w:rPr>
      </w:pPr>
      <w:r>
        <w:rPr>
          <w:noProof/>
        </w:rPr>
        <w:t>MD</w:t>
      </w:r>
      <w:r w:rsidR="007C7E5A">
        <w:rPr>
          <w:noProof/>
        </w:rPr>
        <w:t>S</w:t>
      </w:r>
      <w:r>
        <w:rPr>
          <w:noProof/>
        </w:rPr>
        <w:t>AP inc</w:t>
      </w:r>
      <w:r w:rsidR="0091050A">
        <w:rPr>
          <w:noProof/>
        </w:rPr>
        <w:t>orporates</w:t>
      </w:r>
      <w:r>
        <w:rPr>
          <w:noProof/>
        </w:rPr>
        <w:t xml:space="preserve"> other aspects o</w:t>
      </w:r>
      <w:r w:rsidR="00642900">
        <w:rPr>
          <w:noProof/>
        </w:rPr>
        <w:t>f</w:t>
      </w:r>
      <w:r>
        <w:rPr>
          <w:noProof/>
        </w:rPr>
        <w:t xml:space="preserve"> reliance i</w:t>
      </w:r>
      <w:r w:rsidR="00BF4708">
        <w:rPr>
          <w:noProof/>
        </w:rPr>
        <w:t>n addition to work-sharing</w:t>
      </w:r>
      <w:r>
        <w:rPr>
          <w:noProof/>
        </w:rPr>
        <w:t xml:space="preserve">. </w:t>
      </w:r>
      <w:r w:rsidR="006C4825" w:rsidRPr="006C4825">
        <w:rPr>
          <w:noProof/>
        </w:rPr>
        <w:t xml:space="preserve">For example, regulatory authorities, including Affiliate Members who do not participate in MDSAP work-sharing activities, can rely </w:t>
      </w:r>
      <w:r w:rsidR="006C4825">
        <w:rPr>
          <w:noProof/>
        </w:rPr>
        <w:t>to d</w:t>
      </w:r>
      <w:r w:rsidR="007D1C1D">
        <w:rPr>
          <w:noProof/>
        </w:rPr>
        <w:t>i</w:t>
      </w:r>
      <w:r w:rsidR="006C4825">
        <w:rPr>
          <w:noProof/>
        </w:rPr>
        <w:t xml:space="preserve">fferent extents </w:t>
      </w:r>
      <w:r w:rsidR="006C4825" w:rsidRPr="006C4825">
        <w:rPr>
          <w:noProof/>
        </w:rPr>
        <w:t xml:space="preserve">on the </w:t>
      </w:r>
      <w:r w:rsidR="00AF6E14">
        <w:rPr>
          <w:noProof/>
        </w:rPr>
        <w:t xml:space="preserve">MDSAP </w:t>
      </w:r>
      <w:r w:rsidR="006C4825" w:rsidRPr="006C4825">
        <w:rPr>
          <w:noProof/>
        </w:rPr>
        <w:t xml:space="preserve">reports and/or certificates </w:t>
      </w:r>
      <w:r w:rsidR="00AF6E14">
        <w:rPr>
          <w:noProof/>
        </w:rPr>
        <w:t>to fulfill their regulatory requirements,</w:t>
      </w:r>
      <w:r w:rsidR="00AF6E14" w:rsidRPr="00AF6E14">
        <w:rPr>
          <w:noProof/>
        </w:rPr>
        <w:t xml:space="preserve"> in</w:t>
      </w:r>
      <w:r w:rsidR="00AF6E14">
        <w:rPr>
          <w:noProof/>
        </w:rPr>
        <w:t xml:space="preserve">stead of conducting </w:t>
      </w:r>
      <w:r w:rsidR="00AF6E14" w:rsidRPr="00AF6E14">
        <w:rPr>
          <w:noProof/>
        </w:rPr>
        <w:t>their own inspection</w:t>
      </w:r>
      <w:r w:rsidR="00AF6E14">
        <w:rPr>
          <w:noProof/>
        </w:rPr>
        <w:t>s</w:t>
      </w:r>
      <w:r w:rsidR="006C4825" w:rsidRPr="006C4825">
        <w:rPr>
          <w:noProof/>
        </w:rPr>
        <w:t>.</w:t>
      </w:r>
    </w:p>
    <w:p w14:paraId="4D4A8B27" w14:textId="1C24F091" w:rsidR="008C30E3" w:rsidRPr="00A35628" w:rsidRDefault="008C30E3" w:rsidP="00714E6F">
      <w:pPr>
        <w:pStyle w:val="Heading3"/>
        <w:rPr>
          <w:b w:val="0"/>
        </w:rPr>
      </w:pPr>
      <w:r w:rsidRPr="00A35628">
        <w:t xml:space="preserve">Abridged </w:t>
      </w:r>
      <w:r w:rsidR="00A35628" w:rsidRPr="00A35628">
        <w:t>regulatory pathway</w:t>
      </w:r>
    </w:p>
    <w:p w14:paraId="74C3ECED" w14:textId="5831AA16" w:rsidR="00112561" w:rsidRPr="002735D3" w:rsidRDefault="00112561" w:rsidP="007A5E1C">
      <w:pPr>
        <w:spacing w:after="0"/>
        <w:jc w:val="both"/>
        <w:rPr>
          <w:szCs w:val="20"/>
          <w:lang w:val="en-GB"/>
        </w:rPr>
      </w:pPr>
      <w:hyperlink w:anchor="_Abridged_Regulatory_Pathway:" w:history="1">
        <w:r w:rsidRPr="005D7B34">
          <w:rPr>
            <w:rStyle w:val="Hyperlink"/>
            <w:szCs w:val="20"/>
          </w:rPr>
          <w:t>Abridged regulatory pathways</w:t>
        </w:r>
      </w:hyperlink>
      <w:r w:rsidR="005D7B34">
        <w:rPr>
          <w:szCs w:val="20"/>
        </w:rPr>
        <w:t xml:space="preserve"> </w:t>
      </w:r>
      <w:r w:rsidRPr="002735D3">
        <w:rPr>
          <w:szCs w:val="20"/>
        </w:rPr>
        <w:t>streamline review</w:t>
      </w:r>
      <w:r>
        <w:rPr>
          <w:szCs w:val="20"/>
        </w:rPr>
        <w:t>s</w:t>
      </w:r>
      <w:r w:rsidRPr="002735D3">
        <w:rPr>
          <w:szCs w:val="20"/>
        </w:rPr>
        <w:t xml:space="preserve"> by relying on comprehensive assessments from a reference RA. Rather than conducting a full review</w:t>
      </w:r>
      <w:r w:rsidRPr="002735D3">
        <w:rPr>
          <w:szCs w:val="20"/>
          <w:lang w:val="en-GB"/>
        </w:rPr>
        <w:t>, you may focus on key considerations such as:</w:t>
      </w:r>
    </w:p>
    <w:p w14:paraId="1B654553" w14:textId="77777777" w:rsidR="00112561" w:rsidRPr="00783DFA" w:rsidRDefault="00112561" w:rsidP="00783DFA">
      <w:pPr>
        <w:pStyle w:val="NormalNumbered"/>
        <w:numPr>
          <w:ilvl w:val="0"/>
          <w:numId w:val="35"/>
        </w:numPr>
        <w:ind w:left="288" w:hanging="288"/>
        <w:jc w:val="both"/>
        <w:rPr>
          <w:noProof/>
          <w:szCs w:val="20"/>
        </w:rPr>
      </w:pPr>
      <w:r w:rsidRPr="00783DFA">
        <w:rPr>
          <w:noProof/>
          <w:szCs w:val="20"/>
        </w:rPr>
        <w:t>additional requirements or aspects unique to your market</w:t>
      </w:r>
    </w:p>
    <w:p w14:paraId="17213322" w14:textId="77777777" w:rsidR="00112561" w:rsidRPr="00783DFA" w:rsidRDefault="00112561" w:rsidP="00783DFA">
      <w:pPr>
        <w:pStyle w:val="NormalNumbered"/>
        <w:numPr>
          <w:ilvl w:val="0"/>
          <w:numId w:val="35"/>
        </w:numPr>
        <w:ind w:left="288" w:hanging="288"/>
        <w:jc w:val="both"/>
        <w:rPr>
          <w:noProof/>
          <w:szCs w:val="20"/>
        </w:rPr>
      </w:pPr>
      <w:r w:rsidRPr="00783DFA">
        <w:rPr>
          <w:noProof/>
          <w:szCs w:val="20"/>
        </w:rPr>
        <w:t>areas where specific confirmation is warranted</w:t>
      </w:r>
    </w:p>
    <w:p w14:paraId="6FB358BE" w14:textId="6CFAD194" w:rsidR="006B7FED" w:rsidRDefault="00112561" w:rsidP="007A5E1C">
      <w:pPr>
        <w:spacing w:after="0"/>
        <w:jc w:val="both"/>
        <w:rPr>
          <w:szCs w:val="20"/>
        </w:rPr>
      </w:pPr>
      <w:r w:rsidRPr="002735D3">
        <w:rPr>
          <w:szCs w:val="20"/>
        </w:rPr>
        <w:t>This approach is useful when manufacturers seek approval in your jurisdiction after obtaining approval elsewhere, especially when both jurisdictions have similar regulatory requirements.</w:t>
      </w:r>
    </w:p>
    <w:p w14:paraId="6D471186" w14:textId="651DEC08" w:rsidR="006B7FED" w:rsidRDefault="006B7FED">
      <w:pPr>
        <w:keepLines w:val="0"/>
        <w:spacing w:before="0" w:after="0" w:line="240" w:lineRule="auto"/>
        <w:rPr>
          <w:szCs w:val="20"/>
        </w:rPr>
      </w:pPr>
    </w:p>
    <w:p w14:paraId="04B7D2EA" w14:textId="07DA2918" w:rsidR="008C30E3" w:rsidRPr="004C36B2" w:rsidRDefault="008C30E3" w:rsidP="00112561">
      <w:pPr>
        <w:keepLines w:val="0"/>
        <w:pBdr>
          <w:top w:val="single" w:sz="4" w:space="1" w:color="auto"/>
          <w:left w:val="single" w:sz="4" w:space="4" w:color="auto"/>
          <w:bottom w:val="single" w:sz="4" w:space="1" w:color="auto"/>
          <w:right w:val="single" w:sz="4" w:space="4" w:color="auto"/>
          <w:between w:val="single" w:sz="4" w:space="1" w:color="auto"/>
          <w:bar w:val="single" w:sz="4" w:color="auto"/>
        </w:pBdr>
        <w:ind w:left="360" w:right="87"/>
        <w:jc w:val="both"/>
        <w:rPr>
          <w:rFonts w:cstheme="minorBidi"/>
        </w:rPr>
      </w:pPr>
      <w:r w:rsidRPr="003C4AA3">
        <w:rPr>
          <w:b/>
          <w:bCs/>
          <w:noProof/>
        </w:rPr>
        <w:t>Example</w:t>
      </w:r>
      <w:r w:rsidR="00DC27E9">
        <w:rPr>
          <w:b/>
          <w:bCs/>
          <w:noProof/>
        </w:rPr>
        <w:t xml:space="preserve"> 1</w:t>
      </w:r>
      <w:r w:rsidRPr="00714E6F">
        <w:rPr>
          <w:noProof/>
        </w:rPr>
        <w:t xml:space="preserve">: </w:t>
      </w:r>
      <w:r w:rsidR="004C49B6" w:rsidRPr="00F56EA0">
        <w:t xml:space="preserve">The Health Sciences Authority (HSA) of Singapore offers an abridged </w:t>
      </w:r>
      <w:r w:rsidR="00BF35C5">
        <w:t>regulatory</w:t>
      </w:r>
      <w:r w:rsidR="00BF35C5" w:rsidRPr="00F56EA0">
        <w:t xml:space="preserve"> </w:t>
      </w:r>
      <w:r w:rsidR="004C49B6" w:rsidRPr="00F56EA0">
        <w:t xml:space="preserve">pathway for registration of medical devices. This pathway is designed for devices that have previously undergone review and approval by one of HSA's recognized </w:t>
      </w:r>
      <w:r w:rsidR="003F7EB7">
        <w:t xml:space="preserve">reference </w:t>
      </w:r>
      <w:r w:rsidR="006A0D3E">
        <w:t>RAs</w:t>
      </w:r>
      <w:r w:rsidR="004C49B6" w:rsidRPr="00F56EA0">
        <w:t xml:space="preserve">. To be eligible, devices must meet specific criteria, including having no </w:t>
      </w:r>
      <w:r w:rsidR="006851F8" w:rsidRPr="00F55EE1">
        <w:t>essential</w:t>
      </w:r>
      <w:r w:rsidR="006851F8">
        <w:t xml:space="preserve"> </w:t>
      </w:r>
      <w:r w:rsidR="004C49B6" w:rsidRPr="00F56EA0">
        <w:t xml:space="preserve">differences in intended use between the device to be marketed in Singapore and the version approved by the recognized authorities. As part of this abridged </w:t>
      </w:r>
      <w:r w:rsidR="008B09CC">
        <w:t>regulatory</w:t>
      </w:r>
      <w:r w:rsidR="008B09CC" w:rsidRPr="00F56EA0">
        <w:t xml:space="preserve"> </w:t>
      </w:r>
      <w:r w:rsidR="004C49B6" w:rsidRPr="00F56EA0">
        <w:t xml:space="preserve">pathway, supporting documents including proof of approval from the </w:t>
      </w:r>
      <w:r w:rsidR="004B012E">
        <w:t>reference</w:t>
      </w:r>
      <w:r w:rsidR="004B012E" w:rsidRPr="00F56EA0">
        <w:t xml:space="preserve"> </w:t>
      </w:r>
      <w:r w:rsidR="008475A7">
        <w:t>RAs</w:t>
      </w:r>
      <w:r w:rsidR="004C49B6" w:rsidRPr="00F56EA0">
        <w:t xml:space="preserve"> and summarized technical documents must be provided. This process allows HSA to abridge its assessment, taking into account the review conducted by the </w:t>
      </w:r>
      <w:r w:rsidR="009A4045">
        <w:t xml:space="preserve">relevant </w:t>
      </w:r>
      <w:r w:rsidR="00F92866">
        <w:t>reference</w:t>
      </w:r>
      <w:r w:rsidR="004C49B6" w:rsidRPr="00F56EA0">
        <w:t xml:space="preserve"> </w:t>
      </w:r>
      <w:r w:rsidR="008475A7">
        <w:t>RA</w:t>
      </w:r>
      <w:r w:rsidR="004C49B6" w:rsidRPr="00F56EA0">
        <w:t xml:space="preserve">, while </w:t>
      </w:r>
      <w:r w:rsidR="00CF73E3">
        <w:t>retaining the ability</w:t>
      </w:r>
      <w:r w:rsidR="004C49B6" w:rsidRPr="00F56EA0">
        <w:t xml:space="preserve"> to request additional information as needed to ensure the device meets the required safety, quality, and performance standards for use in Singapore. The final decision-making authority for registration remains with HSA. This reliance-based pathway was developed with the intention to conserve resources and time and facilitate faster market access as compared to standard pathways, while maintaining rigorous regulatory oversight.</w:t>
      </w:r>
    </w:p>
    <w:p w14:paraId="091CB848" w14:textId="77777777" w:rsidR="00091B51" w:rsidRDefault="00091B51" w:rsidP="002348AD">
      <w:pPr>
        <w:spacing w:before="0" w:after="0"/>
        <w:rPr>
          <w:noProof/>
          <w:lang w:val="it-IT"/>
        </w:rPr>
      </w:pPr>
    </w:p>
    <w:p w14:paraId="1C4BEE70" w14:textId="77777777" w:rsidR="002348AD" w:rsidRDefault="002348AD" w:rsidP="002348AD">
      <w:pPr>
        <w:spacing w:before="0" w:after="0"/>
        <w:rPr>
          <w:noProof/>
          <w:lang w:val="it-IT"/>
        </w:rPr>
      </w:pPr>
    </w:p>
    <w:p w14:paraId="347B8656" w14:textId="7734E8F5" w:rsidR="00091B51" w:rsidRPr="00783DFA" w:rsidRDefault="00091B51" w:rsidP="00783DFA">
      <w:pPr>
        <w:keepLines w:val="0"/>
        <w:pBdr>
          <w:top w:val="single" w:sz="4" w:space="1" w:color="auto"/>
          <w:left w:val="single" w:sz="4" w:space="4" w:color="auto"/>
          <w:bottom w:val="single" w:sz="4" w:space="1" w:color="auto"/>
          <w:right w:val="single" w:sz="4" w:space="4" w:color="auto"/>
          <w:between w:val="single" w:sz="4" w:space="1" w:color="auto"/>
          <w:bar w:val="single" w:sz="4" w:color="auto"/>
        </w:pBdr>
        <w:ind w:left="360" w:right="87"/>
        <w:jc w:val="both"/>
      </w:pPr>
      <w:r w:rsidRPr="00783DFA">
        <w:rPr>
          <w:b/>
          <w:bCs/>
        </w:rPr>
        <w:t>Example 2:</w:t>
      </w:r>
      <w:r w:rsidRPr="00783DFA">
        <w:t xml:space="preserve"> </w:t>
      </w:r>
      <w:r w:rsidR="00F23A96">
        <w:t xml:space="preserve">The </w:t>
      </w:r>
      <w:r w:rsidRPr="00783DFA">
        <w:t>Brazilian Health Regulatory Agency</w:t>
      </w:r>
      <w:r w:rsidR="00F23A96">
        <w:t xml:space="preserve"> (ANVISA</w:t>
      </w:r>
      <w:r w:rsidRPr="00783DFA">
        <w:t xml:space="preserve">) </w:t>
      </w:r>
      <w:r w:rsidR="0060320B">
        <w:t>allows</w:t>
      </w:r>
      <w:r w:rsidRPr="00783DFA">
        <w:t xml:space="preserve"> a regulatory pathway called "optimized review", which is consistent with the concept of an abridged </w:t>
      </w:r>
      <w:r w:rsidR="00BF3052">
        <w:t>regulatory</w:t>
      </w:r>
      <w:r w:rsidR="0060320B">
        <w:t xml:space="preserve"> pathway</w:t>
      </w:r>
      <w:r w:rsidRPr="00783DFA">
        <w:t>.</w:t>
      </w:r>
      <w:r>
        <w:t xml:space="preserve"> </w:t>
      </w:r>
      <w:r w:rsidRPr="00783DFA">
        <w:t>Through this pathway, applicants may submit technical reports or regulatory documents issued by an AREE (Autoridade Reguladora Estrangeira Equivalente – Equivalent Foreign Regulatory Authority), defined as a reference authority or international entity whose regulatory practices are aligned with those adopted by ANVISA.</w:t>
      </w:r>
      <w:r>
        <w:t xml:space="preserve"> </w:t>
      </w:r>
      <w:r w:rsidRPr="00783DFA">
        <w:t>To request an optimized review, applicants must provide a declaration of eligibility demonstrating that the criteria established by ANVISA have been met, as well as the approval document issued by the AREE, which explicitly identifies the medical device, its intended use, its manufacturer, and the instructions for use authorized by the AREE. The medical device submitted in Brazil must be essentially identical to the device approved by the AREE</w:t>
      </w:r>
      <w:r w:rsidR="00C543CA">
        <w:t xml:space="preserve"> (see </w:t>
      </w:r>
      <w:hyperlink w:anchor="_Establish_reliance_processes" w:history="1">
        <w:r w:rsidR="00C543CA" w:rsidRPr="009717E7">
          <w:rPr>
            <w:rStyle w:val="Hyperlink"/>
          </w:rPr>
          <w:t xml:space="preserve">Section </w:t>
        </w:r>
        <w:r w:rsidR="005F7504" w:rsidRPr="009717E7">
          <w:rPr>
            <w:rStyle w:val="Hyperlink"/>
          </w:rPr>
          <w:t>6</w:t>
        </w:r>
        <w:r w:rsidR="00C543CA" w:rsidRPr="009717E7">
          <w:rPr>
            <w:rStyle w:val="Hyperlink"/>
          </w:rPr>
          <w:t>.3</w:t>
        </w:r>
      </w:hyperlink>
      <w:r w:rsidR="00C543CA">
        <w:t xml:space="preserve"> for further discussion of this concept)</w:t>
      </w:r>
      <w:r w:rsidRPr="00783DFA">
        <w:t>.</w:t>
      </w:r>
      <w:r>
        <w:t xml:space="preserve"> </w:t>
      </w:r>
      <w:r w:rsidRPr="00783DFA">
        <w:t xml:space="preserve">ANVISA retains full decision-making authority regarding the granting of </w:t>
      </w:r>
      <w:r w:rsidR="00767579">
        <w:t>marketing authorization</w:t>
      </w:r>
      <w:r w:rsidRPr="00783DFA">
        <w:t xml:space="preserve"> and may request additional information or data during the review process, in accordance with Brazilian regulations and guidelines.</w:t>
      </w:r>
    </w:p>
    <w:p w14:paraId="1B231681" w14:textId="59D4D9FD" w:rsidR="008C30E3" w:rsidRDefault="008C30E3" w:rsidP="00714E6F">
      <w:pPr>
        <w:pStyle w:val="Heading3"/>
        <w:rPr>
          <w:noProof/>
          <w:lang w:val="it-IT"/>
        </w:rPr>
      </w:pPr>
      <w:bookmarkStart w:id="57" w:name="_Recognition"/>
      <w:bookmarkEnd w:id="57"/>
      <w:r>
        <w:rPr>
          <w:noProof/>
          <w:lang w:val="it-IT"/>
        </w:rPr>
        <w:t xml:space="preserve">Recognition </w:t>
      </w:r>
    </w:p>
    <w:p w14:paraId="07D82350" w14:textId="74A7EB8E" w:rsidR="000F75CC" w:rsidRPr="007A5E1C" w:rsidRDefault="000F75CC" w:rsidP="007A5E1C">
      <w:pPr>
        <w:spacing w:after="0"/>
        <w:jc w:val="both"/>
        <w:rPr>
          <w:szCs w:val="20"/>
        </w:rPr>
      </w:pPr>
      <w:hyperlink w:anchor="_Recognition:_Acceptance_of" w:history="1">
        <w:r w:rsidRPr="005D7B34">
          <w:rPr>
            <w:rStyle w:val="Hyperlink"/>
            <w:szCs w:val="20"/>
            <w:lang w:val="en-GB"/>
          </w:rPr>
          <w:t>Recognition</w:t>
        </w:r>
      </w:hyperlink>
      <w:r w:rsidRPr="005D7B34">
        <w:rPr>
          <w:szCs w:val="20"/>
          <w:lang w:val="en-GB"/>
        </w:rPr>
        <w:t xml:space="preserve"> occurs</w:t>
      </w:r>
      <w:r w:rsidRPr="00B64EEC">
        <w:rPr>
          <w:szCs w:val="20"/>
          <w:lang w:val="en-GB"/>
        </w:rPr>
        <w:t xml:space="preserve"> when you accept a regulatory decision made by a reference RA. Generally</w:t>
      </w:r>
      <w:r w:rsidR="007C136D">
        <w:rPr>
          <w:szCs w:val="20"/>
          <w:lang w:val="en-GB"/>
        </w:rPr>
        <w:t xml:space="preserve">, </w:t>
      </w:r>
      <w:r w:rsidR="00E40BE0">
        <w:rPr>
          <w:szCs w:val="20"/>
          <w:lang w:val="en-GB"/>
        </w:rPr>
        <w:t>this involves</w:t>
      </w:r>
      <w:r w:rsidRPr="00B64EEC">
        <w:rPr>
          <w:szCs w:val="20"/>
          <w:lang w:val="en-GB"/>
        </w:rPr>
        <w:t xml:space="preserve"> the reference RA us</w:t>
      </w:r>
      <w:r w:rsidR="00E40BE0">
        <w:rPr>
          <w:szCs w:val="20"/>
          <w:lang w:val="en-GB"/>
        </w:rPr>
        <w:t>ing</w:t>
      </w:r>
      <w:r w:rsidRPr="00B64EEC">
        <w:rPr>
          <w:szCs w:val="20"/>
          <w:lang w:val="en-GB"/>
        </w:rPr>
        <w:t xml:space="preserve"> </w:t>
      </w:r>
      <w:r w:rsidRPr="007A5E1C">
        <w:rPr>
          <w:szCs w:val="20"/>
        </w:rPr>
        <w:t xml:space="preserve">standards and requirements that satisfy requirements in your jurisdiction. </w:t>
      </w:r>
    </w:p>
    <w:p w14:paraId="09CF6E5C" w14:textId="77777777" w:rsidR="000F75CC" w:rsidRDefault="000F75CC" w:rsidP="007A5E1C">
      <w:pPr>
        <w:spacing w:after="0"/>
        <w:jc w:val="both"/>
        <w:rPr>
          <w:szCs w:val="20"/>
        </w:rPr>
      </w:pPr>
      <w:r w:rsidRPr="007A5E1C">
        <w:rPr>
          <w:szCs w:val="20"/>
        </w:rPr>
        <w:t xml:space="preserve">Recognition-based reliance includes unilateral or bi/multilateral (mutual) recognition. For mutual recognition, a formal agreement among involved parties is </w:t>
      </w:r>
      <w:r w:rsidRPr="00AF07B1">
        <w:rPr>
          <w:szCs w:val="20"/>
        </w:rPr>
        <w:t>not always required but may be necessary in certain circumstances</w:t>
      </w:r>
      <w:r w:rsidRPr="007A5E1C">
        <w:rPr>
          <w:szCs w:val="20"/>
        </w:rPr>
        <w:t>.</w:t>
      </w:r>
    </w:p>
    <w:p w14:paraId="69C60983" w14:textId="77777777" w:rsidR="002348AD" w:rsidRDefault="002348AD" w:rsidP="007A5E1C">
      <w:pPr>
        <w:spacing w:after="0"/>
        <w:jc w:val="both"/>
        <w:rPr>
          <w:szCs w:val="20"/>
        </w:rPr>
      </w:pPr>
    </w:p>
    <w:p w14:paraId="7E89EDE0" w14:textId="2FFD3156" w:rsidR="00DB1617" w:rsidRPr="00E64ECF" w:rsidRDefault="00DB1617" w:rsidP="00594273">
      <w:pPr>
        <w:pStyle w:val="NormalNumbered"/>
        <w:pBdr>
          <w:top w:val="single" w:sz="4" w:space="1" w:color="auto"/>
          <w:left w:val="single" w:sz="4" w:space="4" w:color="auto"/>
          <w:bottom w:val="single" w:sz="4" w:space="1" w:color="auto"/>
          <w:right w:val="single" w:sz="4" w:space="4" w:color="auto"/>
        </w:pBdr>
        <w:ind w:left="360" w:right="87"/>
        <w:jc w:val="both"/>
        <w:rPr>
          <w:noProof/>
        </w:rPr>
      </w:pPr>
      <w:r w:rsidRPr="003C4AA3">
        <w:rPr>
          <w:b/>
          <w:bCs/>
          <w:noProof/>
        </w:rPr>
        <w:t>Example</w:t>
      </w:r>
      <w:r w:rsidR="003712E3">
        <w:rPr>
          <w:b/>
          <w:bCs/>
          <w:noProof/>
        </w:rPr>
        <w:t xml:space="preserve"> 1</w:t>
      </w:r>
      <w:r w:rsidRPr="00714E6F">
        <w:rPr>
          <w:noProof/>
        </w:rPr>
        <w:t xml:space="preserve">: </w:t>
      </w:r>
      <w:r>
        <w:rPr>
          <w:color w:val="000000"/>
        </w:rPr>
        <w:t>The Therapeutic Goods Administration (TGA) in Australia has implemented two recognition-based reliance frameworks.</w:t>
      </w:r>
      <w:r w:rsidR="00E64ECF">
        <w:rPr>
          <w:color w:val="000000"/>
        </w:rPr>
        <w:t xml:space="preserve"> </w:t>
      </w:r>
      <w:r>
        <w:rPr>
          <w:color w:val="000000"/>
        </w:rPr>
        <w:t xml:space="preserve">One framework involves recognizing decisions made by a list of </w:t>
      </w:r>
      <w:r w:rsidR="00FA50B9">
        <w:rPr>
          <w:color w:val="000000"/>
        </w:rPr>
        <w:t>reference</w:t>
      </w:r>
      <w:r>
        <w:rPr>
          <w:color w:val="000000"/>
        </w:rPr>
        <w:t xml:space="preserve"> </w:t>
      </w:r>
      <w:r w:rsidR="008475A7">
        <w:rPr>
          <w:color w:val="000000"/>
        </w:rPr>
        <w:t>RAs</w:t>
      </w:r>
      <w:r>
        <w:rPr>
          <w:color w:val="000000"/>
        </w:rPr>
        <w:t xml:space="preserve"> identified in Australian law, taking into consideration the comparability of the regulatory framework, life cycle approach and post-market vigilance, expertise, cooperation, and membership in IMDRF. It allows TGA to use marketing authorization evidence from these </w:t>
      </w:r>
      <w:r w:rsidR="00FA50B9">
        <w:rPr>
          <w:color w:val="000000"/>
        </w:rPr>
        <w:t>authorities</w:t>
      </w:r>
      <w:r>
        <w:rPr>
          <w:color w:val="000000"/>
        </w:rPr>
        <w:t xml:space="preserve"> in support of applications for inclusion of medical devices in the Australian Register of Therapeutic Goods before supplying them in Australia.</w:t>
      </w:r>
      <w:r w:rsidR="00E64ECF">
        <w:rPr>
          <w:color w:val="000000"/>
        </w:rPr>
        <w:t xml:space="preserve"> </w:t>
      </w:r>
      <w:r>
        <w:rPr>
          <w:color w:val="000000"/>
        </w:rPr>
        <w:t xml:space="preserve">Some aspects of the recognition process, including the required approval evidence and documentation issued by the </w:t>
      </w:r>
      <w:r w:rsidR="001F4A79">
        <w:rPr>
          <w:color w:val="000000"/>
        </w:rPr>
        <w:t>reference authority</w:t>
      </w:r>
      <w:r>
        <w:rPr>
          <w:color w:val="000000"/>
        </w:rPr>
        <w:t xml:space="preserve"> and the need for TGA to audit specific applications, depend on factors such as the category, classification, and technological aspects of the medical device or their </w:t>
      </w:r>
      <w:r w:rsidR="00F01B82">
        <w:rPr>
          <w:color w:val="000000"/>
        </w:rPr>
        <w:t>post</w:t>
      </w:r>
      <w:r w:rsidR="004F4BDC">
        <w:rPr>
          <w:color w:val="000000"/>
        </w:rPr>
        <w:t>-</w:t>
      </w:r>
      <w:r w:rsidR="00F01B82">
        <w:rPr>
          <w:color w:val="000000"/>
        </w:rPr>
        <w:t>market surveillance data</w:t>
      </w:r>
      <w:r>
        <w:rPr>
          <w:color w:val="000000"/>
        </w:rPr>
        <w:t xml:space="preserve"> in other countries. However, all medical devices going through this process are still required to meet TGA’s existing regulatory requirements for safety, quality, and performance regardless of the overseas </w:t>
      </w:r>
      <w:r w:rsidRPr="00E64ECF">
        <w:rPr>
          <w:noProof/>
        </w:rPr>
        <w:t>evidence provided.</w:t>
      </w:r>
    </w:p>
    <w:p w14:paraId="55810A6A" w14:textId="0A73186B" w:rsidR="008C30E3" w:rsidRDefault="00DB1617" w:rsidP="00594273">
      <w:pPr>
        <w:pStyle w:val="NormalNumbered"/>
        <w:pBdr>
          <w:top w:val="single" w:sz="4" w:space="1" w:color="auto"/>
          <w:left w:val="single" w:sz="4" w:space="4" w:color="auto"/>
          <w:bottom w:val="single" w:sz="4" w:space="1" w:color="auto"/>
          <w:right w:val="single" w:sz="4" w:space="4" w:color="auto"/>
        </w:pBdr>
        <w:ind w:left="360" w:right="87"/>
        <w:jc w:val="both"/>
        <w:rPr>
          <w:noProof/>
          <w:lang w:val="it-IT"/>
        </w:rPr>
      </w:pPr>
      <w:r>
        <w:rPr>
          <w:noProof/>
        </w:rPr>
        <w:t>In addition</w:t>
      </w:r>
      <w:r>
        <w:t>, Australia and the United Kingdom (UK) have a Mutual Recognition Agreement that provides conformity assessment services between the Government</w:t>
      </w:r>
      <w:r w:rsidR="00AF7EBA">
        <w:t>s</w:t>
      </w:r>
      <w:r>
        <w:t xml:space="preserve"> of the UK and Australia.</w:t>
      </w:r>
      <w:r w:rsidR="00E64ECF">
        <w:t xml:space="preserve"> </w:t>
      </w:r>
      <w:r>
        <w:t xml:space="preserve">This agreement allows the UK to recognize </w:t>
      </w:r>
      <w:r w:rsidR="007753C6">
        <w:t>some</w:t>
      </w:r>
      <w:r>
        <w:t xml:space="preserve"> Certificate</w:t>
      </w:r>
      <w:r w:rsidR="007753C6">
        <w:t>s</w:t>
      </w:r>
      <w:r>
        <w:t xml:space="preserve"> of Conformity issued by TGA to Australian manufacturers under the UK Medical Device</w:t>
      </w:r>
      <w:r w:rsidR="00390E09">
        <w:t>s</w:t>
      </w:r>
      <w:r>
        <w:t xml:space="preserve"> Regulation</w:t>
      </w:r>
      <w:r w:rsidR="009C41F8">
        <w:t>s</w:t>
      </w:r>
      <w:r>
        <w:t xml:space="preserve"> </w:t>
      </w:r>
      <w:r w:rsidRPr="00DB1617">
        <w:t>2002 without further review</w:t>
      </w:r>
      <w:r>
        <w:t>.</w:t>
      </w:r>
      <w:r w:rsidR="00E64ECF">
        <w:t xml:space="preserve"> </w:t>
      </w:r>
      <w:r>
        <w:t xml:space="preserve">The agreement also allows TGA to recognize </w:t>
      </w:r>
      <w:r w:rsidR="007753C6">
        <w:t xml:space="preserve">some </w:t>
      </w:r>
      <w:r>
        <w:t>certificates issued by a UK Market Conformity Assessment Body (UKMCAB)</w:t>
      </w:r>
      <w:r w:rsidR="007753C6">
        <w:t>.</w:t>
      </w:r>
    </w:p>
    <w:p w14:paraId="772E7E5E" w14:textId="77777777" w:rsidR="006777AF" w:rsidRDefault="006777AF" w:rsidP="006777AF">
      <w:pPr>
        <w:shd w:val="clear" w:color="auto" w:fill="FFFFFF"/>
        <w:spacing w:before="0" w:after="0"/>
        <w:ind w:left="720"/>
        <w:rPr>
          <w:noProof/>
        </w:rPr>
      </w:pPr>
    </w:p>
    <w:p w14:paraId="73C0031F" w14:textId="51431423" w:rsidR="00333465" w:rsidRPr="00F30754" w:rsidRDefault="006777AF" w:rsidP="00783DFA">
      <w:pPr>
        <w:pStyle w:val="NormalNumbered"/>
        <w:pBdr>
          <w:top w:val="single" w:sz="4" w:space="1" w:color="auto"/>
          <w:left w:val="single" w:sz="4" w:space="4" w:color="auto"/>
          <w:bottom w:val="single" w:sz="4" w:space="1" w:color="auto"/>
          <w:right w:val="single" w:sz="4" w:space="4" w:color="auto"/>
        </w:pBdr>
        <w:ind w:left="360" w:right="87"/>
        <w:jc w:val="both"/>
        <w:rPr>
          <w:noProof/>
          <w:lang w:val="en-GB"/>
        </w:rPr>
      </w:pPr>
      <w:r w:rsidRPr="006777AF">
        <w:rPr>
          <w:b/>
          <w:bCs/>
        </w:rPr>
        <w:t>Example 2:</w:t>
      </w:r>
      <w:r w:rsidRPr="006777AF">
        <w:t xml:space="preserve"> Europe has established a legal framework for a single market for goods including medical devices, where the Member States’ EU authorities mutually rely on the activities of the other Member States’ authorities and of notified bodies designated by Member States following joint assessments. Medical devices bearing the CE marking can be lawfully placed on the market in any of the 27 EU Member States, additional countries of the European Economic Area, and other countries with which there are valid agreements (e.g., Mutual Recognition Agreements or Customs Union Agreements).</w:t>
      </w:r>
    </w:p>
    <w:p w14:paraId="7C922DEE" w14:textId="1B4E351E" w:rsidR="00333465" w:rsidRDefault="00333465" w:rsidP="002348AD">
      <w:pPr>
        <w:pStyle w:val="Heading1"/>
        <w:spacing w:after="480"/>
        <w:rPr>
          <w:noProof/>
          <w:lang w:val="it-IT"/>
        </w:rPr>
      </w:pPr>
      <w:bookmarkStart w:id="58" w:name="_Considerations_Prior_to"/>
      <w:bookmarkStart w:id="59" w:name="_Toc213265632"/>
      <w:bookmarkEnd w:id="58"/>
      <w:r>
        <w:rPr>
          <w:noProof/>
          <w:lang w:val="it-IT"/>
        </w:rPr>
        <w:t>C</w:t>
      </w:r>
      <w:r w:rsidR="00BA1B2E">
        <w:rPr>
          <w:noProof/>
          <w:lang w:val="it-IT"/>
        </w:rPr>
        <w:t xml:space="preserve">onsiderations </w:t>
      </w:r>
      <w:r w:rsidR="007636AF">
        <w:rPr>
          <w:noProof/>
          <w:lang w:val="it-IT"/>
        </w:rPr>
        <w:t>Prior to</w:t>
      </w:r>
      <w:r w:rsidR="00BA1B2E">
        <w:rPr>
          <w:noProof/>
          <w:lang w:val="it-IT"/>
        </w:rPr>
        <w:t xml:space="preserve"> Developing a Reliance Program</w:t>
      </w:r>
      <w:bookmarkEnd w:id="59"/>
    </w:p>
    <w:p w14:paraId="60022181" w14:textId="6E61F2CD" w:rsidR="00BA1B2E" w:rsidRDefault="004063D7" w:rsidP="002348AD">
      <w:pPr>
        <w:pStyle w:val="Heading2"/>
        <w:spacing w:before="120"/>
      </w:pPr>
      <w:bookmarkStart w:id="60" w:name="_Toc213265633"/>
      <w:r>
        <w:t>I</w:t>
      </w:r>
      <w:r w:rsidR="00967F7A">
        <w:t>ntroduction</w:t>
      </w:r>
      <w:bookmarkEnd w:id="60"/>
    </w:p>
    <w:p w14:paraId="3AAE574F" w14:textId="16DFD639" w:rsidR="00FD5157" w:rsidRPr="0073558D" w:rsidRDefault="00FD5157" w:rsidP="00FD5157">
      <w:pPr>
        <w:jc w:val="both"/>
        <w:rPr>
          <w:szCs w:val="20"/>
        </w:rPr>
      </w:pPr>
      <w:r w:rsidRPr="0073558D">
        <w:rPr>
          <w:szCs w:val="20"/>
        </w:rPr>
        <w:t>You can decide to develop a reliance program at any stage of your organi</w:t>
      </w:r>
      <w:r w:rsidR="006B5F33">
        <w:rPr>
          <w:szCs w:val="20"/>
        </w:rPr>
        <w:t>z</w:t>
      </w:r>
      <w:r w:rsidRPr="0073558D">
        <w:rPr>
          <w:szCs w:val="20"/>
        </w:rPr>
        <w:t>ation's development.</w:t>
      </w:r>
    </w:p>
    <w:p w14:paraId="0A7FCBFE" w14:textId="77777777" w:rsidR="00377EB3" w:rsidRPr="007E5F61" w:rsidRDefault="00377EB3" w:rsidP="00B9474B">
      <w:pPr>
        <w:spacing w:after="0"/>
        <w:jc w:val="both"/>
        <w:rPr>
          <w:szCs w:val="20"/>
          <w:lang w:val="en-GB"/>
        </w:rPr>
      </w:pPr>
      <w:r w:rsidRPr="007E5F61">
        <w:rPr>
          <w:szCs w:val="20"/>
          <w:lang w:val="en-GB"/>
        </w:rPr>
        <w:t>Before starting to develop a reliance program, you should</w:t>
      </w:r>
      <w:r>
        <w:rPr>
          <w:szCs w:val="20"/>
          <w:lang w:val="en-GB"/>
        </w:rPr>
        <w:t xml:space="preserve"> assess</w:t>
      </w:r>
      <w:r w:rsidRPr="007E5F61">
        <w:rPr>
          <w:szCs w:val="20"/>
          <w:lang w:val="en-GB"/>
        </w:rPr>
        <w:t>:</w:t>
      </w:r>
    </w:p>
    <w:p w14:paraId="63C18DFD" w14:textId="77777777" w:rsidR="00377EB3" w:rsidRPr="00783DFA" w:rsidRDefault="00377EB3" w:rsidP="00783DFA">
      <w:pPr>
        <w:pStyle w:val="NormalNumbered"/>
        <w:numPr>
          <w:ilvl w:val="0"/>
          <w:numId w:val="35"/>
        </w:numPr>
        <w:ind w:left="288" w:hanging="288"/>
        <w:jc w:val="both"/>
        <w:rPr>
          <w:noProof/>
          <w:szCs w:val="20"/>
        </w:rPr>
      </w:pPr>
      <w:r w:rsidRPr="00783DFA">
        <w:rPr>
          <w:noProof/>
          <w:szCs w:val="20"/>
        </w:rPr>
        <w:t>your specific needs</w:t>
      </w:r>
    </w:p>
    <w:p w14:paraId="1370FE07" w14:textId="77777777" w:rsidR="00377EB3" w:rsidRPr="00783DFA" w:rsidRDefault="00377EB3" w:rsidP="00783DFA">
      <w:pPr>
        <w:pStyle w:val="NormalNumbered"/>
        <w:numPr>
          <w:ilvl w:val="0"/>
          <w:numId w:val="35"/>
        </w:numPr>
        <w:ind w:left="288" w:hanging="288"/>
        <w:jc w:val="both"/>
        <w:rPr>
          <w:noProof/>
          <w:szCs w:val="20"/>
        </w:rPr>
      </w:pPr>
      <w:r w:rsidRPr="007E5F61">
        <w:rPr>
          <w:noProof/>
          <w:szCs w:val="20"/>
        </w:rPr>
        <w:t xml:space="preserve">if your environment is ready to support it </w:t>
      </w:r>
    </w:p>
    <w:p w14:paraId="70CE0138" w14:textId="718C2C14" w:rsidR="00377EB3" w:rsidRPr="00783DFA" w:rsidRDefault="00377EB3" w:rsidP="00783DFA">
      <w:pPr>
        <w:pStyle w:val="NormalNumbered"/>
        <w:numPr>
          <w:ilvl w:val="0"/>
          <w:numId w:val="35"/>
        </w:numPr>
        <w:ind w:left="288" w:hanging="288"/>
        <w:jc w:val="both"/>
        <w:rPr>
          <w:noProof/>
          <w:szCs w:val="20"/>
        </w:rPr>
      </w:pPr>
      <w:r w:rsidRPr="00783DFA">
        <w:rPr>
          <w:noProof/>
          <w:szCs w:val="20"/>
        </w:rPr>
        <w:t xml:space="preserve">your operating circumstances, including aspects beyond your control </w:t>
      </w:r>
      <w:r w:rsidR="00307B5B" w:rsidRPr="00783DFA">
        <w:rPr>
          <w:noProof/>
          <w:szCs w:val="20"/>
        </w:rPr>
        <w:t>such as</w:t>
      </w:r>
      <w:r w:rsidRPr="00783DFA">
        <w:rPr>
          <w:noProof/>
          <w:szCs w:val="20"/>
        </w:rPr>
        <w:t xml:space="preserve"> other laws in your jurisdiction</w:t>
      </w:r>
    </w:p>
    <w:p w14:paraId="2A11C7C4" w14:textId="77777777" w:rsidR="00377EB3" w:rsidRPr="00E46ECD" w:rsidRDefault="00377EB3" w:rsidP="00377EB3">
      <w:pPr>
        <w:jc w:val="both"/>
        <w:rPr>
          <w:szCs w:val="20"/>
          <w:lang w:val="en-GB"/>
        </w:rPr>
      </w:pPr>
      <w:r w:rsidRPr="00E46ECD">
        <w:rPr>
          <w:szCs w:val="20"/>
          <w:lang w:val="en-GB"/>
        </w:rPr>
        <w:t>This assessment helps you understand</w:t>
      </w:r>
      <w:r>
        <w:rPr>
          <w:szCs w:val="20"/>
          <w:lang w:val="en-GB"/>
        </w:rPr>
        <w:t>:</w:t>
      </w:r>
      <w:r w:rsidRPr="00E46ECD">
        <w:rPr>
          <w:szCs w:val="20"/>
          <w:lang w:val="en-GB"/>
        </w:rPr>
        <w:t xml:space="preserve"> </w:t>
      </w:r>
    </w:p>
    <w:p w14:paraId="07297EF3" w14:textId="77777777" w:rsidR="00377EB3" w:rsidRPr="00E46ECD" w:rsidRDefault="00377EB3" w:rsidP="00783DFA">
      <w:pPr>
        <w:pStyle w:val="NormalNumbered"/>
        <w:numPr>
          <w:ilvl w:val="0"/>
          <w:numId w:val="35"/>
        </w:numPr>
        <w:ind w:left="288" w:hanging="288"/>
        <w:jc w:val="both"/>
        <w:rPr>
          <w:noProof/>
          <w:szCs w:val="20"/>
        </w:rPr>
      </w:pPr>
      <w:r w:rsidRPr="00E46ECD">
        <w:rPr>
          <w:noProof/>
          <w:szCs w:val="20"/>
        </w:rPr>
        <w:t>the possibilities and limitations of your reliance program</w:t>
      </w:r>
    </w:p>
    <w:p w14:paraId="5DF7F476" w14:textId="77777777" w:rsidR="00377EB3" w:rsidRPr="00E46ECD" w:rsidRDefault="00377EB3" w:rsidP="00783DFA">
      <w:pPr>
        <w:pStyle w:val="NormalNumbered"/>
        <w:numPr>
          <w:ilvl w:val="0"/>
          <w:numId w:val="35"/>
        </w:numPr>
        <w:ind w:left="288" w:hanging="288"/>
        <w:jc w:val="both"/>
        <w:rPr>
          <w:noProof/>
          <w:szCs w:val="20"/>
        </w:rPr>
      </w:pPr>
      <w:r>
        <w:rPr>
          <w:noProof/>
          <w:szCs w:val="20"/>
        </w:rPr>
        <w:t>w</w:t>
      </w:r>
      <w:r w:rsidRPr="00E46ECD">
        <w:rPr>
          <w:noProof/>
          <w:szCs w:val="20"/>
        </w:rPr>
        <w:t xml:space="preserve">here to focus your efforts </w:t>
      </w:r>
    </w:p>
    <w:p w14:paraId="0C6A37F3" w14:textId="2983F6AD" w:rsidR="00377EB3" w:rsidRDefault="00377EB3" w:rsidP="00377EB3">
      <w:pPr>
        <w:jc w:val="both"/>
        <w:rPr>
          <w:szCs w:val="20"/>
        </w:rPr>
      </w:pPr>
      <w:r w:rsidRPr="0028183C">
        <w:rPr>
          <w:szCs w:val="20"/>
        </w:rPr>
        <w:t xml:space="preserve">While </w:t>
      </w:r>
      <w:r w:rsidR="005F6DF5">
        <w:rPr>
          <w:szCs w:val="20"/>
        </w:rPr>
        <w:t>some</w:t>
      </w:r>
      <w:r w:rsidRPr="0028183C">
        <w:rPr>
          <w:szCs w:val="20"/>
        </w:rPr>
        <w:t xml:space="preserve"> factors </w:t>
      </w:r>
      <w:r w:rsidR="003E2C20">
        <w:rPr>
          <w:szCs w:val="20"/>
        </w:rPr>
        <w:t xml:space="preserve">may be </w:t>
      </w:r>
      <w:r>
        <w:rPr>
          <w:szCs w:val="20"/>
        </w:rPr>
        <w:t xml:space="preserve">beyond </w:t>
      </w:r>
      <w:r w:rsidRPr="0028183C">
        <w:rPr>
          <w:szCs w:val="20"/>
        </w:rPr>
        <w:t xml:space="preserve">your direct </w:t>
      </w:r>
      <w:r w:rsidRPr="0073558D">
        <w:rPr>
          <w:szCs w:val="20"/>
        </w:rPr>
        <w:t>responsibility</w:t>
      </w:r>
      <w:r w:rsidRPr="0028183C">
        <w:rPr>
          <w:szCs w:val="20"/>
        </w:rPr>
        <w:t>, you can still advance reliance by working with key governmental partners where necessary.</w:t>
      </w:r>
    </w:p>
    <w:p w14:paraId="61F11A06" w14:textId="469B049E" w:rsidR="00377EB3" w:rsidRDefault="00377EB3" w:rsidP="00377EB3">
      <w:pPr>
        <w:jc w:val="both"/>
        <w:rPr>
          <w:b/>
          <w:bCs/>
          <w:i/>
          <w:iCs/>
          <w:szCs w:val="20"/>
        </w:rPr>
      </w:pPr>
      <w:r w:rsidRPr="009F79FD">
        <w:rPr>
          <w:szCs w:val="20"/>
        </w:rPr>
        <w:t>This section outlines considerations you should typically explore</w:t>
      </w:r>
      <w:r w:rsidRPr="0028183C">
        <w:rPr>
          <w:szCs w:val="20"/>
        </w:rPr>
        <w:t xml:space="preserve">. Keep your program goals in mind as you work through these considerations. They apply to any type of reliance program, </w:t>
      </w:r>
      <w:r w:rsidR="003E2C20">
        <w:rPr>
          <w:szCs w:val="20"/>
        </w:rPr>
        <w:t>al</w:t>
      </w:r>
      <w:r w:rsidRPr="0028183C">
        <w:rPr>
          <w:szCs w:val="20"/>
        </w:rPr>
        <w:t xml:space="preserve">though </w:t>
      </w:r>
      <w:r w:rsidR="003E2C20">
        <w:rPr>
          <w:szCs w:val="20"/>
        </w:rPr>
        <w:t>there may be</w:t>
      </w:r>
      <w:r w:rsidRPr="0028183C">
        <w:rPr>
          <w:szCs w:val="20"/>
        </w:rPr>
        <w:t xml:space="preserve"> add</w:t>
      </w:r>
      <w:r>
        <w:rPr>
          <w:szCs w:val="20"/>
        </w:rPr>
        <w:t>itional</w:t>
      </w:r>
      <w:r w:rsidRPr="0028183C">
        <w:rPr>
          <w:szCs w:val="20"/>
        </w:rPr>
        <w:t xml:space="preserve"> considerations for your </w:t>
      </w:r>
      <w:r>
        <w:rPr>
          <w:szCs w:val="20"/>
        </w:rPr>
        <w:t xml:space="preserve">specific </w:t>
      </w:r>
      <w:r w:rsidRPr="0028183C">
        <w:rPr>
          <w:szCs w:val="20"/>
        </w:rPr>
        <w:t>situation.</w:t>
      </w:r>
    </w:p>
    <w:p w14:paraId="79805395" w14:textId="440CFCF6" w:rsidR="00377EB3" w:rsidRDefault="00377EB3" w:rsidP="002348AD">
      <w:pPr>
        <w:spacing w:after="0"/>
        <w:jc w:val="both"/>
        <w:rPr>
          <w:szCs w:val="20"/>
        </w:rPr>
      </w:pPr>
      <w:r w:rsidRPr="009F79FD">
        <w:rPr>
          <w:szCs w:val="20"/>
        </w:rPr>
        <w:t>You may also benefit from revisiting these considerations as you develop your program, to determine whether your environment for reliance has changed in ways that warrant adjustments to your strategy or scope</w:t>
      </w:r>
      <w:r>
        <w:rPr>
          <w:szCs w:val="20"/>
        </w:rPr>
        <w:t>.</w:t>
      </w:r>
    </w:p>
    <w:p w14:paraId="78524517" w14:textId="77777777" w:rsidR="00E0327A" w:rsidRDefault="00E0327A" w:rsidP="002348AD">
      <w:pPr>
        <w:spacing w:before="0" w:after="0"/>
        <w:jc w:val="both"/>
        <w:rPr>
          <w:szCs w:val="20"/>
        </w:rPr>
      </w:pPr>
    </w:p>
    <w:p w14:paraId="7DC71A54" w14:textId="489C392E" w:rsidR="00CB4720" w:rsidRDefault="00CB4720" w:rsidP="002348AD">
      <w:pPr>
        <w:pStyle w:val="Heading2"/>
        <w:spacing w:before="120"/>
      </w:pPr>
      <w:bookmarkStart w:id="61" w:name="_Toc213265634"/>
      <w:r>
        <w:t>Research</w:t>
      </w:r>
      <w:r w:rsidR="00F361D7">
        <w:t>ing</w:t>
      </w:r>
      <w:r>
        <w:t xml:space="preserve"> existing and planned reliance programs</w:t>
      </w:r>
      <w:bookmarkEnd w:id="61"/>
    </w:p>
    <w:p w14:paraId="33AAA34E" w14:textId="77777777" w:rsidR="00F8344D" w:rsidRPr="00447EA4" w:rsidRDefault="00F8344D" w:rsidP="00F8344D">
      <w:pPr>
        <w:jc w:val="both"/>
        <w:rPr>
          <w:szCs w:val="20"/>
          <w:lang w:val="en-GB"/>
        </w:rPr>
      </w:pPr>
      <w:r w:rsidRPr="00447EA4">
        <w:rPr>
          <w:szCs w:val="20"/>
          <w:lang w:val="en-GB"/>
        </w:rPr>
        <w:t>Before developing your program, consider reviewing how other RAs approached reliance</w:t>
      </w:r>
      <w:r>
        <w:rPr>
          <w:szCs w:val="20"/>
          <w:lang w:val="en-GB"/>
        </w:rPr>
        <w:t xml:space="preserve">, </w:t>
      </w:r>
      <w:r w:rsidRPr="00447EA4">
        <w:rPr>
          <w:szCs w:val="20"/>
          <w:lang w:val="en-GB"/>
        </w:rPr>
        <w:t>particularly if they:</w:t>
      </w:r>
    </w:p>
    <w:p w14:paraId="3447A455" w14:textId="77777777" w:rsidR="00F8344D" w:rsidRPr="00783DFA" w:rsidRDefault="00F8344D" w:rsidP="00783DFA">
      <w:pPr>
        <w:pStyle w:val="NormalNumbered"/>
        <w:numPr>
          <w:ilvl w:val="0"/>
          <w:numId w:val="35"/>
        </w:numPr>
        <w:ind w:left="288" w:hanging="288"/>
        <w:jc w:val="both"/>
        <w:rPr>
          <w:noProof/>
          <w:szCs w:val="20"/>
        </w:rPr>
      </w:pPr>
      <w:r w:rsidRPr="00783DFA">
        <w:rPr>
          <w:noProof/>
          <w:szCs w:val="20"/>
        </w:rPr>
        <w:t>are geographically close to you, or</w:t>
      </w:r>
    </w:p>
    <w:p w14:paraId="3B7815D0" w14:textId="77777777" w:rsidR="00F8344D" w:rsidRPr="00783DFA" w:rsidRDefault="00F8344D" w:rsidP="00783DFA">
      <w:pPr>
        <w:pStyle w:val="NormalNumbered"/>
        <w:numPr>
          <w:ilvl w:val="0"/>
          <w:numId w:val="35"/>
        </w:numPr>
        <w:ind w:left="288" w:hanging="288"/>
        <w:jc w:val="both"/>
        <w:rPr>
          <w:noProof/>
          <w:szCs w:val="20"/>
        </w:rPr>
      </w:pPr>
      <w:r w:rsidRPr="00783DFA">
        <w:rPr>
          <w:noProof/>
          <w:szCs w:val="20"/>
        </w:rPr>
        <w:t>have similar regulatory frameworks</w:t>
      </w:r>
    </w:p>
    <w:p w14:paraId="074287DA" w14:textId="77777777" w:rsidR="00F8344D" w:rsidRPr="00447EA4" w:rsidRDefault="00F8344D" w:rsidP="00F8344D">
      <w:pPr>
        <w:jc w:val="both"/>
        <w:rPr>
          <w:szCs w:val="20"/>
          <w:lang w:val="en-GB"/>
        </w:rPr>
      </w:pPr>
      <w:r w:rsidRPr="00447EA4">
        <w:rPr>
          <w:szCs w:val="20"/>
          <w:lang w:val="en-GB"/>
        </w:rPr>
        <w:t xml:space="preserve">Other RAs </w:t>
      </w:r>
      <w:r>
        <w:rPr>
          <w:szCs w:val="20"/>
          <w:lang w:val="en-GB"/>
        </w:rPr>
        <w:t xml:space="preserve">have </w:t>
      </w:r>
      <w:r w:rsidRPr="00447EA4">
        <w:rPr>
          <w:szCs w:val="20"/>
          <w:lang w:val="en-GB"/>
        </w:rPr>
        <w:t>likely faced similar challenges</w:t>
      </w:r>
      <w:r>
        <w:rPr>
          <w:szCs w:val="20"/>
          <w:lang w:val="en-GB"/>
        </w:rPr>
        <w:t xml:space="preserve">. </w:t>
      </w:r>
      <w:r w:rsidRPr="00447EA4">
        <w:rPr>
          <w:szCs w:val="20"/>
          <w:lang w:val="en-GB"/>
        </w:rPr>
        <w:t>Discussing challenges and solutions with other</w:t>
      </w:r>
      <w:r>
        <w:rPr>
          <w:szCs w:val="20"/>
          <w:lang w:val="en-GB"/>
        </w:rPr>
        <w:t>s</w:t>
      </w:r>
      <w:r w:rsidRPr="00447EA4">
        <w:rPr>
          <w:szCs w:val="20"/>
          <w:lang w:val="en-GB"/>
        </w:rPr>
        <w:t xml:space="preserve"> might:</w:t>
      </w:r>
    </w:p>
    <w:p w14:paraId="1E6268A0" w14:textId="77777777" w:rsidR="00F8344D" w:rsidRPr="00783DFA" w:rsidRDefault="00F8344D" w:rsidP="00783DFA">
      <w:pPr>
        <w:pStyle w:val="NormalNumbered"/>
        <w:numPr>
          <w:ilvl w:val="0"/>
          <w:numId w:val="35"/>
        </w:numPr>
        <w:ind w:left="288" w:hanging="288"/>
        <w:jc w:val="both"/>
        <w:rPr>
          <w:noProof/>
          <w:szCs w:val="20"/>
        </w:rPr>
      </w:pPr>
      <w:r w:rsidRPr="00783DFA">
        <w:rPr>
          <w:noProof/>
          <w:szCs w:val="20"/>
        </w:rPr>
        <w:t>help align regulatory approaches</w:t>
      </w:r>
    </w:p>
    <w:p w14:paraId="40547EF8" w14:textId="77777777" w:rsidR="00F8344D" w:rsidRPr="00783DFA" w:rsidRDefault="00F8344D" w:rsidP="00783DFA">
      <w:pPr>
        <w:pStyle w:val="NormalNumbered"/>
        <w:numPr>
          <w:ilvl w:val="0"/>
          <w:numId w:val="35"/>
        </w:numPr>
        <w:ind w:left="288" w:hanging="288"/>
        <w:jc w:val="both"/>
        <w:rPr>
          <w:noProof/>
          <w:szCs w:val="20"/>
        </w:rPr>
      </w:pPr>
      <w:r w:rsidRPr="00783DFA">
        <w:rPr>
          <w:noProof/>
          <w:szCs w:val="20"/>
        </w:rPr>
        <w:t>provide mutual learning from each other’s experiences</w:t>
      </w:r>
    </w:p>
    <w:p w14:paraId="720168B3" w14:textId="0F8FB3DF" w:rsidR="00CB4720" w:rsidRDefault="00F8344D" w:rsidP="00F8344D">
      <w:pPr>
        <w:jc w:val="both"/>
        <w:rPr>
          <w:szCs w:val="20"/>
        </w:rPr>
      </w:pPr>
      <w:r w:rsidRPr="00447EA4">
        <w:rPr>
          <w:szCs w:val="20"/>
        </w:rPr>
        <w:t xml:space="preserve">However, the absence of </w:t>
      </w:r>
      <w:r w:rsidR="00481490">
        <w:rPr>
          <w:szCs w:val="20"/>
        </w:rPr>
        <w:t xml:space="preserve">a </w:t>
      </w:r>
      <w:r w:rsidRPr="00447EA4">
        <w:rPr>
          <w:szCs w:val="20"/>
        </w:rPr>
        <w:t xml:space="preserve">reliance program among similar </w:t>
      </w:r>
      <w:r>
        <w:rPr>
          <w:szCs w:val="20"/>
        </w:rPr>
        <w:t>RAs should not prevent you</w:t>
      </w:r>
      <w:r w:rsidRPr="00447EA4">
        <w:rPr>
          <w:szCs w:val="20"/>
        </w:rPr>
        <w:t xml:space="preserve"> from developing your own program.</w:t>
      </w:r>
    </w:p>
    <w:p w14:paraId="4A1D4C71" w14:textId="772F8015" w:rsidR="00391736" w:rsidRDefault="002B49F1" w:rsidP="00391736">
      <w:pPr>
        <w:pStyle w:val="Heading2"/>
      </w:pPr>
      <w:bookmarkStart w:id="62" w:name="_Understanding_the_legal"/>
      <w:bookmarkStart w:id="63" w:name="_Toc213265635"/>
      <w:bookmarkEnd w:id="62"/>
      <w:r>
        <w:t>Understanding the legal framework</w:t>
      </w:r>
      <w:r w:rsidR="008A37DC">
        <w:t xml:space="preserve"> for reliance</w:t>
      </w:r>
      <w:bookmarkEnd w:id="63"/>
    </w:p>
    <w:p w14:paraId="6CB92A26" w14:textId="6037B63B" w:rsidR="00A01924" w:rsidRPr="007369C0" w:rsidRDefault="00A01924" w:rsidP="00A01924">
      <w:pPr>
        <w:jc w:val="both"/>
        <w:rPr>
          <w:szCs w:val="20"/>
        </w:rPr>
      </w:pPr>
      <w:r w:rsidRPr="007369C0">
        <w:rPr>
          <w:szCs w:val="20"/>
        </w:rPr>
        <w:t>Understanding your existing</w:t>
      </w:r>
      <w:r w:rsidR="00ED0EAF">
        <w:rPr>
          <w:szCs w:val="20"/>
        </w:rPr>
        <w:t xml:space="preserve"> legal</w:t>
      </w:r>
      <w:r w:rsidRPr="007369C0">
        <w:rPr>
          <w:szCs w:val="20"/>
        </w:rPr>
        <w:t xml:space="preserve"> framework is an important first step because you </w:t>
      </w:r>
      <w:r>
        <w:rPr>
          <w:szCs w:val="20"/>
        </w:rPr>
        <w:t>often cannot e</w:t>
      </w:r>
      <w:r w:rsidRPr="007369C0">
        <w:rPr>
          <w:szCs w:val="20"/>
        </w:rPr>
        <w:t xml:space="preserve">asily or quickly influence changes to existing laws. </w:t>
      </w:r>
      <w:r>
        <w:rPr>
          <w:szCs w:val="20"/>
        </w:rPr>
        <w:t>R</w:t>
      </w:r>
      <w:r w:rsidRPr="007369C0">
        <w:rPr>
          <w:szCs w:val="20"/>
        </w:rPr>
        <w:t>eview</w:t>
      </w:r>
      <w:r>
        <w:rPr>
          <w:szCs w:val="20"/>
        </w:rPr>
        <w:t xml:space="preserve"> </w:t>
      </w:r>
      <w:r w:rsidRPr="007369C0">
        <w:rPr>
          <w:szCs w:val="20"/>
        </w:rPr>
        <w:t xml:space="preserve">your jurisdiction’s existing legal framework, including statute and common law, </w:t>
      </w:r>
      <w:r>
        <w:rPr>
          <w:szCs w:val="20"/>
        </w:rPr>
        <w:t>to determine</w:t>
      </w:r>
      <w:r w:rsidRPr="007369C0">
        <w:rPr>
          <w:szCs w:val="20"/>
        </w:rPr>
        <w:t xml:space="preserve">: </w:t>
      </w:r>
    </w:p>
    <w:p w14:paraId="1692F6EF" w14:textId="0B1164F5" w:rsidR="00A01924" w:rsidRPr="00E11B7D" w:rsidRDefault="00A01924" w:rsidP="00783DFA">
      <w:pPr>
        <w:pStyle w:val="NormalNumbered"/>
        <w:numPr>
          <w:ilvl w:val="0"/>
          <w:numId w:val="35"/>
        </w:numPr>
        <w:ind w:left="288" w:hanging="288"/>
        <w:jc w:val="both"/>
        <w:rPr>
          <w:noProof/>
          <w:szCs w:val="20"/>
        </w:rPr>
      </w:pPr>
      <w:r w:rsidRPr="00E11B7D">
        <w:rPr>
          <w:noProof/>
          <w:szCs w:val="20"/>
        </w:rPr>
        <w:t xml:space="preserve">the extent </w:t>
      </w:r>
      <w:r w:rsidR="00015B09">
        <w:rPr>
          <w:noProof/>
          <w:szCs w:val="20"/>
        </w:rPr>
        <w:t>to which</w:t>
      </w:r>
      <w:r w:rsidRPr="00E11B7D">
        <w:rPr>
          <w:noProof/>
          <w:szCs w:val="20"/>
        </w:rPr>
        <w:t xml:space="preserve"> </w:t>
      </w:r>
      <w:r w:rsidR="00CD66AD">
        <w:rPr>
          <w:noProof/>
          <w:szCs w:val="20"/>
        </w:rPr>
        <w:t xml:space="preserve">reliance </w:t>
      </w:r>
      <w:r w:rsidRPr="00E11B7D">
        <w:rPr>
          <w:noProof/>
          <w:szCs w:val="20"/>
        </w:rPr>
        <w:t>may be implemented through interpretin</w:t>
      </w:r>
      <w:r>
        <w:rPr>
          <w:noProof/>
          <w:szCs w:val="20"/>
        </w:rPr>
        <w:t>g</w:t>
      </w:r>
      <w:r w:rsidRPr="00E11B7D">
        <w:rPr>
          <w:noProof/>
          <w:szCs w:val="20"/>
        </w:rPr>
        <w:t xml:space="preserve"> existing regulations</w:t>
      </w:r>
    </w:p>
    <w:p w14:paraId="1F17DD82" w14:textId="77777777" w:rsidR="00A01924" w:rsidRPr="00E11B7D" w:rsidRDefault="00A01924" w:rsidP="00783DFA">
      <w:pPr>
        <w:pStyle w:val="NormalNumbered"/>
        <w:numPr>
          <w:ilvl w:val="0"/>
          <w:numId w:val="35"/>
        </w:numPr>
        <w:ind w:left="288" w:hanging="288"/>
        <w:jc w:val="both"/>
        <w:rPr>
          <w:noProof/>
          <w:szCs w:val="20"/>
        </w:rPr>
      </w:pPr>
      <w:r w:rsidRPr="00E11B7D">
        <w:rPr>
          <w:noProof/>
          <w:szCs w:val="20"/>
        </w:rPr>
        <w:t>if changes to legislation/regulations are required</w:t>
      </w:r>
    </w:p>
    <w:p w14:paraId="71997DEB" w14:textId="77777777" w:rsidR="00A01924" w:rsidRPr="00E11B7D" w:rsidRDefault="00A01924" w:rsidP="00783DFA">
      <w:pPr>
        <w:pStyle w:val="NormalNumbered"/>
        <w:numPr>
          <w:ilvl w:val="0"/>
          <w:numId w:val="35"/>
        </w:numPr>
        <w:ind w:left="288" w:hanging="288"/>
        <w:jc w:val="both"/>
        <w:rPr>
          <w:noProof/>
          <w:szCs w:val="20"/>
        </w:rPr>
      </w:pPr>
      <w:r w:rsidRPr="00E11B7D">
        <w:rPr>
          <w:noProof/>
          <w:szCs w:val="20"/>
        </w:rPr>
        <w:t xml:space="preserve">how </w:t>
      </w:r>
      <w:r>
        <w:rPr>
          <w:noProof/>
          <w:szCs w:val="20"/>
        </w:rPr>
        <w:t xml:space="preserve">to implement </w:t>
      </w:r>
      <w:r w:rsidRPr="00E11B7D">
        <w:rPr>
          <w:noProof/>
          <w:szCs w:val="20"/>
        </w:rPr>
        <w:t>any necessary changes</w:t>
      </w:r>
    </w:p>
    <w:p w14:paraId="68D3C233" w14:textId="77777777" w:rsidR="00A01924" w:rsidRPr="007369C0" w:rsidRDefault="00A01924" w:rsidP="00A01924">
      <w:pPr>
        <w:jc w:val="both"/>
        <w:rPr>
          <w:szCs w:val="20"/>
        </w:rPr>
      </w:pPr>
      <w:r w:rsidRPr="007369C0">
        <w:rPr>
          <w:szCs w:val="20"/>
        </w:rPr>
        <w:t>The approach discussed in WHO’s Good Reliance Practices document may help when determining whether reliance is possible:</w:t>
      </w:r>
    </w:p>
    <w:p w14:paraId="1ECE12D2" w14:textId="77777777" w:rsidR="00A01924" w:rsidRPr="007369C0" w:rsidRDefault="00A01924" w:rsidP="00A01924">
      <w:pPr>
        <w:ind w:left="567"/>
        <w:jc w:val="both"/>
        <w:rPr>
          <w:i/>
          <w:iCs/>
          <w:szCs w:val="20"/>
        </w:rPr>
      </w:pPr>
      <w:r w:rsidRPr="007369C0">
        <w:rPr>
          <w:i/>
          <w:iCs/>
          <w:szCs w:val="20"/>
        </w:rPr>
        <w:t>“When regulations do not make explicit provision for the application of reliance, it may be adopted through interpretation of existing regulations, if the legal framework does not explicitly preclude application of reliance approaches by the NRA [National Regulatory Authority]. Reliance can be implemented through policy change, as long as it is broadly consistent with national legislation. If application of reliance is prohibited, revision of the legislation should be considered within a reasonable timeframe.”</w:t>
      </w:r>
    </w:p>
    <w:p w14:paraId="4923F815" w14:textId="09D80075" w:rsidR="00A01924" w:rsidRDefault="00A01924" w:rsidP="00A01924">
      <w:pPr>
        <w:jc w:val="both"/>
        <w:rPr>
          <w:b/>
          <w:bCs/>
          <w:i/>
          <w:iCs/>
          <w:szCs w:val="20"/>
        </w:rPr>
      </w:pPr>
      <w:r w:rsidRPr="007369C0">
        <w:rPr>
          <w:szCs w:val="20"/>
        </w:rPr>
        <w:t>Ideally</w:t>
      </w:r>
      <w:r>
        <w:rPr>
          <w:szCs w:val="20"/>
        </w:rPr>
        <w:t>,</w:t>
      </w:r>
      <w:r w:rsidRPr="007369C0">
        <w:rPr>
          <w:szCs w:val="20"/>
        </w:rPr>
        <w:t xml:space="preserve"> reliance should be based on a legal framework for medical devices, not for other regulated </w:t>
      </w:r>
      <w:r>
        <w:rPr>
          <w:szCs w:val="20"/>
        </w:rPr>
        <w:t xml:space="preserve">products </w:t>
      </w:r>
      <w:r w:rsidR="00BC4456">
        <w:rPr>
          <w:szCs w:val="20"/>
        </w:rPr>
        <w:t xml:space="preserve">such as </w:t>
      </w:r>
      <w:r w:rsidRPr="007369C0">
        <w:rPr>
          <w:szCs w:val="20"/>
        </w:rPr>
        <w:t xml:space="preserve">pharmaceuticals. </w:t>
      </w:r>
      <w:r w:rsidRPr="00305408">
        <w:rPr>
          <w:szCs w:val="20"/>
        </w:rPr>
        <w:t xml:space="preserve">Legal language varies between jurisdictions, </w:t>
      </w:r>
      <w:r w:rsidR="006233FA">
        <w:rPr>
          <w:szCs w:val="20"/>
        </w:rPr>
        <w:t>which ca</w:t>
      </w:r>
      <w:r w:rsidR="00545CF9">
        <w:rPr>
          <w:szCs w:val="20"/>
        </w:rPr>
        <w:t>n</w:t>
      </w:r>
      <w:r w:rsidR="006233FA">
        <w:rPr>
          <w:szCs w:val="20"/>
        </w:rPr>
        <w:t xml:space="preserve"> </w:t>
      </w:r>
      <w:r w:rsidRPr="00305408">
        <w:rPr>
          <w:szCs w:val="20"/>
        </w:rPr>
        <w:t>mak</w:t>
      </w:r>
      <w:r w:rsidR="006233FA">
        <w:rPr>
          <w:szCs w:val="20"/>
        </w:rPr>
        <w:t>e</w:t>
      </w:r>
      <w:r w:rsidRPr="00305408">
        <w:rPr>
          <w:szCs w:val="20"/>
        </w:rPr>
        <w:t xml:space="preserve"> it difficult to identify language that </w:t>
      </w:r>
      <w:r w:rsidRPr="007369C0">
        <w:rPr>
          <w:szCs w:val="20"/>
        </w:rPr>
        <w:t>allow</w:t>
      </w:r>
      <w:r>
        <w:rPr>
          <w:szCs w:val="20"/>
        </w:rPr>
        <w:t>s</w:t>
      </w:r>
      <w:r w:rsidRPr="007369C0">
        <w:rPr>
          <w:szCs w:val="20"/>
        </w:rPr>
        <w:t xml:space="preserve"> (or prevent</w:t>
      </w:r>
      <w:r>
        <w:rPr>
          <w:szCs w:val="20"/>
        </w:rPr>
        <w:t>s</w:t>
      </w:r>
      <w:r w:rsidRPr="007369C0">
        <w:rPr>
          <w:szCs w:val="20"/>
        </w:rPr>
        <w:t>) regulatory reliance in all situations.</w:t>
      </w:r>
      <w:r>
        <w:rPr>
          <w:szCs w:val="20"/>
        </w:rPr>
        <w:t xml:space="preserve"> </w:t>
      </w:r>
      <w:r w:rsidRPr="007369C0">
        <w:rPr>
          <w:szCs w:val="20"/>
        </w:rPr>
        <w:t>If you have laws that allow you to collaborate with other institutions (such as other RAs)</w:t>
      </w:r>
      <w:r w:rsidR="00A0267E">
        <w:rPr>
          <w:szCs w:val="20"/>
        </w:rPr>
        <w:t>,</w:t>
      </w:r>
      <w:r w:rsidRPr="007369C0">
        <w:rPr>
          <w:szCs w:val="20"/>
        </w:rPr>
        <w:t xml:space="preserve"> they will potentially support reliance. </w:t>
      </w:r>
    </w:p>
    <w:p w14:paraId="1EF2A05D" w14:textId="77777777" w:rsidR="00B83376" w:rsidRDefault="00B83376" w:rsidP="00A01924">
      <w:pPr>
        <w:jc w:val="both"/>
        <w:rPr>
          <w:b/>
          <w:bCs/>
          <w:i/>
          <w:iCs/>
          <w:szCs w:val="20"/>
        </w:rPr>
      </w:pPr>
    </w:p>
    <w:p w14:paraId="7AA73229" w14:textId="77777777" w:rsidR="00B83376" w:rsidRDefault="00B83376" w:rsidP="00B83376">
      <w:pPr>
        <w:jc w:val="both"/>
        <w:rPr>
          <w:szCs w:val="20"/>
        </w:rPr>
      </w:pPr>
      <w:r w:rsidRPr="000037FD">
        <w:rPr>
          <w:b/>
          <w:bCs/>
          <w:szCs w:val="20"/>
        </w:rPr>
        <w:t>Mapping Your Options</w:t>
      </w:r>
    </w:p>
    <w:p w14:paraId="7B3C48BA" w14:textId="0A31BBDE" w:rsidR="00B83376" w:rsidRPr="007369C0" w:rsidRDefault="00B83376" w:rsidP="00B83376">
      <w:pPr>
        <w:jc w:val="both"/>
        <w:rPr>
          <w:szCs w:val="20"/>
        </w:rPr>
      </w:pPr>
      <w:r w:rsidRPr="007369C0">
        <w:rPr>
          <w:szCs w:val="20"/>
        </w:rPr>
        <w:t>Your review may identify limit</w:t>
      </w:r>
      <w:r w:rsidR="00A0267E">
        <w:rPr>
          <w:szCs w:val="20"/>
        </w:rPr>
        <w:t>ation</w:t>
      </w:r>
      <w:r w:rsidRPr="007369C0">
        <w:rPr>
          <w:szCs w:val="20"/>
        </w:rPr>
        <w:t xml:space="preserve">s for </w:t>
      </w:r>
      <w:r>
        <w:rPr>
          <w:szCs w:val="20"/>
        </w:rPr>
        <w:t xml:space="preserve">various </w:t>
      </w:r>
      <w:r w:rsidR="00BA6E1D">
        <w:rPr>
          <w:szCs w:val="20"/>
        </w:rPr>
        <w:t xml:space="preserve">reliance </w:t>
      </w:r>
      <w:r w:rsidRPr="007369C0">
        <w:rPr>
          <w:szCs w:val="20"/>
        </w:rPr>
        <w:t>aspects</w:t>
      </w:r>
      <w:r w:rsidR="00BA6E1D">
        <w:rPr>
          <w:szCs w:val="20"/>
        </w:rPr>
        <w:t>,</w:t>
      </w:r>
      <w:r w:rsidRPr="007369C0">
        <w:rPr>
          <w:szCs w:val="20"/>
        </w:rPr>
        <w:t xml:space="preserve"> including different:</w:t>
      </w:r>
    </w:p>
    <w:p w14:paraId="52BEEEE5" w14:textId="314222FD" w:rsidR="00B83376" w:rsidRPr="00B64DAE" w:rsidRDefault="00B83376" w:rsidP="00783DFA">
      <w:pPr>
        <w:pStyle w:val="NormalNumbered"/>
        <w:numPr>
          <w:ilvl w:val="0"/>
          <w:numId w:val="35"/>
        </w:numPr>
        <w:ind w:left="288" w:hanging="288"/>
        <w:jc w:val="both"/>
        <w:rPr>
          <w:szCs w:val="20"/>
        </w:rPr>
      </w:pPr>
      <w:r w:rsidRPr="00B64DAE">
        <w:rPr>
          <w:szCs w:val="20"/>
        </w:rPr>
        <w:t xml:space="preserve">types of reliance programs (see </w:t>
      </w:r>
      <w:hyperlink w:anchor="_Types_of_regulatory" w:history="1">
        <w:r w:rsidRPr="007722F6">
          <w:rPr>
            <w:rStyle w:val="Hyperlink"/>
            <w:szCs w:val="20"/>
          </w:rPr>
          <w:t xml:space="preserve">Section </w:t>
        </w:r>
        <w:r w:rsidR="00F7417A" w:rsidRPr="00783DFA">
          <w:rPr>
            <w:rStyle w:val="Hyperlink"/>
          </w:rPr>
          <w:t>4</w:t>
        </w:r>
        <w:r w:rsidRPr="00783DFA">
          <w:rPr>
            <w:rStyle w:val="Hyperlink"/>
          </w:rPr>
          <w:t>.2</w:t>
        </w:r>
      </w:hyperlink>
      <w:r w:rsidRPr="00F7417A">
        <w:rPr>
          <w:szCs w:val="20"/>
        </w:rPr>
        <w:t>)</w:t>
      </w:r>
    </w:p>
    <w:p w14:paraId="01DFB39E" w14:textId="77777777" w:rsidR="00B83376" w:rsidRPr="00B64DAE" w:rsidRDefault="00B83376" w:rsidP="00783DFA">
      <w:pPr>
        <w:pStyle w:val="NormalNumbered"/>
        <w:numPr>
          <w:ilvl w:val="0"/>
          <w:numId w:val="35"/>
        </w:numPr>
        <w:ind w:left="288" w:hanging="288"/>
        <w:jc w:val="both"/>
        <w:rPr>
          <w:szCs w:val="20"/>
        </w:rPr>
      </w:pPr>
      <w:r w:rsidRPr="00B64DAE">
        <w:rPr>
          <w:szCs w:val="20"/>
        </w:rPr>
        <w:t>product types</w:t>
      </w:r>
    </w:p>
    <w:p w14:paraId="7DFA6180" w14:textId="77777777" w:rsidR="00B83376" w:rsidRPr="00B64DAE" w:rsidRDefault="00B83376" w:rsidP="00783DFA">
      <w:pPr>
        <w:pStyle w:val="NormalNumbered"/>
        <w:numPr>
          <w:ilvl w:val="0"/>
          <w:numId w:val="35"/>
        </w:numPr>
        <w:ind w:left="288" w:hanging="288"/>
        <w:jc w:val="both"/>
        <w:rPr>
          <w:szCs w:val="20"/>
        </w:rPr>
      </w:pPr>
      <w:r w:rsidRPr="00B64DAE">
        <w:rPr>
          <w:szCs w:val="20"/>
        </w:rPr>
        <w:t>regulatory decisions</w:t>
      </w:r>
    </w:p>
    <w:p w14:paraId="60DF6A0B" w14:textId="6313054A" w:rsidR="00B83376" w:rsidRDefault="00B83376" w:rsidP="00B83376">
      <w:pPr>
        <w:jc w:val="both"/>
        <w:rPr>
          <w:szCs w:val="20"/>
        </w:rPr>
      </w:pPr>
      <w:r>
        <w:rPr>
          <w:szCs w:val="20"/>
        </w:rPr>
        <w:t xml:space="preserve">Consider mapping </w:t>
      </w:r>
      <w:r w:rsidR="005D532F">
        <w:rPr>
          <w:szCs w:val="20"/>
        </w:rPr>
        <w:t xml:space="preserve">the </w:t>
      </w:r>
      <w:r w:rsidRPr="007369C0">
        <w:rPr>
          <w:szCs w:val="20"/>
        </w:rPr>
        <w:t xml:space="preserve">benefits and limits </w:t>
      </w:r>
      <w:r>
        <w:rPr>
          <w:szCs w:val="20"/>
        </w:rPr>
        <w:t>for</w:t>
      </w:r>
      <w:r w:rsidRPr="007369C0">
        <w:rPr>
          <w:szCs w:val="20"/>
        </w:rPr>
        <w:t xml:space="preserve"> each </w:t>
      </w:r>
      <w:r>
        <w:rPr>
          <w:szCs w:val="20"/>
        </w:rPr>
        <w:t xml:space="preserve">reliance approach. It helps to identify areas in </w:t>
      </w:r>
      <w:r w:rsidRPr="007369C0">
        <w:rPr>
          <w:szCs w:val="20"/>
        </w:rPr>
        <w:t xml:space="preserve">your existing laws, programs, and higher-level strategic priorities that will work with the reliance program you are trying to </w:t>
      </w:r>
      <w:r w:rsidRPr="00DD7169">
        <w:rPr>
          <w:szCs w:val="20"/>
        </w:rPr>
        <w:t xml:space="preserve">develop, enabling </w:t>
      </w:r>
      <w:r w:rsidR="002B69B0">
        <w:rPr>
          <w:szCs w:val="20"/>
        </w:rPr>
        <w:t xml:space="preserve">a </w:t>
      </w:r>
      <w:r w:rsidRPr="00DD7169">
        <w:rPr>
          <w:szCs w:val="20"/>
        </w:rPr>
        <w:t>straightforward, efficient, and effective implementation strategy.</w:t>
      </w:r>
    </w:p>
    <w:p w14:paraId="3097B6A5" w14:textId="57CD1973" w:rsidR="00E0327A" w:rsidRDefault="00B83376" w:rsidP="00B83376">
      <w:pPr>
        <w:jc w:val="both"/>
        <w:rPr>
          <w:szCs w:val="20"/>
        </w:rPr>
      </w:pPr>
      <w:r w:rsidRPr="000037FD">
        <w:rPr>
          <w:szCs w:val="20"/>
        </w:rPr>
        <w:t xml:space="preserve">Your preferred path may present more limitations or require more implementation time. </w:t>
      </w:r>
      <w:r>
        <w:rPr>
          <w:szCs w:val="20"/>
        </w:rPr>
        <w:t>L</w:t>
      </w:r>
      <w:r w:rsidRPr="000037FD">
        <w:rPr>
          <w:szCs w:val="20"/>
        </w:rPr>
        <w:t>ook for opportunities offer</w:t>
      </w:r>
      <w:r>
        <w:rPr>
          <w:szCs w:val="20"/>
        </w:rPr>
        <w:t>ing</w:t>
      </w:r>
      <w:r w:rsidRPr="000037FD">
        <w:rPr>
          <w:szCs w:val="20"/>
        </w:rPr>
        <w:t xml:space="preserve"> early </w:t>
      </w:r>
      <w:r>
        <w:rPr>
          <w:szCs w:val="20"/>
        </w:rPr>
        <w:t>wins</w:t>
      </w:r>
      <w:r w:rsidRPr="000037FD">
        <w:rPr>
          <w:szCs w:val="20"/>
        </w:rPr>
        <w:t xml:space="preserve"> </w:t>
      </w:r>
      <w:r>
        <w:rPr>
          <w:szCs w:val="20"/>
        </w:rPr>
        <w:t xml:space="preserve">with </w:t>
      </w:r>
      <w:r w:rsidRPr="000037FD">
        <w:rPr>
          <w:szCs w:val="20"/>
        </w:rPr>
        <w:t xml:space="preserve">less initial resource investment, legal framework revision, and </w:t>
      </w:r>
      <w:r>
        <w:rPr>
          <w:szCs w:val="20"/>
        </w:rPr>
        <w:t>organizational</w:t>
      </w:r>
      <w:r w:rsidRPr="000037FD">
        <w:rPr>
          <w:szCs w:val="20"/>
        </w:rPr>
        <w:t xml:space="preserve"> change. These </w:t>
      </w:r>
      <w:r>
        <w:rPr>
          <w:szCs w:val="20"/>
        </w:rPr>
        <w:t>successes</w:t>
      </w:r>
      <w:r w:rsidRPr="000037FD">
        <w:rPr>
          <w:szCs w:val="20"/>
        </w:rPr>
        <w:t xml:space="preserve"> </w:t>
      </w:r>
      <w:r>
        <w:rPr>
          <w:szCs w:val="20"/>
        </w:rPr>
        <w:t xml:space="preserve">may </w:t>
      </w:r>
      <w:r w:rsidRPr="000037FD">
        <w:rPr>
          <w:szCs w:val="20"/>
        </w:rPr>
        <w:t>provide supporting evidence for long-term changes.</w:t>
      </w:r>
    </w:p>
    <w:p w14:paraId="72562811" w14:textId="77777777" w:rsidR="00E0327A" w:rsidRDefault="00E0327A">
      <w:pPr>
        <w:keepLines w:val="0"/>
        <w:spacing w:before="0" w:after="0" w:line="240" w:lineRule="auto"/>
        <w:rPr>
          <w:szCs w:val="20"/>
        </w:rPr>
      </w:pPr>
      <w:r>
        <w:rPr>
          <w:szCs w:val="20"/>
        </w:rPr>
        <w:br w:type="page"/>
      </w:r>
    </w:p>
    <w:tbl>
      <w:tblPr>
        <w:tblStyle w:val="TableGrid"/>
        <w:tblW w:w="7645" w:type="dxa"/>
        <w:tblLook w:val="04A0" w:firstRow="1" w:lastRow="0" w:firstColumn="1" w:lastColumn="0" w:noHBand="0" w:noVBand="1"/>
      </w:tblPr>
      <w:tblGrid>
        <w:gridCol w:w="7645"/>
      </w:tblGrid>
      <w:tr w:rsidR="00B83376" w14:paraId="520FCC04" w14:textId="77777777" w:rsidTr="00783DFA">
        <w:tc>
          <w:tcPr>
            <w:tcW w:w="7645" w:type="dxa"/>
          </w:tcPr>
          <w:p w14:paraId="7A0E8624" w14:textId="127125A5" w:rsidR="00B83376" w:rsidRPr="00B64DAE" w:rsidRDefault="00B83376" w:rsidP="00783DFA">
            <w:pPr>
              <w:rPr>
                <w:szCs w:val="20"/>
              </w:rPr>
            </w:pPr>
            <w:r w:rsidRPr="00D91830">
              <w:rPr>
                <w:b/>
                <w:bCs/>
                <w:szCs w:val="20"/>
              </w:rPr>
              <w:t>Example</w:t>
            </w:r>
            <w:r>
              <w:rPr>
                <w:b/>
                <w:bCs/>
                <w:szCs w:val="20"/>
              </w:rPr>
              <w:t xml:space="preserve">: </w:t>
            </w:r>
            <w:r w:rsidRPr="00B64DAE">
              <w:rPr>
                <w:szCs w:val="20"/>
              </w:rPr>
              <w:t>An RA review</w:t>
            </w:r>
            <w:r>
              <w:rPr>
                <w:szCs w:val="20"/>
              </w:rPr>
              <w:t>ed</w:t>
            </w:r>
            <w:r w:rsidRPr="00B64DAE">
              <w:rPr>
                <w:szCs w:val="20"/>
              </w:rPr>
              <w:t xml:space="preserve"> their existing legal framework</w:t>
            </w:r>
            <w:r>
              <w:rPr>
                <w:szCs w:val="20"/>
              </w:rPr>
              <w:t xml:space="preserve"> and </w:t>
            </w:r>
            <w:r w:rsidRPr="00B64DAE">
              <w:rPr>
                <w:szCs w:val="20"/>
              </w:rPr>
              <w:t>identifie</w:t>
            </w:r>
            <w:r>
              <w:rPr>
                <w:szCs w:val="20"/>
              </w:rPr>
              <w:t>d</w:t>
            </w:r>
            <w:r w:rsidRPr="00B64DAE">
              <w:rPr>
                <w:szCs w:val="20"/>
              </w:rPr>
              <w:t xml:space="preserve"> they</w:t>
            </w:r>
            <w:r>
              <w:rPr>
                <w:szCs w:val="20"/>
              </w:rPr>
              <w:t xml:space="preserve"> </w:t>
            </w:r>
            <w:r w:rsidRPr="00B64DAE">
              <w:rPr>
                <w:szCs w:val="20"/>
              </w:rPr>
              <w:t>c</w:t>
            </w:r>
            <w:r>
              <w:rPr>
                <w:szCs w:val="20"/>
              </w:rPr>
              <w:t>ould</w:t>
            </w:r>
            <w:r w:rsidR="00553023">
              <w:rPr>
                <w:szCs w:val="20"/>
              </w:rPr>
              <w:t xml:space="preserve"> </w:t>
            </w:r>
            <w:r w:rsidRPr="00B64DAE">
              <w:rPr>
                <w:szCs w:val="20"/>
              </w:rPr>
              <w:t xml:space="preserve">recognize </w:t>
            </w:r>
            <w:r>
              <w:rPr>
                <w:szCs w:val="20"/>
              </w:rPr>
              <w:t xml:space="preserve">audit </w:t>
            </w:r>
            <w:r w:rsidRPr="00B64DAE">
              <w:rPr>
                <w:szCs w:val="20"/>
              </w:rPr>
              <w:t xml:space="preserve">results </w:t>
            </w:r>
            <w:r w:rsidRPr="00516A53">
              <w:rPr>
                <w:szCs w:val="20"/>
              </w:rPr>
              <w:t xml:space="preserve">(ISO 13485 certificates or MDSAP audit reports) </w:t>
            </w:r>
            <w:r w:rsidRPr="00B64DAE">
              <w:rPr>
                <w:szCs w:val="20"/>
              </w:rPr>
              <w:t xml:space="preserve">from </w:t>
            </w:r>
            <w:r>
              <w:rPr>
                <w:szCs w:val="20"/>
              </w:rPr>
              <w:t>other RAs</w:t>
            </w:r>
            <w:r w:rsidR="00E51C84">
              <w:rPr>
                <w:szCs w:val="20"/>
              </w:rPr>
              <w:t>,</w:t>
            </w:r>
            <w:r w:rsidRPr="00B64DAE">
              <w:rPr>
                <w:szCs w:val="20"/>
              </w:rPr>
              <w:t xml:space="preserve"> but</w:t>
            </w:r>
            <w:r>
              <w:rPr>
                <w:szCs w:val="20"/>
              </w:rPr>
              <w:t xml:space="preserve"> not </w:t>
            </w:r>
            <w:r w:rsidRPr="000A6A19">
              <w:rPr>
                <w:szCs w:val="20"/>
              </w:rPr>
              <w:t>decisions with respect to technical documentation review</w:t>
            </w:r>
            <w:r w:rsidRPr="00B64DAE">
              <w:rPr>
                <w:szCs w:val="20"/>
              </w:rPr>
              <w:t>.</w:t>
            </w:r>
          </w:p>
          <w:p w14:paraId="6DA14D0B" w14:textId="71E46066" w:rsidR="00F7417A" w:rsidRDefault="00B83376" w:rsidP="00783DFA">
            <w:pPr>
              <w:rPr>
                <w:szCs w:val="20"/>
              </w:rPr>
            </w:pPr>
            <w:r w:rsidRPr="00B64DAE">
              <w:rPr>
                <w:szCs w:val="20"/>
              </w:rPr>
              <w:t>Although the</w:t>
            </w:r>
            <w:r>
              <w:rPr>
                <w:szCs w:val="20"/>
              </w:rPr>
              <w:t xml:space="preserve">y </w:t>
            </w:r>
            <w:r w:rsidRPr="00B64DAE">
              <w:rPr>
                <w:szCs w:val="20"/>
              </w:rPr>
              <w:t>wish to implement a program allowing recognition of both areas</w:t>
            </w:r>
            <w:r>
              <w:rPr>
                <w:szCs w:val="20"/>
              </w:rPr>
              <w:t xml:space="preserve"> from a reference RA</w:t>
            </w:r>
            <w:r w:rsidRPr="00B64DAE">
              <w:rPr>
                <w:szCs w:val="20"/>
              </w:rPr>
              <w:t xml:space="preserve">, they </w:t>
            </w:r>
            <w:r>
              <w:rPr>
                <w:szCs w:val="20"/>
              </w:rPr>
              <w:t>proceeded with a phased approach:</w:t>
            </w:r>
          </w:p>
          <w:p w14:paraId="3AD2802E" w14:textId="19BDE324" w:rsidR="00B83376" w:rsidRPr="009C495D" w:rsidRDefault="00B83376" w:rsidP="00783DFA">
            <w:pPr>
              <w:pStyle w:val="NormalNumbered"/>
              <w:numPr>
                <w:ilvl w:val="0"/>
                <w:numId w:val="35"/>
              </w:numPr>
              <w:ind w:left="288" w:hanging="288"/>
              <w:jc w:val="both"/>
              <w:rPr>
                <w:szCs w:val="20"/>
              </w:rPr>
            </w:pPr>
            <w:r w:rsidRPr="009C495D">
              <w:rPr>
                <w:szCs w:val="20"/>
              </w:rPr>
              <w:t>recogniz</w:t>
            </w:r>
            <w:r w:rsidR="00154A39">
              <w:rPr>
                <w:szCs w:val="20"/>
              </w:rPr>
              <w:t>ing</w:t>
            </w:r>
            <w:r w:rsidRPr="009C495D">
              <w:rPr>
                <w:szCs w:val="20"/>
              </w:rPr>
              <w:t xml:space="preserve"> </w:t>
            </w:r>
            <w:r>
              <w:rPr>
                <w:szCs w:val="20"/>
              </w:rPr>
              <w:t xml:space="preserve">audit </w:t>
            </w:r>
            <w:r w:rsidRPr="009C495D">
              <w:rPr>
                <w:szCs w:val="20"/>
              </w:rPr>
              <w:t xml:space="preserve">results in the short term </w:t>
            </w:r>
          </w:p>
          <w:p w14:paraId="388C47EB" w14:textId="4A5DE92B" w:rsidR="00B83376" w:rsidRPr="009C495D" w:rsidRDefault="00B83376" w:rsidP="00783DFA">
            <w:pPr>
              <w:pStyle w:val="NormalNumbered"/>
              <w:numPr>
                <w:ilvl w:val="0"/>
                <w:numId w:val="35"/>
              </w:numPr>
              <w:ind w:left="288" w:hanging="288"/>
              <w:jc w:val="both"/>
              <w:rPr>
                <w:szCs w:val="20"/>
              </w:rPr>
            </w:pPr>
            <w:r w:rsidRPr="009C495D">
              <w:rPr>
                <w:szCs w:val="20"/>
              </w:rPr>
              <w:t>abridg</w:t>
            </w:r>
            <w:r w:rsidR="00A07152">
              <w:rPr>
                <w:szCs w:val="20"/>
              </w:rPr>
              <w:t>ing their</w:t>
            </w:r>
            <w:r w:rsidRPr="009C495D">
              <w:rPr>
                <w:szCs w:val="20"/>
              </w:rPr>
              <w:t xml:space="preserve"> review as a form of reliance</w:t>
            </w:r>
            <w:r w:rsidR="00791918">
              <w:rPr>
                <w:szCs w:val="20"/>
              </w:rPr>
              <w:t xml:space="preserve"> for pre</w:t>
            </w:r>
            <w:r w:rsidR="00E73528">
              <w:rPr>
                <w:szCs w:val="20"/>
              </w:rPr>
              <w:t>-</w:t>
            </w:r>
            <w:r w:rsidR="00791918">
              <w:rPr>
                <w:szCs w:val="20"/>
              </w:rPr>
              <w:t xml:space="preserve">market regulatory decisions, </w:t>
            </w:r>
            <w:r w:rsidRPr="009C495D">
              <w:rPr>
                <w:szCs w:val="20"/>
              </w:rPr>
              <w:t xml:space="preserve">while working on legal changes to allow recognition of </w:t>
            </w:r>
            <w:r w:rsidRPr="000A6A19">
              <w:rPr>
                <w:szCs w:val="20"/>
              </w:rPr>
              <w:t xml:space="preserve">technical documentation review decisions </w:t>
            </w:r>
            <w:r w:rsidRPr="009C495D">
              <w:rPr>
                <w:szCs w:val="20"/>
              </w:rPr>
              <w:t>in the future</w:t>
            </w:r>
          </w:p>
          <w:p w14:paraId="47097D11" w14:textId="1BAF5DDD" w:rsidR="00B83376" w:rsidRDefault="00B83376" w:rsidP="00783DFA">
            <w:pPr>
              <w:rPr>
                <w:szCs w:val="20"/>
              </w:rPr>
            </w:pPr>
            <w:r w:rsidRPr="00D91830">
              <w:rPr>
                <w:szCs w:val="20"/>
              </w:rPr>
              <w:t>This example shows how you can start implementing reliance within current legal constraints whil</w:t>
            </w:r>
            <w:r>
              <w:rPr>
                <w:szCs w:val="20"/>
              </w:rPr>
              <w:t>e</w:t>
            </w:r>
            <w:r w:rsidRPr="00D91830">
              <w:rPr>
                <w:szCs w:val="20"/>
              </w:rPr>
              <w:t xml:space="preserve"> working toward your preferred approach.</w:t>
            </w:r>
          </w:p>
        </w:tc>
      </w:tr>
    </w:tbl>
    <w:p w14:paraId="78B7E855" w14:textId="77777777" w:rsidR="00E0327A" w:rsidRPr="00783DFA" w:rsidRDefault="00E0327A" w:rsidP="00783DFA">
      <w:pPr>
        <w:rPr>
          <w:lang w:val="en-GB"/>
        </w:rPr>
      </w:pPr>
      <w:bookmarkStart w:id="64" w:name="_Toc213265636"/>
      <w:bookmarkEnd w:id="64"/>
    </w:p>
    <w:p w14:paraId="14D5ED49" w14:textId="07263075" w:rsidR="002B49F1" w:rsidRDefault="00E476D4" w:rsidP="002B49F1">
      <w:pPr>
        <w:pStyle w:val="Heading2"/>
      </w:pPr>
      <w:bookmarkStart w:id="65" w:name="_Toc178839726"/>
      <w:bookmarkStart w:id="66" w:name="_Toc178839799"/>
      <w:bookmarkStart w:id="67" w:name="_Toc178839854"/>
      <w:bookmarkStart w:id="68" w:name="_Toc180070236"/>
      <w:bookmarkStart w:id="69" w:name="_Toc180071296"/>
      <w:bookmarkStart w:id="70" w:name="_Identifying_potential_reference"/>
      <w:bookmarkStart w:id="71" w:name="_Toc213265637"/>
      <w:bookmarkEnd w:id="65"/>
      <w:bookmarkEnd w:id="66"/>
      <w:bookmarkEnd w:id="67"/>
      <w:bookmarkEnd w:id="68"/>
      <w:bookmarkEnd w:id="69"/>
      <w:bookmarkEnd w:id="70"/>
      <w:r>
        <w:t>Identifying</w:t>
      </w:r>
      <w:r w:rsidR="00BE1D22">
        <w:t xml:space="preserve"> potential </w:t>
      </w:r>
      <w:r w:rsidR="00641CCB">
        <w:t xml:space="preserve">reference </w:t>
      </w:r>
      <w:r w:rsidR="00BE1D22">
        <w:t xml:space="preserve">regulatory </w:t>
      </w:r>
      <w:r w:rsidR="00641CCB">
        <w:t>authorities</w:t>
      </w:r>
      <w:bookmarkEnd w:id="71"/>
    </w:p>
    <w:p w14:paraId="7A3A6FCB" w14:textId="0C705C5C" w:rsidR="002A0393" w:rsidRPr="00D20032" w:rsidRDefault="002A0393" w:rsidP="002A0393">
      <w:pPr>
        <w:jc w:val="both"/>
        <w:rPr>
          <w:b/>
          <w:bCs/>
          <w:szCs w:val="20"/>
        </w:rPr>
      </w:pPr>
      <w:r w:rsidRPr="00D20032">
        <w:rPr>
          <w:szCs w:val="20"/>
        </w:rPr>
        <w:t xml:space="preserve">To establish a reliance program, you will need to start researching to find suitable </w:t>
      </w:r>
      <w:r w:rsidR="00651ABB">
        <w:rPr>
          <w:szCs w:val="20"/>
        </w:rPr>
        <w:t xml:space="preserve">reference </w:t>
      </w:r>
      <w:r w:rsidR="00A76D30">
        <w:rPr>
          <w:szCs w:val="20"/>
        </w:rPr>
        <w:t>RAs</w:t>
      </w:r>
      <w:r w:rsidRPr="00D20032">
        <w:rPr>
          <w:szCs w:val="20"/>
        </w:rPr>
        <w:t xml:space="preserve">. </w:t>
      </w:r>
      <w:r w:rsidR="00651ABB">
        <w:rPr>
          <w:szCs w:val="20"/>
        </w:rPr>
        <w:t xml:space="preserve">These </w:t>
      </w:r>
      <w:r w:rsidRPr="00216943">
        <w:rPr>
          <w:szCs w:val="20"/>
        </w:rPr>
        <w:t xml:space="preserve">will typically be </w:t>
      </w:r>
      <w:r w:rsidR="008475A7">
        <w:rPr>
          <w:szCs w:val="20"/>
        </w:rPr>
        <w:t>RAs</w:t>
      </w:r>
      <w:r w:rsidRPr="00216943">
        <w:rPr>
          <w:szCs w:val="20"/>
        </w:rPr>
        <w:t xml:space="preserve"> in other jurisdictions, or third-party </w:t>
      </w:r>
      <w:r w:rsidRPr="009C5933">
        <w:rPr>
          <w:szCs w:val="20"/>
        </w:rPr>
        <w:t>organ</w:t>
      </w:r>
      <w:r w:rsidR="00BC59C5">
        <w:rPr>
          <w:szCs w:val="20"/>
        </w:rPr>
        <w:t>ization</w:t>
      </w:r>
      <w:r w:rsidRPr="009C5933">
        <w:rPr>
          <w:szCs w:val="20"/>
        </w:rPr>
        <w:t>s</w:t>
      </w:r>
      <w:r w:rsidRPr="00216943">
        <w:rPr>
          <w:szCs w:val="20"/>
        </w:rPr>
        <w:t xml:space="preserve"> that perform regulatory activities in these jurisdictions</w:t>
      </w:r>
      <w:r w:rsidRPr="00216943">
        <w:rPr>
          <w:rStyle w:val="FootnoteReference"/>
          <w:szCs w:val="20"/>
        </w:rPr>
        <w:footnoteReference w:id="4"/>
      </w:r>
      <w:r w:rsidRPr="00216943">
        <w:rPr>
          <w:szCs w:val="20"/>
        </w:rPr>
        <w:t>.</w:t>
      </w:r>
      <w:r>
        <w:rPr>
          <w:szCs w:val="20"/>
        </w:rPr>
        <w:t xml:space="preserve"> You may also want to c</w:t>
      </w:r>
      <w:r w:rsidRPr="001E5CA1">
        <w:rPr>
          <w:szCs w:val="20"/>
        </w:rPr>
        <w:t>onsider jurisdictions commonly included in industry marketing strategies alongside your jurisdiction, or other factors that may improve market access for medical devices.</w:t>
      </w:r>
      <w:r>
        <w:rPr>
          <w:szCs w:val="20"/>
        </w:rPr>
        <w:t xml:space="preserve"> </w:t>
      </w:r>
    </w:p>
    <w:p w14:paraId="589C02CD" w14:textId="2DBB75B3" w:rsidR="002A0393" w:rsidRDefault="002A0393" w:rsidP="002A0393">
      <w:pPr>
        <w:jc w:val="both"/>
        <w:rPr>
          <w:szCs w:val="20"/>
        </w:rPr>
      </w:pPr>
      <w:r w:rsidRPr="009C5933">
        <w:rPr>
          <w:szCs w:val="20"/>
        </w:rPr>
        <w:t>Once you</w:t>
      </w:r>
      <w:r>
        <w:rPr>
          <w:szCs w:val="20"/>
        </w:rPr>
        <w:t xml:space="preserve"> have identified </w:t>
      </w:r>
      <w:r w:rsidRPr="009C5933">
        <w:rPr>
          <w:szCs w:val="20"/>
        </w:rPr>
        <w:t>potential reference</w:t>
      </w:r>
      <w:r>
        <w:rPr>
          <w:szCs w:val="20"/>
        </w:rPr>
        <w:t xml:space="preserve"> RAs</w:t>
      </w:r>
      <w:r w:rsidRPr="009C5933">
        <w:rPr>
          <w:szCs w:val="20"/>
        </w:rPr>
        <w:t xml:space="preserve">, </w:t>
      </w:r>
      <w:r>
        <w:rPr>
          <w:szCs w:val="20"/>
        </w:rPr>
        <w:t>conducting an analysis of their regulatory framework will help you understand</w:t>
      </w:r>
      <w:r w:rsidR="007722F6">
        <w:rPr>
          <w:szCs w:val="20"/>
        </w:rPr>
        <w:t>:</w:t>
      </w:r>
    </w:p>
    <w:p w14:paraId="74244531" w14:textId="4F0831F5" w:rsidR="002A0393" w:rsidRPr="00505EEA" w:rsidRDefault="002A0393" w:rsidP="00783DFA">
      <w:pPr>
        <w:pStyle w:val="NormalNumbered"/>
        <w:numPr>
          <w:ilvl w:val="0"/>
          <w:numId w:val="35"/>
        </w:numPr>
        <w:ind w:left="288" w:hanging="288"/>
        <w:jc w:val="both"/>
        <w:rPr>
          <w:szCs w:val="20"/>
        </w:rPr>
      </w:pPr>
      <w:r w:rsidRPr="00505EEA">
        <w:rPr>
          <w:szCs w:val="20"/>
        </w:rPr>
        <w:t xml:space="preserve">how their framework compares </w:t>
      </w:r>
      <w:r w:rsidR="00C37765">
        <w:rPr>
          <w:szCs w:val="20"/>
        </w:rPr>
        <w:t xml:space="preserve">to </w:t>
      </w:r>
      <w:r w:rsidRPr="00505EEA">
        <w:rPr>
          <w:szCs w:val="20"/>
        </w:rPr>
        <w:t>and differ</w:t>
      </w:r>
      <w:r w:rsidR="00C37765">
        <w:rPr>
          <w:szCs w:val="20"/>
        </w:rPr>
        <w:t>s from</w:t>
      </w:r>
      <w:r w:rsidRPr="00505EEA">
        <w:rPr>
          <w:szCs w:val="20"/>
        </w:rPr>
        <w:t xml:space="preserve"> your </w:t>
      </w:r>
      <w:r>
        <w:rPr>
          <w:szCs w:val="20"/>
        </w:rPr>
        <w:t>current or planned framework</w:t>
      </w:r>
    </w:p>
    <w:p w14:paraId="2E7F5706" w14:textId="77777777" w:rsidR="002A0393" w:rsidRPr="00505EEA" w:rsidRDefault="002A0393" w:rsidP="00783DFA">
      <w:pPr>
        <w:pStyle w:val="NormalNumbered"/>
        <w:numPr>
          <w:ilvl w:val="0"/>
          <w:numId w:val="35"/>
        </w:numPr>
        <w:ind w:left="288" w:hanging="288"/>
        <w:jc w:val="both"/>
        <w:rPr>
          <w:szCs w:val="20"/>
        </w:rPr>
      </w:pPr>
      <w:r w:rsidRPr="00505EEA">
        <w:rPr>
          <w:szCs w:val="20"/>
        </w:rPr>
        <w:t>the significance of any differences</w:t>
      </w:r>
    </w:p>
    <w:p w14:paraId="632255C5" w14:textId="3D64FA0F" w:rsidR="002A0393" w:rsidRDefault="002A0393" w:rsidP="002A0393">
      <w:pPr>
        <w:jc w:val="both"/>
        <w:rPr>
          <w:szCs w:val="20"/>
        </w:rPr>
      </w:pPr>
      <w:r w:rsidRPr="004C68B2">
        <w:rPr>
          <w:szCs w:val="20"/>
        </w:rPr>
        <w:t>You can gather this information by</w:t>
      </w:r>
      <w:r w:rsidR="007722F6">
        <w:rPr>
          <w:szCs w:val="20"/>
        </w:rPr>
        <w:t>:</w:t>
      </w:r>
    </w:p>
    <w:p w14:paraId="374149D9" w14:textId="77777777" w:rsidR="002A0393" w:rsidRDefault="002A0393" w:rsidP="00783DFA">
      <w:pPr>
        <w:pStyle w:val="NormalNumbered"/>
        <w:numPr>
          <w:ilvl w:val="0"/>
          <w:numId w:val="35"/>
        </w:numPr>
        <w:ind w:left="288" w:hanging="288"/>
        <w:jc w:val="both"/>
        <w:rPr>
          <w:szCs w:val="20"/>
        </w:rPr>
      </w:pPr>
      <w:r>
        <w:rPr>
          <w:szCs w:val="20"/>
        </w:rPr>
        <w:t xml:space="preserve">reviewing </w:t>
      </w:r>
      <w:r w:rsidRPr="009C5933">
        <w:rPr>
          <w:szCs w:val="20"/>
        </w:rPr>
        <w:t xml:space="preserve">their </w:t>
      </w:r>
      <w:r w:rsidRPr="00505EEA">
        <w:rPr>
          <w:szCs w:val="20"/>
        </w:rPr>
        <w:t>guidance, policy, and legal documents</w:t>
      </w:r>
    </w:p>
    <w:p w14:paraId="5EBAD728" w14:textId="77777777" w:rsidR="002A0393" w:rsidRDefault="002A0393" w:rsidP="00783DFA">
      <w:pPr>
        <w:pStyle w:val="NormalNumbered"/>
        <w:numPr>
          <w:ilvl w:val="0"/>
          <w:numId w:val="35"/>
        </w:numPr>
        <w:ind w:left="288" w:hanging="288"/>
        <w:jc w:val="both"/>
        <w:rPr>
          <w:szCs w:val="20"/>
        </w:rPr>
      </w:pPr>
      <w:r w:rsidRPr="009C5933">
        <w:rPr>
          <w:szCs w:val="20"/>
        </w:rPr>
        <w:t xml:space="preserve">reaching out </w:t>
      </w:r>
      <w:r>
        <w:rPr>
          <w:szCs w:val="20"/>
        </w:rPr>
        <w:t>to them directly</w:t>
      </w:r>
    </w:p>
    <w:p w14:paraId="7A0C372D" w14:textId="514E6D87" w:rsidR="002A0393" w:rsidRDefault="002A0393" w:rsidP="002A0393">
      <w:pPr>
        <w:jc w:val="both"/>
        <w:rPr>
          <w:szCs w:val="20"/>
        </w:rPr>
      </w:pPr>
      <w:r w:rsidRPr="00FB7B4C">
        <w:rPr>
          <w:szCs w:val="20"/>
        </w:rPr>
        <w:t xml:space="preserve">Where necessary, </w:t>
      </w:r>
      <w:r w:rsidR="0034057A">
        <w:rPr>
          <w:szCs w:val="20"/>
        </w:rPr>
        <w:t xml:space="preserve">and </w:t>
      </w:r>
      <w:r w:rsidR="00212291">
        <w:rPr>
          <w:szCs w:val="20"/>
        </w:rPr>
        <w:t>subject to</w:t>
      </w:r>
      <w:r w:rsidR="0034057A">
        <w:rPr>
          <w:szCs w:val="20"/>
        </w:rPr>
        <w:t xml:space="preserve"> the reference RA</w:t>
      </w:r>
      <w:r w:rsidR="00212291">
        <w:rPr>
          <w:szCs w:val="20"/>
        </w:rPr>
        <w:t>’s capacity</w:t>
      </w:r>
      <w:r w:rsidR="005B4D5C">
        <w:rPr>
          <w:szCs w:val="20"/>
        </w:rPr>
        <w:t xml:space="preserve"> and openness to collaboration</w:t>
      </w:r>
      <w:r w:rsidR="0034057A">
        <w:rPr>
          <w:szCs w:val="20"/>
        </w:rPr>
        <w:t xml:space="preserve">, </w:t>
      </w:r>
      <w:r>
        <w:rPr>
          <w:szCs w:val="20"/>
        </w:rPr>
        <w:t xml:space="preserve">you could consider </w:t>
      </w:r>
      <w:r w:rsidRPr="009C5933">
        <w:rPr>
          <w:szCs w:val="20"/>
        </w:rPr>
        <w:t xml:space="preserve">more </w:t>
      </w:r>
      <w:r>
        <w:rPr>
          <w:szCs w:val="20"/>
        </w:rPr>
        <w:t>intensive</w:t>
      </w:r>
      <w:r w:rsidRPr="009C5933">
        <w:rPr>
          <w:szCs w:val="20"/>
        </w:rPr>
        <w:t xml:space="preserve"> approaches</w:t>
      </w:r>
      <w:r w:rsidRPr="00FB7B4C">
        <w:rPr>
          <w:szCs w:val="20"/>
        </w:rPr>
        <w:t xml:space="preserve"> such as participating in </w:t>
      </w:r>
      <w:r>
        <w:rPr>
          <w:szCs w:val="20"/>
        </w:rPr>
        <w:t xml:space="preserve">their </w:t>
      </w:r>
      <w:r w:rsidRPr="00FB7B4C">
        <w:rPr>
          <w:szCs w:val="20"/>
        </w:rPr>
        <w:t xml:space="preserve">regulatory activities </w:t>
      </w:r>
      <w:r>
        <w:rPr>
          <w:szCs w:val="20"/>
        </w:rPr>
        <w:t>either</w:t>
      </w:r>
      <w:r w:rsidR="007722F6">
        <w:rPr>
          <w:szCs w:val="20"/>
        </w:rPr>
        <w:t>:</w:t>
      </w:r>
    </w:p>
    <w:p w14:paraId="41ADBC19" w14:textId="7FA5BF16" w:rsidR="002A0393" w:rsidRDefault="002A0393" w:rsidP="00783DFA">
      <w:pPr>
        <w:pStyle w:val="NormalNumbered"/>
        <w:numPr>
          <w:ilvl w:val="0"/>
          <w:numId w:val="35"/>
        </w:numPr>
        <w:ind w:left="288" w:hanging="288"/>
        <w:jc w:val="both"/>
        <w:rPr>
          <w:szCs w:val="20"/>
        </w:rPr>
      </w:pPr>
      <w:r w:rsidRPr="00783DFA">
        <w:rPr>
          <w:i/>
          <w:iCs/>
          <w:szCs w:val="20"/>
        </w:rPr>
        <w:t>passively</w:t>
      </w:r>
      <w:r w:rsidR="007722F6">
        <w:rPr>
          <w:szCs w:val="20"/>
        </w:rPr>
        <w:t>:</w:t>
      </w:r>
      <w:r>
        <w:rPr>
          <w:szCs w:val="20"/>
        </w:rPr>
        <w:t xml:space="preserve"> observing what they do (e.g.</w:t>
      </w:r>
      <w:r w:rsidR="00C37765">
        <w:rPr>
          <w:szCs w:val="20"/>
        </w:rPr>
        <w:t>,</w:t>
      </w:r>
      <w:r>
        <w:rPr>
          <w:szCs w:val="20"/>
        </w:rPr>
        <w:t xml:space="preserve"> shadowing)</w:t>
      </w:r>
    </w:p>
    <w:p w14:paraId="4115E393" w14:textId="14A0AC80" w:rsidR="002A0393" w:rsidRPr="00505EEA" w:rsidRDefault="002A0393" w:rsidP="00783DFA">
      <w:pPr>
        <w:pStyle w:val="NormalNumbered"/>
        <w:numPr>
          <w:ilvl w:val="0"/>
          <w:numId w:val="35"/>
        </w:numPr>
        <w:ind w:left="288" w:hanging="288"/>
        <w:jc w:val="both"/>
        <w:rPr>
          <w:szCs w:val="20"/>
        </w:rPr>
      </w:pPr>
      <w:r w:rsidRPr="00783DFA">
        <w:rPr>
          <w:i/>
          <w:iCs/>
          <w:szCs w:val="20"/>
        </w:rPr>
        <w:t>actively</w:t>
      </w:r>
      <w:r w:rsidR="007722F6">
        <w:rPr>
          <w:szCs w:val="20"/>
        </w:rPr>
        <w:t>:</w:t>
      </w:r>
      <w:r>
        <w:rPr>
          <w:szCs w:val="20"/>
        </w:rPr>
        <w:t xml:space="preserve"> </w:t>
      </w:r>
      <w:r w:rsidRPr="00505EEA">
        <w:rPr>
          <w:szCs w:val="20"/>
        </w:rPr>
        <w:t>participating in their work (e.g.</w:t>
      </w:r>
      <w:r w:rsidR="00C37765">
        <w:rPr>
          <w:szCs w:val="20"/>
        </w:rPr>
        <w:t>,</w:t>
      </w:r>
      <w:r w:rsidRPr="00505EEA">
        <w:rPr>
          <w:szCs w:val="20"/>
        </w:rPr>
        <w:t xml:space="preserve"> joint assessments)</w:t>
      </w:r>
    </w:p>
    <w:p w14:paraId="7FC845BB" w14:textId="7826A9F4" w:rsidR="002A0393" w:rsidRDefault="002A0393" w:rsidP="002A0393">
      <w:pPr>
        <w:jc w:val="both"/>
        <w:rPr>
          <w:szCs w:val="20"/>
        </w:rPr>
      </w:pPr>
      <w:r>
        <w:rPr>
          <w:szCs w:val="20"/>
        </w:rPr>
        <w:t>These c</w:t>
      </w:r>
      <w:r w:rsidRPr="00A61A33">
        <w:rPr>
          <w:szCs w:val="20"/>
        </w:rPr>
        <w:t>ollaborative approaches can help you build knowledge and trust, potentially leading to the establishment of bilateral reliance processes such as mutual recognition.</w:t>
      </w:r>
    </w:p>
    <w:p w14:paraId="38F87AC9" w14:textId="07C7E137" w:rsidR="00A2041E" w:rsidRPr="00D43419" w:rsidRDefault="00AE1643" w:rsidP="00A2041E">
      <w:pPr>
        <w:jc w:val="both"/>
        <w:rPr>
          <w:szCs w:val="20"/>
        </w:rPr>
      </w:pPr>
      <w:r>
        <w:rPr>
          <w:szCs w:val="20"/>
        </w:rPr>
        <w:t xml:space="preserve">The </w:t>
      </w:r>
      <w:hyperlink w:anchor="_Annex:_Evaluation_Questions" w:history="1">
        <w:r w:rsidR="002A0393" w:rsidRPr="007722F6">
          <w:rPr>
            <w:rStyle w:val="Hyperlink"/>
            <w:szCs w:val="20"/>
          </w:rPr>
          <w:t>Annex</w:t>
        </w:r>
      </w:hyperlink>
      <w:r w:rsidR="002A0393" w:rsidRPr="00276306">
        <w:rPr>
          <w:szCs w:val="20"/>
        </w:rPr>
        <w:t xml:space="preserve"> </w:t>
      </w:r>
      <w:r>
        <w:rPr>
          <w:szCs w:val="20"/>
        </w:rPr>
        <w:t>to this document includes</w:t>
      </w:r>
      <w:r w:rsidR="002A0393" w:rsidRPr="00276306">
        <w:rPr>
          <w:szCs w:val="20"/>
        </w:rPr>
        <w:t xml:space="preserve"> a list of questions that may be useful in determining whether potential reference RAs are suitable to rely on.</w:t>
      </w:r>
      <w:bookmarkStart w:id="72" w:name="_Toc178839856"/>
      <w:bookmarkStart w:id="73" w:name="_Toc180071298"/>
      <w:bookmarkStart w:id="74" w:name="_Toc182908193"/>
      <w:r w:rsidR="006241AF">
        <w:rPr>
          <w:szCs w:val="20"/>
        </w:rPr>
        <w:t xml:space="preserve"> </w:t>
      </w:r>
      <w:r w:rsidR="00A2041E" w:rsidRPr="00D43419">
        <w:rPr>
          <w:szCs w:val="20"/>
        </w:rPr>
        <w:t xml:space="preserve">In addition to the resources mentioned in the Annex, IMDRF regularly publishes the IMDRF Document Implementation Reports on their website showing how members have adopted IMDRF guidance documents, which may be useful if you're considering reliance on an IMDRF member's decisions. </w:t>
      </w:r>
    </w:p>
    <w:p w14:paraId="23923D00" w14:textId="2FB60168" w:rsidR="000B7B14" w:rsidRDefault="00A2041E" w:rsidP="00A2041E">
      <w:pPr>
        <w:jc w:val="both"/>
        <w:rPr>
          <w:szCs w:val="20"/>
        </w:rPr>
      </w:pPr>
      <w:r w:rsidRPr="00D43419">
        <w:rPr>
          <w:szCs w:val="20"/>
        </w:rPr>
        <w:t>Differences between your and your potential reference RA’s frameworks should not preclude your reliance on them, although these differences might impact how</w:t>
      </w:r>
      <w:r w:rsidR="000E505C">
        <w:rPr>
          <w:szCs w:val="20"/>
        </w:rPr>
        <w:t xml:space="preserve">, and how </w:t>
      </w:r>
      <w:r w:rsidR="00571FAD">
        <w:rPr>
          <w:szCs w:val="20"/>
        </w:rPr>
        <w:t>extensively,</w:t>
      </w:r>
      <w:r w:rsidRPr="00D43419">
        <w:rPr>
          <w:szCs w:val="20"/>
        </w:rPr>
        <w:t xml:space="preserve"> you implement reliance if not addressed. Depending on the differences, a mapping exercise comparing frameworks will help you evaluate and support your desired reliance program. In some cases, changes to your legal framework or policy approaches may be necessary to support future alignment.</w:t>
      </w:r>
    </w:p>
    <w:p w14:paraId="6A964171" w14:textId="77777777" w:rsidR="000B7B14" w:rsidRPr="00D43419" w:rsidRDefault="000B7B14" w:rsidP="00A2041E">
      <w:pPr>
        <w:jc w:val="both"/>
        <w:rPr>
          <w:szCs w:val="20"/>
        </w:rPr>
      </w:pPr>
    </w:p>
    <w:tbl>
      <w:tblPr>
        <w:tblStyle w:val="TableGrid"/>
        <w:tblW w:w="7598" w:type="dxa"/>
        <w:tblLook w:val="04A0" w:firstRow="1" w:lastRow="0" w:firstColumn="1" w:lastColumn="0" w:noHBand="0" w:noVBand="1"/>
      </w:tblPr>
      <w:tblGrid>
        <w:gridCol w:w="7598"/>
      </w:tblGrid>
      <w:tr w:rsidR="00A2041E" w14:paraId="682BBFC5" w14:textId="77777777" w:rsidTr="00A2041E">
        <w:trPr>
          <w:trHeight w:val="2828"/>
        </w:trPr>
        <w:tc>
          <w:tcPr>
            <w:tcW w:w="7598" w:type="dxa"/>
          </w:tcPr>
          <w:p w14:paraId="1A55C9CF" w14:textId="7460CCEB" w:rsidR="00A2041E" w:rsidRDefault="00A2041E" w:rsidP="00A8237A">
            <w:pPr>
              <w:jc w:val="both"/>
              <w:rPr>
                <w:b/>
                <w:bCs/>
                <w:szCs w:val="20"/>
                <w:lang w:val="en-GB"/>
              </w:rPr>
            </w:pPr>
            <w:r w:rsidRPr="00216943">
              <w:rPr>
                <w:b/>
                <w:bCs/>
                <w:szCs w:val="20"/>
                <w:lang w:val="en-GB"/>
              </w:rPr>
              <w:t>Example</w:t>
            </w:r>
            <w:r>
              <w:rPr>
                <w:b/>
                <w:bCs/>
                <w:szCs w:val="20"/>
                <w:lang w:val="en-GB"/>
              </w:rPr>
              <w:t xml:space="preserve">: </w:t>
            </w:r>
            <w:r w:rsidRPr="00216943">
              <w:rPr>
                <w:szCs w:val="20"/>
                <w:lang w:val="en-GB"/>
              </w:rPr>
              <w:t xml:space="preserve">Regulator A is considering recognizing the regulatory decisions of Regulator B. However, the two regulators have different classification systems for medical devices. Regulator A uses a four-tier system and Regulator B uses a three-tier system. Regulator A conducts a mapping exercise, with the help of Regulator B </w:t>
            </w:r>
            <w:r w:rsidR="00050392">
              <w:rPr>
                <w:szCs w:val="20"/>
                <w:lang w:val="en-GB"/>
              </w:rPr>
              <w:t>when</w:t>
            </w:r>
            <w:r w:rsidRPr="00216943">
              <w:rPr>
                <w:szCs w:val="20"/>
                <w:lang w:val="en-GB"/>
              </w:rPr>
              <w:t xml:space="preserve"> needed, to determine how devices across Regulator A’s four-tier system equate in Regulator B’s three-tier system. The results are paired with an understanding of the regulatory requirements across device classification systems. Upon analyzing, Regulator A understood that Regulator B exempts low-risk devices from registration. Despite classification differences, Regulator A chose to only rely on Regulator B's decision for moderate to high-risk devices where assessment is performed, while excluding low-risk devices from the reliance program</w:t>
            </w:r>
            <w:r>
              <w:rPr>
                <w:szCs w:val="20"/>
                <w:lang w:val="en-GB"/>
              </w:rPr>
              <w:t>.</w:t>
            </w:r>
          </w:p>
        </w:tc>
      </w:tr>
    </w:tbl>
    <w:p w14:paraId="155F3479" w14:textId="77777777" w:rsidR="00E0327A" w:rsidRDefault="00E0327A" w:rsidP="00783DFA">
      <w:pPr>
        <w:jc w:val="both"/>
      </w:pPr>
      <w:bookmarkStart w:id="75" w:name="_Assessing_agreements_between"/>
      <w:bookmarkStart w:id="76" w:name="_Toc213265638"/>
      <w:bookmarkEnd w:id="75"/>
    </w:p>
    <w:p w14:paraId="74DF5FEE" w14:textId="70D7798E" w:rsidR="00BE1D22" w:rsidRDefault="00FF6047" w:rsidP="00FF6047">
      <w:pPr>
        <w:pStyle w:val="Heading2"/>
      </w:pPr>
      <w:bookmarkStart w:id="77" w:name="_Assessing_agreements_between_1"/>
      <w:bookmarkEnd w:id="77"/>
      <w:r>
        <w:t>Assessing</w:t>
      </w:r>
      <w:bookmarkEnd w:id="72"/>
      <w:bookmarkEnd w:id="73"/>
      <w:bookmarkEnd w:id="74"/>
      <w:r w:rsidR="00B049DE">
        <w:t xml:space="preserve"> agreements</w:t>
      </w:r>
      <w:r w:rsidR="00B927D5">
        <w:t xml:space="preserve"> </w:t>
      </w:r>
      <w:r w:rsidR="006A3456">
        <w:t>between interested parties</w:t>
      </w:r>
      <w:bookmarkEnd w:id="76"/>
    </w:p>
    <w:p w14:paraId="39E5A838" w14:textId="6856646B" w:rsidR="005D604F" w:rsidRDefault="005D604F" w:rsidP="005D604F">
      <w:pPr>
        <w:jc w:val="both"/>
        <w:rPr>
          <w:szCs w:val="20"/>
        </w:rPr>
      </w:pPr>
      <w:bookmarkStart w:id="78" w:name="_Toc178839730"/>
      <w:bookmarkStart w:id="79" w:name="_Toc178839803"/>
      <w:bookmarkStart w:id="80" w:name="_Toc178839858"/>
      <w:bookmarkStart w:id="81" w:name="_Toc180070240"/>
      <w:bookmarkStart w:id="82" w:name="_Toc180071300"/>
      <w:bookmarkEnd w:id="78"/>
      <w:bookmarkEnd w:id="79"/>
      <w:bookmarkEnd w:id="80"/>
      <w:bookmarkEnd w:id="81"/>
      <w:bookmarkEnd w:id="82"/>
      <w:r w:rsidRPr="0085577B">
        <w:rPr>
          <w:szCs w:val="20"/>
        </w:rPr>
        <w:t>Once you understand another regulator's framework</w:t>
      </w:r>
      <w:r>
        <w:rPr>
          <w:szCs w:val="20"/>
        </w:rPr>
        <w:t xml:space="preserve"> and </w:t>
      </w:r>
      <w:r w:rsidRPr="0085577B">
        <w:rPr>
          <w:szCs w:val="20"/>
        </w:rPr>
        <w:t xml:space="preserve">decide on a reliance </w:t>
      </w:r>
      <w:r w:rsidRPr="00384531">
        <w:rPr>
          <w:szCs w:val="20"/>
        </w:rPr>
        <w:t>mechanism (e.g.</w:t>
      </w:r>
      <w:r w:rsidR="0036566F">
        <w:rPr>
          <w:szCs w:val="20"/>
        </w:rPr>
        <w:t>,</w:t>
      </w:r>
      <w:r w:rsidRPr="00384531">
        <w:rPr>
          <w:szCs w:val="20"/>
        </w:rPr>
        <w:t xml:space="preserve"> work-sharing, unilateral reliance), you can assess whether agreements are needed and what </w:t>
      </w:r>
      <w:r>
        <w:rPr>
          <w:szCs w:val="20"/>
        </w:rPr>
        <w:t xml:space="preserve">agreement </w:t>
      </w:r>
      <w:r w:rsidRPr="00384531">
        <w:rPr>
          <w:szCs w:val="20"/>
        </w:rPr>
        <w:t>type would be appropriate. These agreements typically address information</w:t>
      </w:r>
      <w:r w:rsidR="00050392">
        <w:rPr>
          <w:szCs w:val="20"/>
        </w:rPr>
        <w:t>-</w:t>
      </w:r>
      <w:r w:rsidRPr="00384531">
        <w:rPr>
          <w:szCs w:val="20"/>
        </w:rPr>
        <w:t xml:space="preserve">sharing requirements for relying on another regulator's assessments, data handling procedures, or any work-sharing or recognition arrangements (see </w:t>
      </w:r>
      <w:hyperlink w:anchor="_Types_of_regulatory" w:history="1">
        <w:r w:rsidRPr="00F616A2">
          <w:rPr>
            <w:rStyle w:val="Hyperlink"/>
            <w:szCs w:val="20"/>
          </w:rPr>
          <w:t xml:space="preserve">Section </w:t>
        </w:r>
        <w:r w:rsidR="005F7504" w:rsidRPr="00F616A2">
          <w:rPr>
            <w:rStyle w:val="Hyperlink"/>
            <w:szCs w:val="20"/>
          </w:rPr>
          <w:t>4</w:t>
        </w:r>
        <w:r w:rsidRPr="00F616A2">
          <w:rPr>
            <w:rStyle w:val="Hyperlink"/>
            <w:szCs w:val="20"/>
          </w:rPr>
          <w:t>.2</w:t>
        </w:r>
      </w:hyperlink>
      <w:r w:rsidRPr="00384531">
        <w:rPr>
          <w:szCs w:val="20"/>
        </w:rPr>
        <w:t>).</w:t>
      </w:r>
    </w:p>
    <w:p w14:paraId="710265A5" w14:textId="77777777" w:rsidR="005D604F" w:rsidRPr="0085577B" w:rsidRDefault="005D604F" w:rsidP="005D604F">
      <w:pPr>
        <w:jc w:val="both"/>
        <w:rPr>
          <w:szCs w:val="20"/>
        </w:rPr>
      </w:pPr>
      <w:r w:rsidRPr="00B54952">
        <w:rPr>
          <w:szCs w:val="20"/>
        </w:rPr>
        <w:t xml:space="preserve">When considering </w:t>
      </w:r>
      <w:r w:rsidRPr="00B54952">
        <w:rPr>
          <w:i/>
          <w:iCs/>
          <w:szCs w:val="20"/>
        </w:rPr>
        <w:t xml:space="preserve">what </w:t>
      </w:r>
      <w:r w:rsidRPr="00B54952">
        <w:rPr>
          <w:szCs w:val="20"/>
        </w:rPr>
        <w:t xml:space="preserve">information is needed to support a reliance-based decision, </w:t>
      </w:r>
      <w:r>
        <w:rPr>
          <w:szCs w:val="20"/>
        </w:rPr>
        <w:t>you</w:t>
      </w:r>
      <w:r w:rsidRPr="00B54952">
        <w:rPr>
          <w:szCs w:val="20"/>
        </w:rPr>
        <w:t xml:space="preserve"> should also consider </w:t>
      </w:r>
      <w:r w:rsidRPr="00B54952">
        <w:rPr>
          <w:i/>
          <w:iCs/>
          <w:szCs w:val="20"/>
        </w:rPr>
        <w:t xml:space="preserve">how </w:t>
      </w:r>
      <w:r w:rsidRPr="00B54952">
        <w:rPr>
          <w:szCs w:val="20"/>
        </w:rPr>
        <w:t>the information will be obtained.</w:t>
      </w:r>
    </w:p>
    <w:p w14:paraId="04025186" w14:textId="77777777" w:rsidR="005D604F" w:rsidRDefault="005D604F" w:rsidP="005D604F">
      <w:pPr>
        <w:jc w:val="both"/>
        <w:rPr>
          <w:b/>
          <w:bCs/>
          <w:szCs w:val="20"/>
          <w:highlight w:val="green"/>
        </w:rPr>
      </w:pPr>
    </w:p>
    <w:p w14:paraId="67FE286A" w14:textId="2067AE11" w:rsidR="005D604F" w:rsidRPr="00571B8D" w:rsidRDefault="005D604F" w:rsidP="005D604F">
      <w:pPr>
        <w:rPr>
          <w:szCs w:val="20"/>
        </w:rPr>
      </w:pPr>
      <w:r w:rsidRPr="00571B8D">
        <w:rPr>
          <w:b/>
          <w:bCs/>
          <w:szCs w:val="20"/>
        </w:rPr>
        <w:t>Prioritize public information</w:t>
      </w:r>
    </w:p>
    <w:p w14:paraId="1C616731" w14:textId="0A6F042D" w:rsidR="005D604F" w:rsidRPr="00571B8D" w:rsidRDefault="005D604F" w:rsidP="005D604F">
      <w:pPr>
        <w:jc w:val="both"/>
        <w:rPr>
          <w:szCs w:val="20"/>
        </w:rPr>
      </w:pPr>
      <w:r w:rsidRPr="00571B8D">
        <w:rPr>
          <w:szCs w:val="20"/>
        </w:rPr>
        <w:t xml:space="preserve">You should first determine if publicly available information is sufficient to support your decision-making needs. Many regulators publish regulatory decisions and decision-making processes on their websites. You may also require manufacturers to notify you of changes or actions by other regulators involving their product. However, information from sources other than the </w:t>
      </w:r>
      <w:r w:rsidR="008475A7">
        <w:rPr>
          <w:szCs w:val="20"/>
        </w:rPr>
        <w:t>RA</w:t>
      </w:r>
      <w:r w:rsidRPr="00571B8D">
        <w:rPr>
          <w:szCs w:val="20"/>
        </w:rPr>
        <w:t xml:space="preserve"> may not always be sufficient.</w:t>
      </w:r>
    </w:p>
    <w:p w14:paraId="76F642E8" w14:textId="53C0C364" w:rsidR="005D604F" w:rsidRPr="00571B8D" w:rsidRDefault="005D604F" w:rsidP="005D604F">
      <w:pPr>
        <w:jc w:val="both"/>
        <w:rPr>
          <w:szCs w:val="20"/>
        </w:rPr>
      </w:pPr>
      <w:r w:rsidRPr="00571B8D">
        <w:rPr>
          <w:szCs w:val="20"/>
        </w:rPr>
        <w:t>If public information is inadequate and you anticipate needing access to</w:t>
      </w:r>
      <w:r w:rsidR="00050392">
        <w:rPr>
          <w:szCs w:val="20"/>
        </w:rPr>
        <w:t xml:space="preserve"> information that is</w:t>
      </w:r>
      <w:r w:rsidRPr="00571B8D">
        <w:rPr>
          <w:szCs w:val="20"/>
        </w:rPr>
        <w:t xml:space="preserve"> non-public or that the manufacturer cannot provide (e.g.</w:t>
      </w:r>
      <w:r w:rsidR="000561E7">
        <w:rPr>
          <w:szCs w:val="20"/>
        </w:rPr>
        <w:t>,</w:t>
      </w:r>
      <w:r w:rsidRPr="00571B8D">
        <w:rPr>
          <w:szCs w:val="20"/>
        </w:rPr>
        <w:t xml:space="preserve"> audit reports from conformity assessment bodies),</w:t>
      </w:r>
      <w:r w:rsidR="001C3586" w:rsidRPr="001C3586">
        <w:rPr>
          <w:rFonts w:ascii="Calibri" w:eastAsia="Times New Roman" w:hAnsi="Calibri" w:cs="Calibri"/>
          <w:color w:val="FF0000"/>
          <w:sz w:val="22"/>
          <w:szCs w:val="22"/>
        </w:rPr>
        <w:t xml:space="preserve"> </w:t>
      </w:r>
      <w:r w:rsidR="001C3586" w:rsidRPr="001C3586">
        <w:rPr>
          <w:szCs w:val="20"/>
        </w:rPr>
        <w:t xml:space="preserve">you could consider whether it’s feasible to engage with the reference RA </w:t>
      </w:r>
      <w:r w:rsidR="00735DE4">
        <w:rPr>
          <w:szCs w:val="20"/>
        </w:rPr>
        <w:t>to</w:t>
      </w:r>
      <w:r w:rsidR="001C3586" w:rsidRPr="001C3586">
        <w:rPr>
          <w:szCs w:val="20"/>
        </w:rPr>
        <w:t xml:space="preserve"> explore</w:t>
      </w:r>
      <w:r w:rsidRPr="00571B8D">
        <w:rPr>
          <w:szCs w:val="20"/>
        </w:rPr>
        <w:t xml:space="preserve"> an external agreement between the two regulators. Such agreements can facilitate sharing of specific non-public information between parties (e.g., specific regulators or trusted institutions) and provide opportunities to discuss decision-making aspects that would otherwise be unavailable to you as a relying RA.</w:t>
      </w:r>
      <w:r w:rsidR="00094CEF">
        <w:rPr>
          <w:szCs w:val="20"/>
        </w:rPr>
        <w:t xml:space="preserve">  </w:t>
      </w:r>
      <w:r w:rsidR="00094CEF" w:rsidRPr="00094CEF">
        <w:rPr>
          <w:szCs w:val="20"/>
        </w:rPr>
        <w:t>This would require significant discussion and alignment with the reference RA.</w:t>
      </w:r>
    </w:p>
    <w:p w14:paraId="6071C7A0" w14:textId="6306804C" w:rsidR="000B7B14" w:rsidRDefault="000B7B14">
      <w:pPr>
        <w:keepLines w:val="0"/>
        <w:spacing w:before="0" w:after="0" w:line="240" w:lineRule="auto"/>
        <w:rPr>
          <w:szCs w:val="20"/>
        </w:rPr>
      </w:pPr>
      <w:r>
        <w:rPr>
          <w:szCs w:val="20"/>
        </w:rPr>
        <w:br w:type="page"/>
      </w:r>
    </w:p>
    <w:p w14:paraId="39FBDD52" w14:textId="77777777" w:rsidR="000C6B50" w:rsidRPr="00571B8D" w:rsidRDefault="005D604F" w:rsidP="005D604F">
      <w:pPr>
        <w:jc w:val="both"/>
        <w:rPr>
          <w:i/>
          <w:iCs/>
          <w:szCs w:val="20"/>
        </w:rPr>
      </w:pPr>
      <w:r w:rsidRPr="00571B8D">
        <w:rPr>
          <w:b/>
          <w:bCs/>
          <w:szCs w:val="20"/>
        </w:rPr>
        <w:t>Consider effort and sensitivity</w:t>
      </w:r>
    </w:p>
    <w:p w14:paraId="08041D05" w14:textId="796390B8" w:rsidR="005D604F" w:rsidRPr="00571B8D" w:rsidRDefault="005D604F" w:rsidP="005D604F">
      <w:pPr>
        <w:jc w:val="both"/>
        <w:rPr>
          <w:szCs w:val="20"/>
        </w:rPr>
      </w:pPr>
      <w:r w:rsidRPr="00571B8D">
        <w:rPr>
          <w:szCs w:val="20"/>
        </w:rPr>
        <w:t xml:space="preserve">You should assess the sensitivity of required information (e.g., trade secret, company confidential information from manufacturers such as test protocols or data, pre-decisional or deliberative information from the RA) and the extent </w:t>
      </w:r>
      <w:r w:rsidR="002661D8">
        <w:rPr>
          <w:szCs w:val="20"/>
        </w:rPr>
        <w:t xml:space="preserve">to which </w:t>
      </w:r>
      <w:r w:rsidRPr="00571B8D">
        <w:rPr>
          <w:szCs w:val="20"/>
        </w:rPr>
        <w:t>the agreement would need to cover this. Assess information</w:t>
      </w:r>
      <w:r w:rsidR="002A14C9">
        <w:rPr>
          <w:szCs w:val="20"/>
        </w:rPr>
        <w:t>-</w:t>
      </w:r>
      <w:r w:rsidRPr="00571B8D">
        <w:rPr>
          <w:szCs w:val="20"/>
        </w:rPr>
        <w:t>sharing necessity and scope carefully, considering sensitivity of required data. Also consider what information you would be expected to share with your counterparts under such an agreement, as well as the internal resources required to meet these expectations and make this information available. Depending on the sensitivity and type of information about a medical device to be shared, you may need to notify or request permission from the manufacturer.</w:t>
      </w:r>
    </w:p>
    <w:p w14:paraId="660F76A6" w14:textId="77777777" w:rsidR="005D604F" w:rsidRPr="00571B8D" w:rsidRDefault="005D604F" w:rsidP="005D604F">
      <w:pPr>
        <w:jc w:val="both"/>
        <w:rPr>
          <w:szCs w:val="20"/>
        </w:rPr>
      </w:pPr>
      <w:r w:rsidRPr="00571B8D">
        <w:rPr>
          <w:szCs w:val="20"/>
        </w:rPr>
        <w:t>To minimize workload on participating organizations and limit exposure of sensitive information, share only information necessary for you to make a decision.</w:t>
      </w:r>
    </w:p>
    <w:p w14:paraId="7A47A926" w14:textId="77777777" w:rsidR="005D604F" w:rsidRPr="00571B8D" w:rsidRDefault="005D604F" w:rsidP="005D604F">
      <w:pPr>
        <w:rPr>
          <w:szCs w:val="20"/>
        </w:rPr>
      </w:pPr>
    </w:p>
    <w:p w14:paraId="006C2BC0" w14:textId="77777777" w:rsidR="000C6B50" w:rsidRPr="00571B8D" w:rsidRDefault="005D604F" w:rsidP="005D604F">
      <w:pPr>
        <w:jc w:val="both"/>
        <w:rPr>
          <w:i/>
          <w:iCs/>
          <w:szCs w:val="20"/>
        </w:rPr>
      </w:pPr>
      <w:r w:rsidRPr="00571B8D">
        <w:rPr>
          <w:b/>
          <w:bCs/>
          <w:szCs w:val="20"/>
        </w:rPr>
        <w:t>Consider legal requirements</w:t>
      </w:r>
    </w:p>
    <w:p w14:paraId="2A3117C2" w14:textId="65015D7B" w:rsidR="005D604F" w:rsidRPr="00571B8D" w:rsidRDefault="005D604F" w:rsidP="005D604F">
      <w:pPr>
        <w:jc w:val="both"/>
        <w:rPr>
          <w:szCs w:val="20"/>
        </w:rPr>
      </w:pPr>
      <w:r w:rsidRPr="00571B8D">
        <w:rPr>
          <w:szCs w:val="20"/>
        </w:rPr>
        <w:t xml:space="preserve">Review should also consider both parties' legal frameworks to determine what external agreements are permitted (e.g., what type of information may be shared and with whom). This review should assess factors for protecting shared information, including disclosure requirements in each jurisdiction and measures to mitigate information security risks as needed. Any plan for developing a reliance program should also consider the timelines associated with establishing and/or modifying external agreements. </w:t>
      </w:r>
    </w:p>
    <w:p w14:paraId="3869382E" w14:textId="77777777" w:rsidR="005D604F" w:rsidRPr="00571B8D" w:rsidRDefault="005D604F" w:rsidP="005D604F">
      <w:pPr>
        <w:rPr>
          <w:szCs w:val="20"/>
        </w:rPr>
      </w:pPr>
    </w:p>
    <w:p w14:paraId="379D1A39" w14:textId="77777777" w:rsidR="005D604F" w:rsidRPr="00571B8D" w:rsidRDefault="005D604F" w:rsidP="005D604F">
      <w:pPr>
        <w:rPr>
          <w:szCs w:val="20"/>
        </w:rPr>
      </w:pPr>
      <w:r w:rsidRPr="00571B8D">
        <w:rPr>
          <w:b/>
          <w:bCs/>
          <w:szCs w:val="20"/>
        </w:rPr>
        <w:t>Assessing agreement necessity</w:t>
      </w:r>
    </w:p>
    <w:p w14:paraId="1FD29AC0" w14:textId="2514AB85" w:rsidR="002516E9" w:rsidRDefault="005D604F" w:rsidP="005D604F">
      <w:pPr>
        <w:jc w:val="both"/>
        <w:rPr>
          <w:szCs w:val="20"/>
          <w:lang w:val="en-GB"/>
        </w:rPr>
      </w:pPr>
      <w:r w:rsidRPr="00571B8D">
        <w:rPr>
          <w:szCs w:val="20"/>
        </w:rPr>
        <w:t>External agreements can be valuable, but you do not always need the</w:t>
      </w:r>
      <w:r w:rsidR="002661D8">
        <w:rPr>
          <w:szCs w:val="20"/>
        </w:rPr>
        <w:t>m</w:t>
      </w:r>
      <w:r w:rsidRPr="00571B8D">
        <w:rPr>
          <w:szCs w:val="20"/>
        </w:rPr>
        <w:t xml:space="preserve"> for reliance, especially </w:t>
      </w:r>
      <w:r w:rsidR="00B501C5">
        <w:rPr>
          <w:szCs w:val="20"/>
        </w:rPr>
        <w:t xml:space="preserve">for unilateral reliance and </w:t>
      </w:r>
      <w:r w:rsidRPr="00571B8D">
        <w:rPr>
          <w:szCs w:val="20"/>
        </w:rPr>
        <w:t xml:space="preserve">when you establish sufficient trust and understanding </w:t>
      </w:r>
      <w:r w:rsidR="00B501C5">
        <w:rPr>
          <w:szCs w:val="20"/>
        </w:rPr>
        <w:t xml:space="preserve">of </w:t>
      </w:r>
      <w:r w:rsidRPr="00571B8D">
        <w:rPr>
          <w:szCs w:val="20"/>
        </w:rPr>
        <w:t>the reference R</w:t>
      </w:r>
      <w:r w:rsidR="00DD79AE">
        <w:rPr>
          <w:szCs w:val="20"/>
        </w:rPr>
        <w:t>A</w:t>
      </w:r>
      <w:r w:rsidRPr="00571B8D">
        <w:rPr>
          <w:szCs w:val="20"/>
        </w:rPr>
        <w:t>s</w:t>
      </w:r>
      <w:r w:rsidR="00B501C5">
        <w:rPr>
          <w:szCs w:val="20"/>
        </w:rPr>
        <w:t xml:space="preserve"> framework</w:t>
      </w:r>
      <w:r w:rsidRPr="00571B8D">
        <w:rPr>
          <w:szCs w:val="20"/>
        </w:rPr>
        <w:t xml:space="preserve">. </w:t>
      </w:r>
      <w:r w:rsidR="002516E9">
        <w:rPr>
          <w:szCs w:val="20"/>
          <w:lang w:val="en-GB"/>
        </w:rPr>
        <w:t xml:space="preserve">It is important to recognize that agreements can take significant time to develop, and in some cases reference RAs may not be in a position to establish an agreement. </w:t>
      </w:r>
    </w:p>
    <w:p w14:paraId="34594D5E" w14:textId="46F1290A" w:rsidR="00E8629A" w:rsidRDefault="005D604F" w:rsidP="005D604F">
      <w:pPr>
        <w:jc w:val="both"/>
        <w:rPr>
          <w:szCs w:val="20"/>
        </w:rPr>
      </w:pPr>
      <w:r w:rsidRPr="00571B8D">
        <w:rPr>
          <w:szCs w:val="20"/>
        </w:rPr>
        <w:t xml:space="preserve">In many cases, </w:t>
      </w:r>
      <w:r w:rsidR="00BC0647">
        <w:t>r</w:t>
      </w:r>
      <w:r w:rsidR="00BC0647" w:rsidRPr="002516E9">
        <w:t>eliance can be implemented unilaterally</w:t>
      </w:r>
      <w:r w:rsidR="00BC0647">
        <w:t xml:space="preserve"> without </w:t>
      </w:r>
      <w:r w:rsidR="00093CEF">
        <w:t xml:space="preserve">the active participation of the </w:t>
      </w:r>
      <w:r w:rsidR="00BC0647">
        <w:t xml:space="preserve">reference RA. </w:t>
      </w:r>
      <w:r w:rsidR="00BC0647">
        <w:rPr>
          <w:szCs w:val="20"/>
        </w:rPr>
        <w:t>P</w:t>
      </w:r>
      <w:r w:rsidRPr="00571B8D">
        <w:rPr>
          <w:szCs w:val="20"/>
        </w:rPr>
        <w:t>ublicly available information and regional requirements placed on manufacturers for reporting provide sufficient support for your decision-making. As such, you are encouraged to assess your threshold for evidence for reliance-based regulatory decision-making with a focus on the availability, sufficiency, and usability of public information, along with your existing external agreements and whether any modifications are needed to support the reliance approach.</w:t>
      </w:r>
      <w:r w:rsidR="002516E9">
        <w:rPr>
          <w:szCs w:val="20"/>
        </w:rPr>
        <w:t xml:space="preserve"> </w:t>
      </w:r>
      <w:r w:rsidR="00C6530F">
        <w:rPr>
          <w:szCs w:val="20"/>
        </w:rPr>
        <w:t>B</w:t>
      </w:r>
      <w:r w:rsidR="00E026DA" w:rsidRPr="00E026DA">
        <w:rPr>
          <w:szCs w:val="20"/>
        </w:rPr>
        <w:t xml:space="preserve">efore pursuing </w:t>
      </w:r>
      <w:r w:rsidR="00C6530F">
        <w:rPr>
          <w:szCs w:val="20"/>
        </w:rPr>
        <w:t xml:space="preserve">external </w:t>
      </w:r>
      <w:r w:rsidR="00E026DA" w:rsidRPr="00E026DA">
        <w:rPr>
          <w:szCs w:val="20"/>
        </w:rPr>
        <w:t xml:space="preserve">agreements, </w:t>
      </w:r>
      <w:r w:rsidR="00093CEF">
        <w:rPr>
          <w:szCs w:val="20"/>
        </w:rPr>
        <w:t xml:space="preserve">you should </w:t>
      </w:r>
      <w:r w:rsidR="00E026DA" w:rsidRPr="00E026DA">
        <w:rPr>
          <w:szCs w:val="20"/>
        </w:rPr>
        <w:t>carefully assess whether your reliance objectives can be achieved through these simpler approaches</w:t>
      </w:r>
      <w:r w:rsidR="002516E9">
        <w:rPr>
          <w:szCs w:val="20"/>
        </w:rPr>
        <w:t>.</w:t>
      </w:r>
    </w:p>
    <w:tbl>
      <w:tblPr>
        <w:tblStyle w:val="TableGrid"/>
        <w:tblW w:w="0" w:type="auto"/>
        <w:tblLook w:val="04A0" w:firstRow="1" w:lastRow="0" w:firstColumn="1" w:lastColumn="0" w:noHBand="0" w:noVBand="1"/>
      </w:tblPr>
      <w:tblGrid>
        <w:gridCol w:w="7502"/>
      </w:tblGrid>
      <w:tr w:rsidR="005D604F" w:rsidRPr="00BC6303" w14:paraId="508FABE4" w14:textId="77777777" w:rsidTr="000C6B50">
        <w:trPr>
          <w:trHeight w:val="1645"/>
        </w:trPr>
        <w:tc>
          <w:tcPr>
            <w:tcW w:w="7502" w:type="dxa"/>
          </w:tcPr>
          <w:p w14:paraId="79AF2E49" w14:textId="4562372E" w:rsidR="005D604F" w:rsidRPr="00BC6303" w:rsidRDefault="005D604F" w:rsidP="00A8237A">
            <w:pPr>
              <w:jc w:val="both"/>
              <w:rPr>
                <w:szCs w:val="20"/>
              </w:rPr>
            </w:pPr>
            <w:r w:rsidRPr="003E7477">
              <w:rPr>
                <w:b/>
                <w:bCs/>
                <w:szCs w:val="20"/>
              </w:rPr>
              <w:t>Example:</w:t>
            </w:r>
            <w:r w:rsidRPr="00BC6303">
              <w:rPr>
                <w:szCs w:val="20"/>
              </w:rPr>
              <w:t xml:space="preserve"> Regulator A seeks to rely on Regulator B’s post-market decision</w:t>
            </w:r>
            <w:r w:rsidR="0083482D">
              <w:rPr>
                <w:szCs w:val="20"/>
              </w:rPr>
              <w:t>s</w:t>
            </w:r>
            <w:r w:rsidRPr="00BC6303">
              <w:rPr>
                <w:szCs w:val="20"/>
              </w:rPr>
              <w:t>, including any restrictions or conditions for the same device(s) marketed in their jurisdiction. They also wish to have the ability to discuss confidential information with Regulator B regarding these decisions. Neither regulator currently has an agreement to share confidential information with the other. Regulator A and Regulator B discuss options for sharing confidential information with one another.</w:t>
            </w:r>
          </w:p>
        </w:tc>
      </w:tr>
    </w:tbl>
    <w:p w14:paraId="29589045" w14:textId="33F564EE" w:rsidR="00BE1D22" w:rsidRPr="00714E6F" w:rsidRDefault="00286E59" w:rsidP="00714E6F">
      <w:pPr>
        <w:pStyle w:val="Heading2"/>
      </w:pPr>
      <w:bookmarkStart w:id="83" w:name="_Engaging_stakeholders"/>
      <w:bookmarkStart w:id="84" w:name="_Toc213265639"/>
      <w:bookmarkEnd w:id="83"/>
      <w:r>
        <w:t>Engaging stakeholders</w:t>
      </w:r>
      <w:bookmarkEnd w:id="84"/>
      <w:r>
        <w:t xml:space="preserve"> </w:t>
      </w:r>
    </w:p>
    <w:p w14:paraId="27C9A5DE" w14:textId="77777777" w:rsidR="004B3BE1" w:rsidRDefault="004B3BE1" w:rsidP="004B3BE1">
      <w:pPr>
        <w:jc w:val="both"/>
        <w:rPr>
          <w:szCs w:val="20"/>
        </w:rPr>
      </w:pPr>
      <w:r w:rsidRPr="0014743E">
        <w:rPr>
          <w:szCs w:val="20"/>
        </w:rPr>
        <w:t>Medical device regulation involves different stakeholders who may be affected differently by your reliance program</w:t>
      </w:r>
      <w:r>
        <w:rPr>
          <w:szCs w:val="20"/>
        </w:rPr>
        <w:t>, including:</w:t>
      </w:r>
    </w:p>
    <w:p w14:paraId="7DED05F8" w14:textId="77777777" w:rsidR="004B3BE1" w:rsidRDefault="004B3BE1" w:rsidP="00783DFA">
      <w:pPr>
        <w:pStyle w:val="NormalNumbered"/>
        <w:numPr>
          <w:ilvl w:val="0"/>
          <w:numId w:val="35"/>
        </w:numPr>
        <w:ind w:left="288" w:hanging="288"/>
        <w:jc w:val="both"/>
        <w:rPr>
          <w:szCs w:val="20"/>
        </w:rPr>
      </w:pPr>
      <w:r>
        <w:rPr>
          <w:szCs w:val="20"/>
        </w:rPr>
        <w:t>internal stakeholders within your own organization</w:t>
      </w:r>
    </w:p>
    <w:p w14:paraId="090AF083" w14:textId="3320D905" w:rsidR="004B3BE1" w:rsidRPr="0020007E" w:rsidRDefault="004B3BE1" w:rsidP="00783DFA">
      <w:pPr>
        <w:pStyle w:val="NormalNumbered"/>
        <w:numPr>
          <w:ilvl w:val="0"/>
          <w:numId w:val="35"/>
        </w:numPr>
        <w:ind w:left="288" w:hanging="288"/>
        <w:jc w:val="both"/>
        <w:rPr>
          <w:szCs w:val="20"/>
        </w:rPr>
      </w:pPr>
      <w:r w:rsidRPr="0020007E">
        <w:rPr>
          <w:szCs w:val="20"/>
        </w:rPr>
        <w:t xml:space="preserve">external </w:t>
      </w:r>
      <w:r>
        <w:rPr>
          <w:szCs w:val="20"/>
        </w:rPr>
        <w:t>stakeholders</w:t>
      </w:r>
      <w:r w:rsidRPr="0020007E">
        <w:rPr>
          <w:szCs w:val="20"/>
        </w:rPr>
        <w:t xml:space="preserve"> (e.g., medical device industry members, patient</w:t>
      </w:r>
      <w:r>
        <w:rPr>
          <w:szCs w:val="20"/>
        </w:rPr>
        <w:t>s</w:t>
      </w:r>
      <w:r w:rsidRPr="0020007E">
        <w:rPr>
          <w:szCs w:val="20"/>
        </w:rPr>
        <w:t>,</w:t>
      </w:r>
      <w:r>
        <w:rPr>
          <w:szCs w:val="20"/>
        </w:rPr>
        <w:t xml:space="preserve"> </w:t>
      </w:r>
      <w:r w:rsidRPr="00783DFA">
        <w:rPr>
          <w:szCs w:val="20"/>
        </w:rPr>
        <w:t>health care providers</w:t>
      </w:r>
      <w:r w:rsidRPr="0020007E">
        <w:rPr>
          <w:szCs w:val="20"/>
        </w:rPr>
        <w:t xml:space="preserve"> </w:t>
      </w:r>
      <w:r>
        <w:rPr>
          <w:szCs w:val="20"/>
        </w:rPr>
        <w:t xml:space="preserve">and </w:t>
      </w:r>
      <w:r w:rsidRPr="0020007E">
        <w:rPr>
          <w:szCs w:val="20"/>
        </w:rPr>
        <w:t>other government</w:t>
      </w:r>
      <w:r>
        <w:rPr>
          <w:szCs w:val="20"/>
        </w:rPr>
        <w:t xml:space="preserve"> areas</w:t>
      </w:r>
      <w:r w:rsidR="004B68B4">
        <w:rPr>
          <w:szCs w:val="20"/>
        </w:rPr>
        <w:t xml:space="preserve"> and levels</w:t>
      </w:r>
      <w:r>
        <w:rPr>
          <w:szCs w:val="20"/>
        </w:rPr>
        <w:t>)</w:t>
      </w:r>
    </w:p>
    <w:p w14:paraId="03B976FC" w14:textId="79D01FEB" w:rsidR="004B3BE1" w:rsidRPr="0014743E" w:rsidRDefault="004B3BE1" w:rsidP="004B3BE1">
      <w:pPr>
        <w:jc w:val="both"/>
        <w:rPr>
          <w:szCs w:val="20"/>
        </w:rPr>
      </w:pPr>
      <w:r w:rsidRPr="0014743E">
        <w:rPr>
          <w:szCs w:val="20"/>
        </w:rPr>
        <w:t xml:space="preserve">Sharing information and collecting stakeholder feedback supports program transparency, as discussed in WHO's Good Regulatory Practices (see </w:t>
      </w:r>
      <w:hyperlink w:anchor="_References" w:history="1">
        <w:r w:rsidRPr="00783DFA">
          <w:rPr>
            <w:rStyle w:val="Hyperlink"/>
          </w:rPr>
          <w:t xml:space="preserve">Section </w:t>
        </w:r>
        <w:r w:rsidR="006241AF" w:rsidRPr="00783DFA">
          <w:rPr>
            <w:rStyle w:val="Hyperlink"/>
          </w:rPr>
          <w:t>7</w:t>
        </w:r>
      </w:hyperlink>
      <w:r w:rsidRPr="0014743E">
        <w:rPr>
          <w:szCs w:val="20"/>
        </w:rPr>
        <w:t>).</w:t>
      </w:r>
    </w:p>
    <w:p w14:paraId="5AB4D0C7" w14:textId="77777777" w:rsidR="004B3BE1" w:rsidRDefault="004B3BE1" w:rsidP="004B3BE1">
      <w:pPr>
        <w:jc w:val="both"/>
        <w:rPr>
          <w:szCs w:val="20"/>
        </w:rPr>
      </w:pPr>
      <w:r w:rsidRPr="00661DFF">
        <w:rPr>
          <w:szCs w:val="20"/>
        </w:rPr>
        <w:t>Before developing your reliance program, engage each stakeholder group</w:t>
      </w:r>
      <w:r>
        <w:rPr>
          <w:szCs w:val="20"/>
        </w:rPr>
        <w:t xml:space="preserve"> to:</w:t>
      </w:r>
    </w:p>
    <w:p w14:paraId="65BA36E3" w14:textId="77777777" w:rsidR="004B3BE1" w:rsidRPr="0014743E" w:rsidRDefault="004B3BE1" w:rsidP="00783DFA">
      <w:pPr>
        <w:pStyle w:val="NormalNumbered"/>
        <w:numPr>
          <w:ilvl w:val="0"/>
          <w:numId w:val="35"/>
        </w:numPr>
        <w:ind w:left="288" w:hanging="288"/>
        <w:jc w:val="both"/>
        <w:rPr>
          <w:szCs w:val="20"/>
        </w:rPr>
      </w:pPr>
      <w:r w:rsidRPr="0014743E">
        <w:rPr>
          <w:szCs w:val="20"/>
        </w:rPr>
        <w:t>understand their perspectives</w:t>
      </w:r>
    </w:p>
    <w:p w14:paraId="33D87F14" w14:textId="77777777" w:rsidR="004B3BE1" w:rsidRPr="0014743E" w:rsidRDefault="004B3BE1" w:rsidP="00783DFA">
      <w:pPr>
        <w:pStyle w:val="NormalNumbered"/>
        <w:numPr>
          <w:ilvl w:val="0"/>
          <w:numId w:val="35"/>
        </w:numPr>
        <w:ind w:left="288" w:hanging="288"/>
        <w:jc w:val="both"/>
        <w:rPr>
          <w:szCs w:val="20"/>
        </w:rPr>
      </w:pPr>
      <w:r w:rsidRPr="0014743E">
        <w:rPr>
          <w:szCs w:val="20"/>
        </w:rPr>
        <w:t>g</w:t>
      </w:r>
      <w:r>
        <w:rPr>
          <w:szCs w:val="20"/>
        </w:rPr>
        <w:t>ain</w:t>
      </w:r>
      <w:r w:rsidRPr="0014743E">
        <w:rPr>
          <w:szCs w:val="20"/>
        </w:rPr>
        <w:t xml:space="preserve"> their support and feedback</w:t>
      </w:r>
    </w:p>
    <w:p w14:paraId="138FE93A" w14:textId="77777777" w:rsidR="004B3BE1" w:rsidRPr="0014743E" w:rsidRDefault="004B3BE1" w:rsidP="00783DFA">
      <w:pPr>
        <w:pStyle w:val="NormalNumbered"/>
        <w:numPr>
          <w:ilvl w:val="0"/>
          <w:numId w:val="35"/>
        </w:numPr>
        <w:ind w:left="288" w:hanging="288"/>
        <w:jc w:val="both"/>
        <w:rPr>
          <w:szCs w:val="20"/>
        </w:rPr>
      </w:pPr>
      <w:r>
        <w:rPr>
          <w:szCs w:val="20"/>
        </w:rPr>
        <w:t>i</w:t>
      </w:r>
      <w:r w:rsidRPr="0014743E">
        <w:rPr>
          <w:szCs w:val="20"/>
        </w:rPr>
        <w:t xml:space="preserve">nform </w:t>
      </w:r>
      <w:r>
        <w:rPr>
          <w:szCs w:val="20"/>
        </w:rPr>
        <w:t xml:space="preserve">them </w:t>
      </w:r>
      <w:r w:rsidRPr="0014743E">
        <w:rPr>
          <w:szCs w:val="20"/>
        </w:rPr>
        <w:t>of progress</w:t>
      </w:r>
      <w:r>
        <w:rPr>
          <w:szCs w:val="20"/>
        </w:rPr>
        <w:t xml:space="preserve"> towards your end goal</w:t>
      </w:r>
    </w:p>
    <w:p w14:paraId="10D630A1" w14:textId="6E19F6D8" w:rsidR="004B3BE1" w:rsidRDefault="004B3BE1" w:rsidP="002348AD">
      <w:pPr>
        <w:spacing w:after="0"/>
        <w:jc w:val="both"/>
        <w:rPr>
          <w:szCs w:val="20"/>
        </w:rPr>
      </w:pPr>
      <w:r w:rsidRPr="00967C76">
        <w:rPr>
          <w:szCs w:val="20"/>
        </w:rPr>
        <w:t>Use two-way communication</w:t>
      </w:r>
      <w:r>
        <w:rPr>
          <w:szCs w:val="20"/>
        </w:rPr>
        <w:t xml:space="preserve"> when appropriate</w:t>
      </w:r>
      <w:r w:rsidRPr="00967C76">
        <w:rPr>
          <w:szCs w:val="20"/>
        </w:rPr>
        <w:t xml:space="preserve"> so your program design </w:t>
      </w:r>
      <w:r>
        <w:rPr>
          <w:szCs w:val="20"/>
        </w:rPr>
        <w:t xml:space="preserve">and implementation </w:t>
      </w:r>
      <w:r w:rsidRPr="00967C76">
        <w:rPr>
          <w:szCs w:val="20"/>
        </w:rPr>
        <w:t>can benefit from various insights and experiences</w:t>
      </w:r>
      <w:r>
        <w:rPr>
          <w:szCs w:val="20"/>
        </w:rPr>
        <w:t xml:space="preserve">, </w:t>
      </w:r>
      <w:r w:rsidR="00594FE2">
        <w:rPr>
          <w:szCs w:val="20"/>
        </w:rPr>
        <w:t xml:space="preserve">while </w:t>
      </w:r>
      <w:r>
        <w:rPr>
          <w:szCs w:val="20"/>
        </w:rPr>
        <w:t>u</w:t>
      </w:r>
      <w:r w:rsidRPr="0020007E">
        <w:rPr>
          <w:szCs w:val="20"/>
        </w:rPr>
        <w:t>nderstand</w:t>
      </w:r>
      <w:r>
        <w:rPr>
          <w:szCs w:val="20"/>
        </w:rPr>
        <w:t>ing</w:t>
      </w:r>
      <w:r w:rsidR="00594FE2">
        <w:rPr>
          <w:szCs w:val="20"/>
        </w:rPr>
        <w:t xml:space="preserve"> that</w:t>
      </w:r>
      <w:r w:rsidRPr="0020007E">
        <w:rPr>
          <w:szCs w:val="20"/>
        </w:rPr>
        <w:t xml:space="preserve"> you may not </w:t>
      </w:r>
      <w:r>
        <w:rPr>
          <w:szCs w:val="20"/>
        </w:rPr>
        <w:t xml:space="preserve">be able to </w:t>
      </w:r>
      <w:r w:rsidRPr="0020007E">
        <w:rPr>
          <w:szCs w:val="20"/>
        </w:rPr>
        <w:t>accommodate every stakeholder's preference.</w:t>
      </w:r>
      <w:r>
        <w:rPr>
          <w:szCs w:val="20"/>
        </w:rPr>
        <w:t xml:space="preserve"> S</w:t>
      </w:r>
      <w:r w:rsidRPr="00967C76">
        <w:rPr>
          <w:szCs w:val="20"/>
        </w:rPr>
        <w:t xml:space="preserve">takeholder participation and support </w:t>
      </w:r>
      <w:r>
        <w:rPr>
          <w:szCs w:val="20"/>
        </w:rPr>
        <w:t>are</w:t>
      </w:r>
      <w:r w:rsidRPr="00967C76">
        <w:rPr>
          <w:szCs w:val="20"/>
        </w:rPr>
        <w:t xml:space="preserve"> crucial for success</w:t>
      </w:r>
      <w:r>
        <w:rPr>
          <w:szCs w:val="20"/>
        </w:rPr>
        <w:t xml:space="preserve">; </w:t>
      </w:r>
      <w:r w:rsidR="00797760">
        <w:rPr>
          <w:szCs w:val="20"/>
        </w:rPr>
        <w:t>stakeholders</w:t>
      </w:r>
      <w:r>
        <w:rPr>
          <w:szCs w:val="20"/>
        </w:rPr>
        <w:t xml:space="preserve"> are </w:t>
      </w:r>
      <w:r w:rsidRPr="00967C76">
        <w:rPr>
          <w:szCs w:val="20"/>
        </w:rPr>
        <w:t xml:space="preserve">more likely to support and correctly implement </w:t>
      </w:r>
      <w:r w:rsidR="00397B9C">
        <w:rPr>
          <w:szCs w:val="20"/>
        </w:rPr>
        <w:t xml:space="preserve">a </w:t>
      </w:r>
      <w:r w:rsidRPr="00967C76">
        <w:rPr>
          <w:szCs w:val="20"/>
        </w:rPr>
        <w:t>program they helped develop.</w:t>
      </w:r>
      <w:r>
        <w:rPr>
          <w:szCs w:val="20"/>
        </w:rPr>
        <w:t xml:space="preserve"> </w:t>
      </w:r>
      <w:r w:rsidRPr="00F50B00">
        <w:rPr>
          <w:szCs w:val="20"/>
        </w:rPr>
        <w:t>Specific considerations for different stakeholders are provided below.</w:t>
      </w:r>
    </w:p>
    <w:p w14:paraId="04144D09" w14:textId="77777777" w:rsidR="004B3BE1" w:rsidRDefault="004B3BE1" w:rsidP="002348AD">
      <w:pPr>
        <w:spacing w:before="0"/>
        <w:jc w:val="both"/>
        <w:rPr>
          <w:szCs w:val="20"/>
        </w:rPr>
      </w:pPr>
    </w:p>
    <w:p w14:paraId="19DBFCC2" w14:textId="77777777" w:rsidR="004B3BE1" w:rsidRDefault="004B3BE1" w:rsidP="004B3BE1">
      <w:pPr>
        <w:jc w:val="both"/>
        <w:rPr>
          <w:b/>
          <w:bCs/>
          <w:szCs w:val="20"/>
        </w:rPr>
      </w:pPr>
      <w:r w:rsidRPr="00661DFF">
        <w:rPr>
          <w:b/>
          <w:bCs/>
          <w:szCs w:val="20"/>
        </w:rPr>
        <w:t>Internal stakeholders</w:t>
      </w:r>
    </w:p>
    <w:p w14:paraId="277C5194" w14:textId="4F7FEA33" w:rsidR="004B3BE1" w:rsidRDefault="004B3BE1" w:rsidP="004B3BE1">
      <w:pPr>
        <w:jc w:val="both"/>
        <w:rPr>
          <w:szCs w:val="20"/>
          <w:lang w:val="en-GB"/>
        </w:rPr>
      </w:pPr>
      <w:r w:rsidRPr="00661DFF">
        <w:rPr>
          <w:szCs w:val="20"/>
        </w:rPr>
        <w:t xml:space="preserve">Transparent and well-timed communication is critical to successful implementation. You should clearly explain the intent, timeline, scope, and anticipated impact of your planned changes. </w:t>
      </w:r>
      <w:r w:rsidRPr="003E7477">
        <w:rPr>
          <w:szCs w:val="20"/>
          <w:lang w:val="en-GB"/>
        </w:rPr>
        <w:t xml:space="preserve">Any concerns expressed within the </w:t>
      </w:r>
      <w:r w:rsidR="008475A7">
        <w:rPr>
          <w:szCs w:val="20"/>
          <w:lang w:val="en-GB"/>
        </w:rPr>
        <w:t>RA</w:t>
      </w:r>
      <w:r w:rsidRPr="003E7477">
        <w:rPr>
          <w:szCs w:val="20"/>
          <w:lang w:val="en-GB"/>
        </w:rPr>
        <w:t xml:space="preserve"> should be understood and addressed to support eventual adoption of the reliance program.</w:t>
      </w:r>
    </w:p>
    <w:p w14:paraId="73C3C508" w14:textId="77777777" w:rsidR="00D17E0C" w:rsidRDefault="00D17E0C" w:rsidP="002348AD">
      <w:pPr>
        <w:spacing w:before="0" w:after="0"/>
        <w:jc w:val="both"/>
        <w:rPr>
          <w:szCs w:val="20"/>
        </w:rPr>
      </w:pPr>
    </w:p>
    <w:tbl>
      <w:tblPr>
        <w:tblStyle w:val="TableGrid"/>
        <w:tblW w:w="0" w:type="auto"/>
        <w:tblLook w:val="04A0" w:firstRow="1" w:lastRow="0" w:firstColumn="1" w:lastColumn="0" w:noHBand="0" w:noVBand="1"/>
      </w:tblPr>
      <w:tblGrid>
        <w:gridCol w:w="7538"/>
      </w:tblGrid>
      <w:tr w:rsidR="004B3BE1" w:rsidRPr="003E7477" w14:paraId="273FE45B" w14:textId="77777777" w:rsidTr="009448C5">
        <w:trPr>
          <w:trHeight w:val="1974"/>
        </w:trPr>
        <w:tc>
          <w:tcPr>
            <w:tcW w:w="7538" w:type="dxa"/>
          </w:tcPr>
          <w:p w14:paraId="609DF7FF" w14:textId="646522DA" w:rsidR="004B3BE1" w:rsidRPr="003E7477" w:rsidRDefault="004B3BE1" w:rsidP="00A8237A">
            <w:pPr>
              <w:jc w:val="both"/>
              <w:rPr>
                <w:szCs w:val="20"/>
                <w:lang w:val="en-GB"/>
              </w:rPr>
            </w:pPr>
            <w:r w:rsidRPr="00850AE9">
              <w:rPr>
                <w:b/>
                <w:bCs/>
                <w:szCs w:val="20"/>
                <w:lang w:val="en-GB"/>
              </w:rPr>
              <w:t>Example</w:t>
            </w:r>
            <w:r>
              <w:rPr>
                <w:b/>
                <w:bCs/>
                <w:szCs w:val="20"/>
                <w:lang w:val="en-GB"/>
              </w:rPr>
              <w:t xml:space="preserve">: </w:t>
            </w:r>
            <w:r w:rsidRPr="003E7477">
              <w:rPr>
                <w:szCs w:val="20"/>
                <w:lang w:val="en-GB"/>
              </w:rPr>
              <w:t xml:space="preserve">Those </w:t>
            </w:r>
            <w:r w:rsidR="00797760">
              <w:rPr>
                <w:szCs w:val="20"/>
                <w:lang w:val="en-GB"/>
              </w:rPr>
              <w:t xml:space="preserve">within the RA </w:t>
            </w:r>
            <w:r w:rsidRPr="003E7477">
              <w:rPr>
                <w:szCs w:val="20"/>
                <w:lang w:val="en-GB"/>
              </w:rPr>
              <w:t xml:space="preserve">responsible for development of a reliance program conduct a number of outreach opportunities within their organization (e.g., town halls, newsletters, attendance at other meetings, establishment of a specific internal website) in order to provide initial and evolving information about progress towards implementation of a reliance program. Internal stakeholders are asked for their opinions and perspective on different policy decisions. Concerns are addressed in an open and transparent manner. </w:t>
            </w:r>
          </w:p>
        </w:tc>
      </w:tr>
    </w:tbl>
    <w:p w14:paraId="59282E0E" w14:textId="77777777" w:rsidR="004B3BE1" w:rsidRDefault="004B3BE1" w:rsidP="004B3BE1">
      <w:pPr>
        <w:jc w:val="both"/>
        <w:rPr>
          <w:b/>
          <w:bCs/>
          <w:szCs w:val="20"/>
        </w:rPr>
      </w:pPr>
    </w:p>
    <w:p w14:paraId="757BB55C" w14:textId="77777777" w:rsidR="004B3BE1" w:rsidRDefault="004B3BE1" w:rsidP="004B3BE1">
      <w:pPr>
        <w:jc w:val="both"/>
        <w:rPr>
          <w:b/>
          <w:bCs/>
          <w:szCs w:val="20"/>
        </w:rPr>
      </w:pPr>
      <w:r w:rsidRPr="00661DFF">
        <w:rPr>
          <w:b/>
          <w:bCs/>
          <w:szCs w:val="20"/>
        </w:rPr>
        <w:t>External stakeholders</w:t>
      </w:r>
    </w:p>
    <w:p w14:paraId="25E9884E" w14:textId="77777777" w:rsidR="004B3BE1" w:rsidRDefault="004B3BE1" w:rsidP="004B3BE1">
      <w:pPr>
        <w:jc w:val="both"/>
        <w:rPr>
          <w:szCs w:val="20"/>
        </w:rPr>
      </w:pPr>
      <w:r w:rsidRPr="00ED225F">
        <w:rPr>
          <w:szCs w:val="20"/>
        </w:rPr>
        <w:t xml:space="preserve">Seek to understand external stakeholders' needs and interests. </w:t>
      </w:r>
      <w:r>
        <w:rPr>
          <w:szCs w:val="20"/>
        </w:rPr>
        <w:t>Your o</w:t>
      </w:r>
      <w:r w:rsidRPr="00661DFF">
        <w:rPr>
          <w:szCs w:val="20"/>
        </w:rPr>
        <w:t>utreach should address each stakeholder grou</w:t>
      </w:r>
      <w:r>
        <w:rPr>
          <w:szCs w:val="20"/>
        </w:rPr>
        <w:t>p to:</w:t>
      </w:r>
    </w:p>
    <w:p w14:paraId="0B1ED1CF" w14:textId="79489678" w:rsidR="004B3BE1" w:rsidRDefault="004B3BE1" w:rsidP="00783DFA">
      <w:pPr>
        <w:pStyle w:val="NormalNumbered"/>
        <w:numPr>
          <w:ilvl w:val="0"/>
          <w:numId w:val="35"/>
        </w:numPr>
        <w:ind w:left="288" w:hanging="288"/>
        <w:jc w:val="both"/>
        <w:rPr>
          <w:szCs w:val="20"/>
        </w:rPr>
      </w:pPr>
      <w:r w:rsidRPr="0014743E">
        <w:rPr>
          <w:szCs w:val="20"/>
        </w:rPr>
        <w:t>inform</w:t>
      </w:r>
      <w:r>
        <w:rPr>
          <w:szCs w:val="20"/>
        </w:rPr>
        <w:t xml:space="preserve"> </w:t>
      </w:r>
      <w:r w:rsidRPr="0014743E">
        <w:rPr>
          <w:szCs w:val="20"/>
        </w:rPr>
        <w:t>them of potential benefits</w:t>
      </w:r>
      <w:r>
        <w:rPr>
          <w:szCs w:val="20"/>
        </w:rPr>
        <w:t xml:space="preserve"> (e.g., </w:t>
      </w:r>
      <w:r w:rsidRPr="00ED225F">
        <w:rPr>
          <w:szCs w:val="20"/>
        </w:rPr>
        <w:t xml:space="preserve">continued or improved </w:t>
      </w:r>
      <w:r w:rsidR="008475A7">
        <w:rPr>
          <w:szCs w:val="20"/>
        </w:rPr>
        <w:t>RA</w:t>
      </w:r>
      <w:r w:rsidRPr="00ED225F">
        <w:rPr>
          <w:szCs w:val="20"/>
        </w:rPr>
        <w:t xml:space="preserve"> performance in non-reliance areas without loss of device quality, and </w:t>
      </w:r>
      <w:r w:rsidR="00D202EE">
        <w:rPr>
          <w:szCs w:val="20"/>
        </w:rPr>
        <w:t xml:space="preserve">the </w:t>
      </w:r>
      <w:r w:rsidRPr="00ED225F">
        <w:rPr>
          <w:szCs w:val="20"/>
        </w:rPr>
        <w:t>reliance</w:t>
      </w:r>
      <w:r w:rsidR="00D202EE">
        <w:rPr>
          <w:szCs w:val="20"/>
        </w:rPr>
        <w:t xml:space="preserve"> program</w:t>
      </w:r>
      <w:r w:rsidRPr="00ED225F">
        <w:rPr>
          <w:szCs w:val="20"/>
        </w:rPr>
        <w:t>'s ability to facilitate access to other markets</w:t>
      </w:r>
      <w:r>
        <w:rPr>
          <w:szCs w:val="20"/>
        </w:rPr>
        <w:t>)</w:t>
      </w:r>
    </w:p>
    <w:p w14:paraId="3863B1E4" w14:textId="77777777" w:rsidR="004B3BE1" w:rsidRPr="0014743E" w:rsidRDefault="004B3BE1" w:rsidP="00783DFA">
      <w:pPr>
        <w:pStyle w:val="NormalNumbered"/>
        <w:numPr>
          <w:ilvl w:val="0"/>
          <w:numId w:val="35"/>
        </w:numPr>
        <w:ind w:left="288" w:hanging="288"/>
        <w:jc w:val="both"/>
        <w:rPr>
          <w:szCs w:val="20"/>
        </w:rPr>
      </w:pPr>
      <w:r w:rsidRPr="0014743E">
        <w:rPr>
          <w:szCs w:val="20"/>
        </w:rPr>
        <w:t>learn about</w:t>
      </w:r>
      <w:r>
        <w:rPr>
          <w:szCs w:val="20"/>
        </w:rPr>
        <w:t xml:space="preserve"> their</w:t>
      </w:r>
      <w:r w:rsidRPr="0014743E">
        <w:rPr>
          <w:szCs w:val="20"/>
        </w:rPr>
        <w:t xml:space="preserve"> interests and concerns associated with</w:t>
      </w:r>
      <w:r>
        <w:rPr>
          <w:szCs w:val="20"/>
        </w:rPr>
        <w:t xml:space="preserve"> </w:t>
      </w:r>
      <w:r w:rsidRPr="0014743E">
        <w:rPr>
          <w:szCs w:val="20"/>
        </w:rPr>
        <w:t>reliance</w:t>
      </w:r>
    </w:p>
    <w:p w14:paraId="5BD81E4C" w14:textId="77777777" w:rsidR="00B86A77" w:rsidRDefault="004B3BE1" w:rsidP="004B3BE1">
      <w:pPr>
        <w:jc w:val="both"/>
        <w:rPr>
          <w:szCs w:val="20"/>
        </w:rPr>
      </w:pPr>
      <w:r>
        <w:rPr>
          <w:szCs w:val="20"/>
        </w:rPr>
        <w:t xml:space="preserve">Your local </w:t>
      </w:r>
      <w:r w:rsidRPr="0014743E">
        <w:rPr>
          <w:szCs w:val="20"/>
        </w:rPr>
        <w:t>medical device industry may be particularly sensitive to reliance program</w:t>
      </w:r>
      <w:r>
        <w:rPr>
          <w:szCs w:val="20"/>
        </w:rPr>
        <w:t xml:space="preserve"> development </w:t>
      </w:r>
      <w:r w:rsidRPr="0014743E">
        <w:rPr>
          <w:szCs w:val="20"/>
        </w:rPr>
        <w:t>and its potential domestic market</w:t>
      </w:r>
      <w:r>
        <w:rPr>
          <w:szCs w:val="20"/>
        </w:rPr>
        <w:t xml:space="preserve"> impact</w:t>
      </w:r>
      <w:r w:rsidRPr="0014743E">
        <w:rPr>
          <w:szCs w:val="20"/>
        </w:rPr>
        <w:t xml:space="preserve">. </w:t>
      </w:r>
      <w:r>
        <w:rPr>
          <w:szCs w:val="20"/>
        </w:rPr>
        <w:t>Target y</w:t>
      </w:r>
      <w:r w:rsidRPr="0014743E">
        <w:rPr>
          <w:szCs w:val="20"/>
        </w:rPr>
        <w:t xml:space="preserve">our outreach appropriately </w:t>
      </w:r>
      <w:r>
        <w:rPr>
          <w:szCs w:val="20"/>
        </w:rPr>
        <w:t xml:space="preserve">to </w:t>
      </w:r>
      <w:r w:rsidRPr="0014743E">
        <w:rPr>
          <w:szCs w:val="20"/>
        </w:rPr>
        <w:t>include both large and small</w:t>
      </w:r>
      <w:r>
        <w:rPr>
          <w:szCs w:val="20"/>
        </w:rPr>
        <w:t>/</w:t>
      </w:r>
      <w:r w:rsidRPr="0014743E">
        <w:rPr>
          <w:szCs w:val="20"/>
        </w:rPr>
        <w:t xml:space="preserve">medium-sized enterprises. </w:t>
      </w:r>
      <w:r>
        <w:rPr>
          <w:szCs w:val="20"/>
        </w:rPr>
        <w:t>During outreach, consider discussing</w:t>
      </w:r>
      <w:r w:rsidR="00B86A77">
        <w:rPr>
          <w:szCs w:val="20"/>
        </w:rPr>
        <w:t>:</w:t>
      </w:r>
    </w:p>
    <w:p w14:paraId="007DB8B0" w14:textId="5B4E7932" w:rsidR="00B86A77" w:rsidRDefault="004B3BE1" w:rsidP="00783DFA">
      <w:pPr>
        <w:pStyle w:val="NormalNumbered"/>
        <w:numPr>
          <w:ilvl w:val="0"/>
          <w:numId w:val="35"/>
        </w:numPr>
        <w:ind w:left="288" w:hanging="288"/>
        <w:jc w:val="both"/>
        <w:rPr>
          <w:szCs w:val="20"/>
        </w:rPr>
      </w:pPr>
      <w:r w:rsidRPr="00F5221F">
        <w:rPr>
          <w:szCs w:val="20"/>
        </w:rPr>
        <w:t>the expected impact on resources available for other regulatory activities</w:t>
      </w:r>
    </w:p>
    <w:p w14:paraId="35603574" w14:textId="610DA785" w:rsidR="00B86A77" w:rsidRDefault="004B3BE1" w:rsidP="00783DFA">
      <w:pPr>
        <w:pStyle w:val="NormalNumbered"/>
        <w:numPr>
          <w:ilvl w:val="0"/>
          <w:numId w:val="35"/>
        </w:numPr>
        <w:ind w:left="288" w:hanging="288"/>
        <w:jc w:val="both"/>
        <w:rPr>
          <w:szCs w:val="20"/>
        </w:rPr>
      </w:pPr>
      <w:r w:rsidRPr="00F5221F">
        <w:rPr>
          <w:szCs w:val="20"/>
        </w:rPr>
        <w:t xml:space="preserve">any resulting changes in timelines for these </w:t>
      </w:r>
      <w:r w:rsidR="00B86A77">
        <w:rPr>
          <w:szCs w:val="20"/>
        </w:rPr>
        <w:t>a</w:t>
      </w:r>
      <w:r w:rsidRPr="00F5221F">
        <w:rPr>
          <w:szCs w:val="20"/>
        </w:rPr>
        <w:t>ctivities</w:t>
      </w:r>
    </w:p>
    <w:p w14:paraId="614AC6E2" w14:textId="41CAC430" w:rsidR="004B3BE1" w:rsidRPr="00783DFA" w:rsidRDefault="004B3BE1" w:rsidP="00783DFA">
      <w:pPr>
        <w:pStyle w:val="NormalNumbered"/>
        <w:numPr>
          <w:ilvl w:val="0"/>
          <w:numId w:val="35"/>
        </w:numPr>
        <w:ind w:left="288" w:hanging="288"/>
        <w:jc w:val="both"/>
        <w:rPr>
          <w:szCs w:val="20"/>
        </w:rPr>
      </w:pPr>
      <w:r w:rsidRPr="00F5221F">
        <w:rPr>
          <w:szCs w:val="20"/>
        </w:rPr>
        <w:t xml:space="preserve">any different opportunities outside the local market that the reliance program </w:t>
      </w:r>
      <w:r w:rsidR="00A571F0">
        <w:rPr>
          <w:szCs w:val="20"/>
        </w:rPr>
        <w:t>c</w:t>
      </w:r>
      <w:r w:rsidRPr="00F5221F">
        <w:rPr>
          <w:szCs w:val="20"/>
        </w:rPr>
        <w:t>ould introduce</w:t>
      </w:r>
    </w:p>
    <w:tbl>
      <w:tblPr>
        <w:tblStyle w:val="TableGrid"/>
        <w:tblW w:w="7694" w:type="dxa"/>
        <w:tblLook w:val="04A0" w:firstRow="1" w:lastRow="0" w:firstColumn="1" w:lastColumn="0" w:noHBand="0" w:noVBand="1"/>
      </w:tblPr>
      <w:tblGrid>
        <w:gridCol w:w="7694"/>
      </w:tblGrid>
      <w:tr w:rsidR="004B3BE1" w:rsidRPr="003E7477" w14:paraId="60F9FBEA" w14:textId="77777777" w:rsidTr="00783DFA">
        <w:trPr>
          <w:trHeight w:val="2069"/>
        </w:trPr>
        <w:tc>
          <w:tcPr>
            <w:tcW w:w="7694" w:type="dxa"/>
          </w:tcPr>
          <w:p w14:paraId="3DE04D15" w14:textId="4700301A" w:rsidR="004B3BE1" w:rsidRPr="003E7477" w:rsidRDefault="004B3BE1" w:rsidP="00A8237A">
            <w:pPr>
              <w:jc w:val="both"/>
              <w:rPr>
                <w:szCs w:val="20"/>
                <w:lang w:val="en-GB"/>
              </w:rPr>
            </w:pPr>
            <w:r w:rsidRPr="00850AE9">
              <w:rPr>
                <w:b/>
                <w:bCs/>
                <w:szCs w:val="20"/>
                <w:lang w:val="en-GB"/>
              </w:rPr>
              <w:t>Example:</w:t>
            </w:r>
            <w:r w:rsidRPr="003E7477">
              <w:rPr>
                <w:szCs w:val="20"/>
                <w:lang w:val="en-GB"/>
              </w:rPr>
              <w:t xml:space="preserve"> The </w:t>
            </w:r>
            <w:r w:rsidR="008475A7">
              <w:rPr>
                <w:szCs w:val="20"/>
                <w:lang w:val="en-GB"/>
              </w:rPr>
              <w:t>RA</w:t>
            </w:r>
            <w:r w:rsidRPr="003E7477">
              <w:rPr>
                <w:szCs w:val="20"/>
                <w:lang w:val="en-GB"/>
              </w:rPr>
              <w:t xml:space="preserve"> considering a reliance program solicits feedback from external stakeholders regarding planned changes to the regulatory framework. The consultation includes specific questions and is publicized via a variety of channels (e.g., press announcements, presentations at external conferences) in order to reach as many stakeholders as possible. After considering stakeholder responses, the </w:t>
            </w:r>
            <w:r w:rsidR="008475A7">
              <w:rPr>
                <w:szCs w:val="20"/>
                <w:lang w:val="en-GB"/>
              </w:rPr>
              <w:t>RA</w:t>
            </w:r>
            <w:r w:rsidRPr="003E7477">
              <w:rPr>
                <w:szCs w:val="20"/>
                <w:lang w:val="en-GB"/>
              </w:rPr>
              <w:t xml:space="preserve"> provides updates at regular intervals in a variety of formats (e.g., meetings, conferences, workshops, websites) regarding progress towards the implementation of the reliance program.</w:t>
            </w:r>
          </w:p>
        </w:tc>
      </w:tr>
    </w:tbl>
    <w:p w14:paraId="59937723" w14:textId="77777777" w:rsidR="00704B39" w:rsidRDefault="00704B39" w:rsidP="00783DFA">
      <w:pPr>
        <w:jc w:val="both"/>
      </w:pPr>
      <w:bookmarkStart w:id="85" w:name="_Toc178839732"/>
      <w:bookmarkStart w:id="86" w:name="_Toc178839805"/>
      <w:bookmarkStart w:id="87" w:name="_Toc178839860"/>
      <w:bookmarkStart w:id="88" w:name="_Toc180070242"/>
      <w:bookmarkStart w:id="89" w:name="_Toc180071302"/>
      <w:bookmarkStart w:id="90" w:name="_Toc182908196"/>
      <w:bookmarkStart w:id="91" w:name="_Toc213265640"/>
      <w:bookmarkEnd w:id="85"/>
      <w:bookmarkEnd w:id="86"/>
      <w:bookmarkEnd w:id="87"/>
      <w:bookmarkEnd w:id="88"/>
      <w:bookmarkEnd w:id="89"/>
      <w:bookmarkEnd w:id="90"/>
    </w:p>
    <w:p w14:paraId="061436FC" w14:textId="5E115269" w:rsidR="00F93382" w:rsidRDefault="00F93382" w:rsidP="00F93382">
      <w:pPr>
        <w:pStyle w:val="Heading2"/>
      </w:pPr>
      <w:r>
        <w:t>Conducting a regulatory analysis</w:t>
      </w:r>
      <w:bookmarkEnd w:id="91"/>
    </w:p>
    <w:p w14:paraId="54276267" w14:textId="77777777" w:rsidR="00386DB2" w:rsidRDefault="00386DB2" w:rsidP="00386DB2">
      <w:pPr>
        <w:jc w:val="both"/>
        <w:rPr>
          <w:szCs w:val="20"/>
        </w:rPr>
      </w:pPr>
      <w:r w:rsidRPr="00433FB7">
        <w:rPr>
          <w:szCs w:val="20"/>
        </w:rPr>
        <w:t xml:space="preserve">Using information </w:t>
      </w:r>
      <w:r>
        <w:rPr>
          <w:szCs w:val="20"/>
        </w:rPr>
        <w:t>discussed throughout this playbook</w:t>
      </w:r>
      <w:r w:rsidRPr="00433FB7">
        <w:rPr>
          <w:szCs w:val="20"/>
        </w:rPr>
        <w:t xml:space="preserve">, you </w:t>
      </w:r>
      <w:r>
        <w:rPr>
          <w:szCs w:val="20"/>
        </w:rPr>
        <w:t>will be able to</w:t>
      </w:r>
      <w:r w:rsidRPr="00433FB7">
        <w:rPr>
          <w:szCs w:val="20"/>
        </w:rPr>
        <w:t xml:space="preserve"> conduct a regulatory analysis </w:t>
      </w:r>
      <w:r>
        <w:rPr>
          <w:szCs w:val="20"/>
        </w:rPr>
        <w:t>to make informed decisions regarding the best approach to a reliance program with insights gained from:</w:t>
      </w:r>
    </w:p>
    <w:p w14:paraId="05F6EB5A" w14:textId="77777777" w:rsidR="00386DB2" w:rsidRPr="00233017" w:rsidRDefault="00386DB2" w:rsidP="00783DFA">
      <w:pPr>
        <w:pStyle w:val="NormalNumbered"/>
        <w:numPr>
          <w:ilvl w:val="0"/>
          <w:numId w:val="35"/>
        </w:numPr>
        <w:ind w:left="288" w:hanging="288"/>
        <w:jc w:val="both"/>
        <w:rPr>
          <w:szCs w:val="20"/>
        </w:rPr>
      </w:pPr>
      <w:r w:rsidRPr="00233017">
        <w:rPr>
          <w:szCs w:val="20"/>
        </w:rPr>
        <w:t>information gathering (e.g., regulatory data, operational metrics, cost estimates)</w:t>
      </w:r>
    </w:p>
    <w:p w14:paraId="6CAF9EAE" w14:textId="77777777" w:rsidR="00386DB2" w:rsidRPr="00233017" w:rsidRDefault="00386DB2" w:rsidP="00783DFA">
      <w:pPr>
        <w:pStyle w:val="NormalNumbered"/>
        <w:numPr>
          <w:ilvl w:val="0"/>
          <w:numId w:val="35"/>
        </w:numPr>
        <w:ind w:left="288" w:hanging="288"/>
        <w:jc w:val="both"/>
        <w:rPr>
          <w:szCs w:val="20"/>
        </w:rPr>
      </w:pPr>
      <w:r w:rsidRPr="00233017">
        <w:rPr>
          <w:szCs w:val="20"/>
        </w:rPr>
        <w:t>internal assessments</w:t>
      </w:r>
    </w:p>
    <w:p w14:paraId="286761E3" w14:textId="77777777" w:rsidR="00386DB2" w:rsidRPr="00233017" w:rsidRDefault="00386DB2" w:rsidP="00783DFA">
      <w:pPr>
        <w:pStyle w:val="NormalNumbered"/>
        <w:numPr>
          <w:ilvl w:val="0"/>
          <w:numId w:val="35"/>
        </w:numPr>
        <w:ind w:left="288" w:hanging="288"/>
        <w:jc w:val="both"/>
        <w:rPr>
          <w:szCs w:val="20"/>
        </w:rPr>
      </w:pPr>
      <w:r w:rsidRPr="00233017">
        <w:rPr>
          <w:szCs w:val="20"/>
        </w:rPr>
        <w:t>stakeholder engagement</w:t>
      </w:r>
    </w:p>
    <w:p w14:paraId="5971214D" w14:textId="45288ECD" w:rsidR="00386DB2" w:rsidRPr="00433FB7" w:rsidRDefault="00386DB2" w:rsidP="00386DB2">
      <w:pPr>
        <w:jc w:val="both"/>
        <w:rPr>
          <w:szCs w:val="20"/>
        </w:rPr>
      </w:pPr>
      <w:r>
        <w:rPr>
          <w:szCs w:val="20"/>
        </w:rPr>
        <w:t>T</w:t>
      </w:r>
      <w:r w:rsidRPr="00433FB7">
        <w:rPr>
          <w:szCs w:val="20"/>
        </w:rPr>
        <w:t>his analysis</w:t>
      </w:r>
      <w:r>
        <w:rPr>
          <w:szCs w:val="20"/>
        </w:rPr>
        <w:t xml:space="preserve"> allows </w:t>
      </w:r>
      <w:r w:rsidRPr="00433FB7">
        <w:rPr>
          <w:szCs w:val="20"/>
        </w:rPr>
        <w:t xml:space="preserve">you </w:t>
      </w:r>
      <w:r>
        <w:rPr>
          <w:szCs w:val="20"/>
        </w:rPr>
        <w:t>to:</w:t>
      </w:r>
    </w:p>
    <w:p w14:paraId="641774E4" w14:textId="77777777" w:rsidR="00386DB2" w:rsidRDefault="00386DB2" w:rsidP="00783DFA">
      <w:pPr>
        <w:pStyle w:val="NormalNumbered"/>
        <w:numPr>
          <w:ilvl w:val="0"/>
          <w:numId w:val="35"/>
        </w:numPr>
        <w:ind w:left="288" w:hanging="288"/>
        <w:jc w:val="both"/>
        <w:rPr>
          <w:szCs w:val="20"/>
        </w:rPr>
      </w:pPr>
      <w:r w:rsidRPr="00433FB7">
        <w:rPr>
          <w:szCs w:val="20"/>
        </w:rPr>
        <w:t>assess costs and benefits of potential changes and identify alternative policy options</w:t>
      </w:r>
    </w:p>
    <w:p w14:paraId="72EC3A92" w14:textId="77777777" w:rsidR="00386DB2" w:rsidRPr="0014743E" w:rsidRDefault="00386DB2" w:rsidP="00783DFA">
      <w:pPr>
        <w:pStyle w:val="NormalNumbered"/>
        <w:numPr>
          <w:ilvl w:val="0"/>
          <w:numId w:val="35"/>
        </w:numPr>
        <w:ind w:left="288" w:hanging="288"/>
        <w:jc w:val="both"/>
        <w:rPr>
          <w:szCs w:val="20"/>
        </w:rPr>
      </w:pPr>
      <w:r>
        <w:rPr>
          <w:szCs w:val="20"/>
        </w:rPr>
        <w:t>e</w:t>
      </w:r>
      <w:r w:rsidRPr="0014743E">
        <w:rPr>
          <w:szCs w:val="20"/>
        </w:rPr>
        <w:t>valuate resource investment</w:t>
      </w:r>
      <w:r>
        <w:rPr>
          <w:szCs w:val="20"/>
        </w:rPr>
        <w:t xml:space="preserve"> needs</w:t>
      </w:r>
      <w:r w:rsidRPr="0014743E">
        <w:rPr>
          <w:szCs w:val="20"/>
        </w:rPr>
        <w:t>, including training, necessary to support long-term program success</w:t>
      </w:r>
    </w:p>
    <w:p w14:paraId="6B8FFAE2" w14:textId="77777777" w:rsidR="00386DB2" w:rsidRDefault="00386DB2" w:rsidP="00783DFA">
      <w:pPr>
        <w:pStyle w:val="NormalNumbered"/>
        <w:numPr>
          <w:ilvl w:val="0"/>
          <w:numId w:val="35"/>
        </w:numPr>
        <w:ind w:left="288" w:hanging="288"/>
        <w:jc w:val="both"/>
        <w:rPr>
          <w:szCs w:val="20"/>
        </w:rPr>
      </w:pPr>
      <w:r>
        <w:rPr>
          <w:szCs w:val="20"/>
        </w:rPr>
        <w:t>a</w:t>
      </w:r>
      <w:r w:rsidRPr="0014743E">
        <w:rPr>
          <w:szCs w:val="20"/>
        </w:rPr>
        <w:t xml:space="preserve">ddress </w:t>
      </w:r>
      <w:r w:rsidRPr="005B536E">
        <w:rPr>
          <w:szCs w:val="20"/>
        </w:rPr>
        <w:t>stakeholder questions and support any change associated with implementing your desired program</w:t>
      </w:r>
    </w:p>
    <w:p w14:paraId="3D09947E" w14:textId="77777777" w:rsidR="00D202EE" w:rsidRPr="0014743E" w:rsidRDefault="00D202EE" w:rsidP="00783DFA">
      <w:pPr>
        <w:pStyle w:val="ListParagraph"/>
        <w:keepLines w:val="0"/>
        <w:spacing w:before="0" w:after="160" w:line="278" w:lineRule="auto"/>
        <w:ind w:left="284"/>
        <w:contextualSpacing/>
        <w:jc w:val="both"/>
        <w:rPr>
          <w:szCs w:val="20"/>
        </w:rPr>
      </w:pPr>
    </w:p>
    <w:p w14:paraId="7113BEE7" w14:textId="77777777" w:rsidR="0050734E" w:rsidRDefault="00386DB2" w:rsidP="00386DB2">
      <w:pPr>
        <w:pStyle w:val="ListParagraph"/>
        <w:rPr>
          <w:szCs w:val="20"/>
        </w:rPr>
      </w:pPr>
      <w:r w:rsidRPr="00433FB7">
        <w:rPr>
          <w:szCs w:val="20"/>
        </w:rPr>
        <w:t>Based on this analysis and other factors, you may decide to</w:t>
      </w:r>
      <w:r>
        <w:rPr>
          <w:szCs w:val="20"/>
        </w:rPr>
        <w:t xml:space="preserve"> </w:t>
      </w:r>
      <w:r w:rsidRPr="00433FB7">
        <w:rPr>
          <w:szCs w:val="20"/>
        </w:rPr>
        <w:t xml:space="preserve">develop a regulatory reliance program. </w:t>
      </w:r>
      <w:r>
        <w:rPr>
          <w:szCs w:val="20"/>
        </w:rPr>
        <w:t xml:space="preserve">Your next phase </w:t>
      </w:r>
      <w:r w:rsidRPr="00433FB7">
        <w:rPr>
          <w:szCs w:val="20"/>
        </w:rPr>
        <w:t>will include taking actionable steps to</w:t>
      </w:r>
      <w:r w:rsidR="0050734E">
        <w:rPr>
          <w:szCs w:val="20"/>
        </w:rPr>
        <w:t>:</w:t>
      </w:r>
    </w:p>
    <w:p w14:paraId="1858F977" w14:textId="26DD5B27" w:rsidR="0050734E" w:rsidRPr="00CC0BAB" w:rsidRDefault="00386DB2" w:rsidP="00783DFA">
      <w:pPr>
        <w:pStyle w:val="NormalNumbered"/>
        <w:numPr>
          <w:ilvl w:val="0"/>
          <w:numId w:val="35"/>
        </w:numPr>
        <w:ind w:left="288" w:hanging="288"/>
        <w:jc w:val="both"/>
        <w:rPr>
          <w:szCs w:val="20"/>
        </w:rPr>
      </w:pPr>
      <w:r w:rsidRPr="009F7767">
        <w:rPr>
          <w:szCs w:val="20"/>
        </w:rPr>
        <w:t>establish the program</w:t>
      </w:r>
    </w:p>
    <w:p w14:paraId="3F031105" w14:textId="078511D9" w:rsidR="0050734E" w:rsidRPr="00CC0BAB" w:rsidRDefault="00386DB2" w:rsidP="00783DFA">
      <w:pPr>
        <w:pStyle w:val="NormalNumbered"/>
        <w:numPr>
          <w:ilvl w:val="0"/>
          <w:numId w:val="35"/>
        </w:numPr>
        <w:ind w:left="288" w:hanging="288"/>
        <w:jc w:val="both"/>
        <w:rPr>
          <w:szCs w:val="20"/>
        </w:rPr>
      </w:pPr>
      <w:r w:rsidRPr="009F7767">
        <w:rPr>
          <w:szCs w:val="20"/>
        </w:rPr>
        <w:t>determine implementation details</w:t>
      </w:r>
    </w:p>
    <w:p w14:paraId="00C96A84" w14:textId="0616AB47" w:rsidR="0050734E" w:rsidRPr="00794CF3" w:rsidRDefault="00386DB2" w:rsidP="00783DFA">
      <w:pPr>
        <w:pStyle w:val="NormalNumbered"/>
        <w:numPr>
          <w:ilvl w:val="0"/>
          <w:numId w:val="35"/>
        </w:numPr>
        <w:ind w:left="288" w:hanging="288"/>
        <w:jc w:val="both"/>
        <w:rPr>
          <w:szCs w:val="20"/>
        </w:rPr>
      </w:pPr>
      <w:r w:rsidRPr="009F7767">
        <w:rPr>
          <w:szCs w:val="20"/>
        </w:rPr>
        <w:t>maximize its likelihood of success</w:t>
      </w:r>
    </w:p>
    <w:p w14:paraId="470FCE61" w14:textId="5C07EDCB" w:rsidR="00C42E36" w:rsidRPr="006958BF" w:rsidRDefault="00386DB2" w:rsidP="00783DFA">
      <w:pPr>
        <w:keepLines w:val="0"/>
        <w:spacing w:before="0" w:after="160" w:line="278" w:lineRule="auto"/>
        <w:contextualSpacing/>
        <w:jc w:val="both"/>
        <w:rPr>
          <w:rFonts w:cstheme="minorHAnsi"/>
          <w:noProof/>
          <w:lang w:val="it-IT"/>
        </w:rPr>
      </w:pPr>
      <w:r w:rsidRPr="0050734E">
        <w:rPr>
          <w:szCs w:val="20"/>
        </w:rPr>
        <w:t>These steps are discussed in the next section</w:t>
      </w:r>
      <w:r w:rsidR="00CC0BAB">
        <w:rPr>
          <w:szCs w:val="20"/>
        </w:rPr>
        <w:t>.</w:t>
      </w:r>
    </w:p>
    <w:p w14:paraId="1D6AAF29" w14:textId="4F5351C1" w:rsidR="002759C6" w:rsidRPr="000F7A87" w:rsidRDefault="009F6FE0" w:rsidP="002759C6">
      <w:pPr>
        <w:pStyle w:val="Heading1"/>
        <w:rPr>
          <w:noProof/>
          <w:lang w:val="en-US"/>
        </w:rPr>
      </w:pPr>
      <w:bookmarkStart w:id="92" w:name="_Toc213265641"/>
      <w:bookmarkStart w:id="93" w:name="_Hlk175558650"/>
      <w:r>
        <w:rPr>
          <w:noProof/>
          <w:lang w:val="en-US"/>
        </w:rPr>
        <w:t>Steps to Develop a</w:t>
      </w:r>
      <w:r w:rsidR="002F732D">
        <w:rPr>
          <w:noProof/>
          <w:lang w:val="en-US"/>
        </w:rPr>
        <w:t>nd Implement a</w:t>
      </w:r>
      <w:r>
        <w:rPr>
          <w:noProof/>
          <w:lang w:val="en-US"/>
        </w:rPr>
        <w:t xml:space="preserve"> Reliance Program</w:t>
      </w:r>
      <w:bookmarkEnd w:id="92"/>
    </w:p>
    <w:p w14:paraId="35B8B8E3" w14:textId="612F2D10" w:rsidR="00B24BA1" w:rsidRDefault="00195EB2" w:rsidP="001600D1">
      <w:pPr>
        <w:pStyle w:val="Heading2"/>
      </w:pPr>
      <w:bookmarkStart w:id="94" w:name="_Toc213265642"/>
      <w:bookmarkEnd w:id="93"/>
      <w:r>
        <w:t>Introduction</w:t>
      </w:r>
      <w:bookmarkEnd w:id="94"/>
    </w:p>
    <w:p w14:paraId="463FB0B3" w14:textId="2100C9EF" w:rsidR="00771C6A" w:rsidRPr="00F567C4" w:rsidRDefault="00771C6A" w:rsidP="00771C6A">
      <w:pPr>
        <w:jc w:val="both"/>
        <w:rPr>
          <w:szCs w:val="20"/>
        </w:rPr>
      </w:pPr>
      <w:r w:rsidRPr="00F567C4">
        <w:rPr>
          <w:szCs w:val="20"/>
        </w:rPr>
        <w:t xml:space="preserve">Once you clearly understand the operating landscape for your future reliance program, you can begin developing </w:t>
      </w:r>
      <w:r>
        <w:rPr>
          <w:szCs w:val="20"/>
        </w:rPr>
        <w:t>it</w:t>
      </w:r>
      <w:r w:rsidRPr="00F567C4">
        <w:rPr>
          <w:szCs w:val="20"/>
        </w:rPr>
        <w:t xml:space="preserve"> and taking concrete steps toward implementation. Many actions will be guided by learning from activities discussed in the previous section</w:t>
      </w:r>
      <w:r w:rsidR="00133B5C">
        <w:rPr>
          <w:szCs w:val="20"/>
        </w:rPr>
        <w:t>s</w:t>
      </w:r>
      <w:r w:rsidRPr="00F567C4">
        <w:rPr>
          <w:szCs w:val="20"/>
        </w:rPr>
        <w:t xml:space="preserve">. Developing your program may become iterative, requiring changes in previously settled areas as you gain experience </w:t>
      </w:r>
      <w:r>
        <w:rPr>
          <w:szCs w:val="20"/>
        </w:rPr>
        <w:t xml:space="preserve">and </w:t>
      </w:r>
      <w:r w:rsidRPr="00F567C4">
        <w:rPr>
          <w:szCs w:val="20"/>
        </w:rPr>
        <w:t>new information becomes available. You may also pursue phased implementation, such as gaining experience with reliance in well-understood regulatory activities before expanding further.</w:t>
      </w:r>
    </w:p>
    <w:p w14:paraId="5B8925DE" w14:textId="508853F9" w:rsidR="00771C6A" w:rsidRDefault="00771C6A" w:rsidP="00771C6A">
      <w:pPr>
        <w:jc w:val="both"/>
        <w:rPr>
          <w:szCs w:val="20"/>
        </w:rPr>
      </w:pPr>
      <w:r>
        <w:rPr>
          <w:szCs w:val="20"/>
        </w:rPr>
        <w:t>The f</w:t>
      </w:r>
      <w:r w:rsidRPr="00B31AB6">
        <w:rPr>
          <w:szCs w:val="20"/>
        </w:rPr>
        <w:t>ollowing sections include specific steps for establishing a robust reliance program. You do not have to do them in the order listed, although some actions will naturally occur after others (</w:t>
      </w:r>
      <w:r>
        <w:rPr>
          <w:szCs w:val="20"/>
        </w:rPr>
        <w:t>e.g.,</w:t>
      </w:r>
      <w:r w:rsidRPr="00B31AB6">
        <w:rPr>
          <w:szCs w:val="20"/>
        </w:rPr>
        <w:t xml:space="preserve"> external outreach regarding your reliance program's details can </w:t>
      </w:r>
      <w:r w:rsidR="00D146D8">
        <w:rPr>
          <w:szCs w:val="20"/>
        </w:rPr>
        <w:t xml:space="preserve">only </w:t>
      </w:r>
      <w:r w:rsidRPr="00B31AB6">
        <w:rPr>
          <w:szCs w:val="20"/>
        </w:rPr>
        <w:t>happen once these details are established). Like the considerations in the previous section, you may need additional steps beyond those listed to fully implement your program. Unless otherwise specified, these steps apply to any reliance program regardless of regulatory activities or partners involved.</w:t>
      </w:r>
    </w:p>
    <w:p w14:paraId="5CF3EAD8" w14:textId="77777777" w:rsidR="00F30CE1" w:rsidRDefault="00F30CE1" w:rsidP="00771C6A">
      <w:pPr>
        <w:jc w:val="both"/>
        <w:rPr>
          <w:szCs w:val="20"/>
        </w:rPr>
      </w:pPr>
    </w:p>
    <w:p w14:paraId="3536EADF" w14:textId="77777777" w:rsidR="00F30CE1" w:rsidRDefault="00F30CE1" w:rsidP="00F30CE1">
      <w:pPr>
        <w:jc w:val="both"/>
        <w:rPr>
          <w:i/>
          <w:iCs/>
          <w:szCs w:val="20"/>
        </w:rPr>
      </w:pPr>
      <w:r>
        <w:rPr>
          <w:b/>
          <w:bCs/>
          <w:szCs w:val="20"/>
        </w:rPr>
        <w:t>R</w:t>
      </w:r>
      <w:r w:rsidRPr="000D4EB7">
        <w:rPr>
          <w:b/>
          <w:bCs/>
          <w:szCs w:val="20"/>
        </w:rPr>
        <w:t>etaining Independence</w:t>
      </w:r>
    </w:p>
    <w:p w14:paraId="16DD35D8" w14:textId="034AE890" w:rsidR="00F30CE1" w:rsidRPr="00F567C4" w:rsidRDefault="00F30CE1" w:rsidP="00F30CE1">
      <w:pPr>
        <w:jc w:val="both"/>
        <w:rPr>
          <w:b/>
          <w:bCs/>
          <w:szCs w:val="20"/>
        </w:rPr>
      </w:pPr>
      <w:r w:rsidRPr="00955ADB">
        <w:rPr>
          <w:szCs w:val="20"/>
        </w:rPr>
        <w:t xml:space="preserve">It is important to remember that </w:t>
      </w:r>
      <w:r>
        <w:rPr>
          <w:szCs w:val="20"/>
        </w:rPr>
        <w:t xml:space="preserve">a </w:t>
      </w:r>
      <w:r w:rsidRPr="00955ADB">
        <w:rPr>
          <w:szCs w:val="20"/>
        </w:rPr>
        <w:t xml:space="preserve">reliance program should not be imposed on any </w:t>
      </w:r>
      <w:r>
        <w:rPr>
          <w:szCs w:val="20"/>
        </w:rPr>
        <w:t>RA</w:t>
      </w:r>
      <w:r w:rsidRPr="00955ADB">
        <w:rPr>
          <w:szCs w:val="20"/>
        </w:rPr>
        <w:t xml:space="preserve"> by another external authority or institution. You should retain independence in choosing reliance-based models and making changes when warranted to meet your needs and those of your population. When developing your reliance program, </w:t>
      </w:r>
      <w:r w:rsidR="003323AC">
        <w:rPr>
          <w:szCs w:val="20"/>
        </w:rPr>
        <w:t>it is important to</w:t>
      </w:r>
      <w:r w:rsidR="003323AC" w:rsidRPr="00955ADB">
        <w:rPr>
          <w:szCs w:val="20"/>
        </w:rPr>
        <w:t xml:space="preserve"> </w:t>
      </w:r>
      <w:r w:rsidRPr="00955ADB">
        <w:rPr>
          <w:szCs w:val="20"/>
        </w:rPr>
        <w:t xml:space="preserve">retain </w:t>
      </w:r>
      <w:r>
        <w:rPr>
          <w:szCs w:val="20"/>
        </w:rPr>
        <w:t xml:space="preserve">the </w:t>
      </w:r>
      <w:r w:rsidRPr="00955ADB">
        <w:rPr>
          <w:szCs w:val="20"/>
        </w:rPr>
        <w:t>ability to make future program changes, including terminating it if desired.</w:t>
      </w:r>
      <w:r w:rsidR="00125238">
        <w:rPr>
          <w:szCs w:val="20"/>
        </w:rPr>
        <w:br/>
      </w:r>
    </w:p>
    <w:p w14:paraId="25F4E0CC" w14:textId="0D4B2E68" w:rsidR="00532308" w:rsidRDefault="00532308" w:rsidP="00771C6A">
      <w:pPr>
        <w:pStyle w:val="Heading2"/>
      </w:pPr>
      <w:bookmarkStart w:id="95" w:name="_Toc213265643"/>
      <w:r>
        <w:t>Establish</w:t>
      </w:r>
      <w:r w:rsidR="00A858F8">
        <w:t xml:space="preserve"> the scope</w:t>
      </w:r>
      <w:r w:rsidR="00826990">
        <w:t xml:space="preserve"> </w:t>
      </w:r>
      <w:r>
        <w:t>of reliance</w:t>
      </w:r>
      <w:bookmarkEnd w:id="95"/>
      <w:r>
        <w:t xml:space="preserve"> </w:t>
      </w:r>
    </w:p>
    <w:p w14:paraId="57FAC6FE" w14:textId="5C658AE8" w:rsidR="007C69C3" w:rsidRPr="00325B7E" w:rsidRDefault="007C69C3" w:rsidP="007C69C3">
      <w:pPr>
        <w:jc w:val="both"/>
        <w:rPr>
          <w:szCs w:val="20"/>
        </w:rPr>
      </w:pPr>
      <w:r w:rsidRPr="00BE3FC2">
        <w:rPr>
          <w:szCs w:val="20"/>
        </w:rPr>
        <w:t>Early in your reliance program development process, you should establish the scope of your desired reliance-based activities. These boundaries significantly impact implement</w:t>
      </w:r>
      <w:r w:rsidRPr="00325B7E">
        <w:rPr>
          <w:szCs w:val="20"/>
        </w:rPr>
        <w:t>ation</w:t>
      </w:r>
      <w:r w:rsidRPr="00BE3FC2">
        <w:rPr>
          <w:szCs w:val="20"/>
        </w:rPr>
        <w:t xml:space="preserve">, so you should establish </w:t>
      </w:r>
      <w:r w:rsidR="00895AB3">
        <w:rPr>
          <w:szCs w:val="20"/>
        </w:rPr>
        <w:t xml:space="preserve">the </w:t>
      </w:r>
      <w:r w:rsidRPr="00BE3FC2">
        <w:rPr>
          <w:szCs w:val="20"/>
        </w:rPr>
        <w:t xml:space="preserve">scope before developing any detailed processes. </w:t>
      </w:r>
      <w:r w:rsidRPr="00325B7E">
        <w:rPr>
          <w:szCs w:val="20"/>
        </w:rPr>
        <w:t xml:space="preserve">What you learned from </w:t>
      </w:r>
      <w:r w:rsidRPr="00BE3FC2">
        <w:rPr>
          <w:szCs w:val="20"/>
        </w:rPr>
        <w:t xml:space="preserve">activities discussed in </w:t>
      </w:r>
      <w:hyperlink w:anchor="_Considerations_Prior_to" w:history="1">
        <w:r w:rsidRPr="00895AB3">
          <w:rPr>
            <w:rStyle w:val="Hyperlink"/>
            <w:szCs w:val="20"/>
          </w:rPr>
          <w:t xml:space="preserve">Section </w:t>
        </w:r>
        <w:r w:rsidR="00FE2C5D" w:rsidRPr="00895AB3">
          <w:rPr>
            <w:rStyle w:val="Hyperlink"/>
            <w:szCs w:val="20"/>
          </w:rPr>
          <w:t>5</w:t>
        </w:r>
      </w:hyperlink>
      <w:r w:rsidRPr="00BE3FC2">
        <w:rPr>
          <w:szCs w:val="20"/>
        </w:rPr>
        <w:t xml:space="preserve"> will influence your desired </w:t>
      </w:r>
      <w:r w:rsidRPr="00325B7E">
        <w:rPr>
          <w:szCs w:val="20"/>
        </w:rPr>
        <w:t xml:space="preserve">program </w:t>
      </w:r>
      <w:r w:rsidRPr="00BE3FC2">
        <w:rPr>
          <w:szCs w:val="20"/>
        </w:rPr>
        <w:t>scope, a</w:t>
      </w:r>
      <w:r w:rsidRPr="00325B7E">
        <w:rPr>
          <w:szCs w:val="20"/>
        </w:rPr>
        <w:t xml:space="preserve">long with </w:t>
      </w:r>
      <w:r w:rsidRPr="00BE3FC2">
        <w:rPr>
          <w:szCs w:val="20"/>
        </w:rPr>
        <w:t>internal considerations such as available resources</w:t>
      </w:r>
      <w:r w:rsidRPr="00325B7E">
        <w:rPr>
          <w:szCs w:val="20"/>
        </w:rPr>
        <w:t xml:space="preserve">, </w:t>
      </w:r>
      <w:r w:rsidRPr="00BE3FC2">
        <w:rPr>
          <w:szCs w:val="20"/>
        </w:rPr>
        <w:t>existing initiatives, memoranda of understanding, and partnerships.</w:t>
      </w:r>
    </w:p>
    <w:p w14:paraId="4AB0E706" w14:textId="77777777" w:rsidR="007C69C3" w:rsidRPr="00F44C9C" w:rsidRDefault="007C69C3" w:rsidP="007C69C3">
      <w:pPr>
        <w:jc w:val="both"/>
        <w:rPr>
          <w:szCs w:val="20"/>
          <w:highlight w:val="green"/>
        </w:rPr>
      </w:pPr>
    </w:p>
    <w:p w14:paraId="7F9BA878" w14:textId="77777777" w:rsidR="007C69C3" w:rsidRDefault="007C69C3" w:rsidP="007C69C3">
      <w:pPr>
        <w:jc w:val="both"/>
        <w:rPr>
          <w:b/>
          <w:bCs/>
          <w:szCs w:val="20"/>
        </w:rPr>
      </w:pPr>
      <w:r w:rsidRPr="00BE3FC2">
        <w:rPr>
          <w:b/>
          <w:bCs/>
          <w:szCs w:val="20"/>
        </w:rPr>
        <w:t>Key Elements for Scope Setting</w:t>
      </w:r>
    </w:p>
    <w:p w14:paraId="119AF4E3" w14:textId="77777777" w:rsidR="007C69C3" w:rsidRDefault="007C69C3" w:rsidP="007C69C3">
      <w:pPr>
        <w:jc w:val="both"/>
        <w:rPr>
          <w:szCs w:val="20"/>
        </w:rPr>
      </w:pPr>
      <w:r w:rsidRPr="00BE3FC2">
        <w:rPr>
          <w:szCs w:val="20"/>
        </w:rPr>
        <w:t>Consider the following elements when setting your reliance program's scope.</w:t>
      </w:r>
      <w:r w:rsidRPr="00890572">
        <w:rPr>
          <w:szCs w:val="20"/>
        </w:rPr>
        <w:t xml:space="preserve"> </w:t>
      </w:r>
      <w:r w:rsidRPr="00BE3FC2">
        <w:rPr>
          <w:szCs w:val="20"/>
        </w:rPr>
        <w:t xml:space="preserve">These elements are interdependent and can be challenging to separate. </w:t>
      </w:r>
    </w:p>
    <w:p w14:paraId="00B17485" w14:textId="77777777" w:rsidR="007C69C3" w:rsidRPr="00890572" w:rsidRDefault="007C69C3" w:rsidP="007C69C3">
      <w:pPr>
        <w:jc w:val="both"/>
        <w:rPr>
          <w:szCs w:val="20"/>
        </w:rPr>
      </w:pPr>
    </w:p>
    <w:p w14:paraId="6B47E43C" w14:textId="70C32227" w:rsidR="006040F8" w:rsidRDefault="007C69C3" w:rsidP="0045583D">
      <w:pPr>
        <w:jc w:val="both"/>
        <w:rPr>
          <w:szCs w:val="20"/>
        </w:rPr>
      </w:pPr>
      <w:r w:rsidRPr="0045583D">
        <w:rPr>
          <w:szCs w:val="20"/>
        </w:rPr>
        <w:t xml:space="preserve">For example, the type of reliance and extent to which a reference </w:t>
      </w:r>
      <w:r w:rsidR="008475A7">
        <w:rPr>
          <w:szCs w:val="20"/>
        </w:rPr>
        <w:t>RA</w:t>
      </w:r>
      <w:r w:rsidRPr="0045583D">
        <w:rPr>
          <w:szCs w:val="20"/>
        </w:rPr>
        <w:t xml:space="preserve">'s assessment impacts your decision-making may vary by </w:t>
      </w:r>
      <w:r w:rsidR="008475A7">
        <w:rPr>
          <w:szCs w:val="20"/>
        </w:rPr>
        <w:t>RA</w:t>
      </w:r>
      <w:r w:rsidRPr="0045583D">
        <w:rPr>
          <w:szCs w:val="20"/>
        </w:rPr>
        <w:t>, depending on factors such as</w:t>
      </w:r>
      <w:r w:rsidR="006040F8">
        <w:rPr>
          <w:szCs w:val="20"/>
        </w:rPr>
        <w:t>:</w:t>
      </w:r>
      <w:r w:rsidRPr="0045583D">
        <w:rPr>
          <w:szCs w:val="20"/>
        </w:rPr>
        <w:t xml:space="preserve"> </w:t>
      </w:r>
    </w:p>
    <w:p w14:paraId="05603B2D" w14:textId="09021886" w:rsidR="006040F8" w:rsidRPr="009F7767" w:rsidRDefault="007C69C3" w:rsidP="00783DFA">
      <w:pPr>
        <w:pStyle w:val="NormalNumbered"/>
        <w:numPr>
          <w:ilvl w:val="0"/>
          <w:numId w:val="35"/>
        </w:numPr>
        <w:ind w:left="288" w:hanging="288"/>
        <w:jc w:val="both"/>
        <w:rPr>
          <w:szCs w:val="20"/>
        </w:rPr>
      </w:pPr>
      <w:r w:rsidRPr="009F7767">
        <w:rPr>
          <w:szCs w:val="20"/>
        </w:rPr>
        <w:t>similarities between regulatory frameworks</w:t>
      </w:r>
    </w:p>
    <w:p w14:paraId="2B7323C8" w14:textId="307384F4" w:rsidR="006040F8" w:rsidRPr="009F7767" w:rsidRDefault="007C69C3" w:rsidP="00783DFA">
      <w:pPr>
        <w:pStyle w:val="NormalNumbered"/>
        <w:numPr>
          <w:ilvl w:val="0"/>
          <w:numId w:val="35"/>
        </w:numPr>
        <w:ind w:left="288" w:hanging="288"/>
        <w:jc w:val="both"/>
        <w:rPr>
          <w:szCs w:val="20"/>
        </w:rPr>
      </w:pPr>
      <w:r w:rsidRPr="009F7767">
        <w:rPr>
          <w:szCs w:val="20"/>
        </w:rPr>
        <w:t>device risk classifications</w:t>
      </w:r>
    </w:p>
    <w:p w14:paraId="0A57D11E" w14:textId="5AC047ED" w:rsidR="006040F8" w:rsidRPr="009F7767" w:rsidRDefault="007C69C3" w:rsidP="00783DFA">
      <w:pPr>
        <w:pStyle w:val="NormalNumbered"/>
        <w:numPr>
          <w:ilvl w:val="0"/>
          <w:numId w:val="35"/>
        </w:numPr>
        <w:ind w:left="288" w:hanging="288"/>
        <w:jc w:val="both"/>
        <w:rPr>
          <w:szCs w:val="20"/>
        </w:rPr>
      </w:pPr>
      <w:r w:rsidRPr="009F7767">
        <w:rPr>
          <w:szCs w:val="20"/>
        </w:rPr>
        <w:t>decision-making approaches</w:t>
      </w:r>
    </w:p>
    <w:p w14:paraId="7D1813D1" w14:textId="1D942D49" w:rsidR="006040F8" w:rsidRPr="009F7767" w:rsidRDefault="007C69C3" w:rsidP="00783DFA">
      <w:pPr>
        <w:pStyle w:val="NormalNumbered"/>
        <w:numPr>
          <w:ilvl w:val="0"/>
          <w:numId w:val="35"/>
        </w:numPr>
        <w:ind w:left="288" w:hanging="288"/>
        <w:jc w:val="both"/>
        <w:rPr>
          <w:szCs w:val="20"/>
        </w:rPr>
      </w:pPr>
      <w:r w:rsidRPr="009F7767">
        <w:rPr>
          <w:szCs w:val="20"/>
        </w:rPr>
        <w:t>availability of information supporting regulatory decisions</w:t>
      </w:r>
    </w:p>
    <w:p w14:paraId="4B03D849" w14:textId="589A095B" w:rsidR="0045583D" w:rsidRPr="006040F8" w:rsidRDefault="007C69C3" w:rsidP="00783DFA">
      <w:pPr>
        <w:keepLines w:val="0"/>
        <w:spacing w:before="0" w:after="160" w:line="278" w:lineRule="auto"/>
        <w:contextualSpacing/>
        <w:jc w:val="both"/>
        <w:rPr>
          <w:szCs w:val="20"/>
        </w:rPr>
      </w:pPr>
      <w:r w:rsidRPr="006040F8">
        <w:rPr>
          <w:szCs w:val="20"/>
        </w:rPr>
        <w:t>Other considerations beyond those listed may also be important.</w:t>
      </w:r>
    </w:p>
    <w:p w14:paraId="5C1CFF7B" w14:textId="77777777" w:rsidR="005415A7" w:rsidRDefault="005415A7" w:rsidP="0045583D">
      <w:pPr>
        <w:jc w:val="both"/>
        <w:rPr>
          <w:szCs w:val="20"/>
        </w:rPr>
      </w:pPr>
    </w:p>
    <w:p w14:paraId="62DFAC2B" w14:textId="5B86BE3A" w:rsidR="005415A7" w:rsidRPr="005415A7" w:rsidRDefault="00631886" w:rsidP="005415A7">
      <w:pPr>
        <w:pStyle w:val="Heading3"/>
        <w:rPr>
          <w:szCs w:val="28"/>
        </w:rPr>
      </w:pPr>
      <w:bookmarkStart w:id="96" w:name="_Identifying_Specific_Regulatory"/>
      <w:bookmarkEnd w:id="96"/>
      <w:r>
        <w:t>Identifying Specific Regulatory Activities</w:t>
      </w:r>
      <w:r w:rsidR="005415A7">
        <w:t xml:space="preserve"> </w:t>
      </w:r>
    </w:p>
    <w:p w14:paraId="3823CFE3" w14:textId="46D944D0" w:rsidR="005415A7" w:rsidRPr="003F0E37" w:rsidRDefault="005415A7" w:rsidP="005415A7">
      <w:pPr>
        <w:jc w:val="both"/>
        <w:rPr>
          <w:szCs w:val="20"/>
        </w:rPr>
      </w:pPr>
      <w:r w:rsidRPr="003F0E37">
        <w:rPr>
          <w:szCs w:val="20"/>
        </w:rPr>
        <w:t>You should identify the specific regulatory activities to be included in your program (e.g., inspections, audits, emergency use author</w:t>
      </w:r>
      <w:r w:rsidR="00BC59C5">
        <w:rPr>
          <w:szCs w:val="20"/>
        </w:rPr>
        <w:t>ization</w:t>
      </w:r>
      <w:r w:rsidRPr="003F0E37">
        <w:rPr>
          <w:szCs w:val="20"/>
        </w:rPr>
        <w:t>, market surveillance, enforcement actions such as recalls). Reliance could also involve a subset of activit</w:t>
      </w:r>
      <w:r w:rsidR="00B9474B">
        <w:rPr>
          <w:szCs w:val="20"/>
        </w:rPr>
        <w:t>ies</w:t>
      </w:r>
      <w:r w:rsidRPr="003F0E37">
        <w:rPr>
          <w:szCs w:val="20"/>
        </w:rPr>
        <w:t xml:space="preserve"> (e.g., pre-market regulatory decision</w:t>
      </w:r>
      <w:r w:rsidR="00185296">
        <w:rPr>
          <w:szCs w:val="20"/>
        </w:rPr>
        <w:t>s</w:t>
      </w:r>
      <w:r w:rsidRPr="003F0E37">
        <w:rPr>
          <w:szCs w:val="20"/>
        </w:rPr>
        <w:t xml:space="preserve"> only </w:t>
      </w:r>
      <w:r w:rsidR="00185296">
        <w:rPr>
          <w:szCs w:val="20"/>
        </w:rPr>
        <w:t>for</w:t>
      </w:r>
      <w:r w:rsidRPr="003F0E37">
        <w:rPr>
          <w:szCs w:val="20"/>
        </w:rPr>
        <w:t xml:space="preserve"> certain device types, routine but not for-cause inspection results). Your desired reliance-based regulatory activities' scope should be consistent with your regulatory system's legal framework (</w:t>
      </w:r>
      <w:r w:rsidR="00C857A2">
        <w:rPr>
          <w:szCs w:val="20"/>
        </w:rPr>
        <w:t>s</w:t>
      </w:r>
      <w:r w:rsidR="00C7683B">
        <w:rPr>
          <w:szCs w:val="20"/>
        </w:rPr>
        <w:t xml:space="preserve">ee </w:t>
      </w:r>
      <w:hyperlink w:anchor="_Understanding_the_legal" w:history="1">
        <w:r w:rsidR="00C7683B" w:rsidRPr="00C15FA7">
          <w:rPr>
            <w:rStyle w:val="Hyperlink"/>
            <w:szCs w:val="20"/>
          </w:rPr>
          <w:t>S</w:t>
        </w:r>
        <w:r w:rsidRPr="00C15FA7">
          <w:rPr>
            <w:rStyle w:val="Hyperlink"/>
            <w:szCs w:val="20"/>
          </w:rPr>
          <w:t xml:space="preserve">ection </w:t>
        </w:r>
        <w:r w:rsidR="00C7683B" w:rsidRPr="00C15FA7">
          <w:rPr>
            <w:rStyle w:val="Hyperlink"/>
            <w:szCs w:val="20"/>
          </w:rPr>
          <w:t>5</w:t>
        </w:r>
        <w:r w:rsidRPr="00C15FA7">
          <w:rPr>
            <w:rStyle w:val="Hyperlink"/>
            <w:szCs w:val="20"/>
          </w:rPr>
          <w:t>.3</w:t>
        </w:r>
      </w:hyperlink>
      <w:r w:rsidRPr="003F0E37">
        <w:rPr>
          <w:szCs w:val="20"/>
        </w:rPr>
        <w:t>).</w:t>
      </w:r>
    </w:p>
    <w:p w14:paraId="6548ABE7" w14:textId="7EA51317" w:rsidR="005415A7" w:rsidRPr="003F0E37" w:rsidRDefault="005415A7" w:rsidP="005415A7">
      <w:pPr>
        <w:jc w:val="both"/>
        <w:rPr>
          <w:szCs w:val="20"/>
        </w:rPr>
      </w:pPr>
      <w:r w:rsidRPr="003F0E37">
        <w:rPr>
          <w:szCs w:val="20"/>
        </w:rPr>
        <w:t>When determining specific activities to include, consider the benefits and challenges of different approaches</w:t>
      </w:r>
      <w:r>
        <w:rPr>
          <w:szCs w:val="20"/>
        </w:rPr>
        <w:t xml:space="preserve">. Some </w:t>
      </w:r>
      <w:r w:rsidRPr="003F0E37">
        <w:rPr>
          <w:szCs w:val="20"/>
        </w:rPr>
        <w:t xml:space="preserve">strategic approaches </w:t>
      </w:r>
      <w:r w:rsidR="002123E7">
        <w:rPr>
          <w:szCs w:val="20"/>
        </w:rPr>
        <w:t>are</w:t>
      </w:r>
      <w:r w:rsidRPr="003F0E37">
        <w:rPr>
          <w:szCs w:val="20"/>
        </w:rPr>
        <w:t>:</w:t>
      </w:r>
    </w:p>
    <w:p w14:paraId="6329BC92" w14:textId="77777777" w:rsidR="00DC4CB7" w:rsidRPr="00DC4CB7" w:rsidRDefault="005415A7" w:rsidP="00783DFA">
      <w:pPr>
        <w:pStyle w:val="NormalNumbered"/>
        <w:numPr>
          <w:ilvl w:val="0"/>
          <w:numId w:val="35"/>
        </w:numPr>
        <w:ind w:left="288" w:hanging="288"/>
        <w:jc w:val="both"/>
        <w:rPr>
          <w:szCs w:val="20"/>
        </w:rPr>
      </w:pPr>
      <w:r w:rsidRPr="003F0E37">
        <w:rPr>
          <w:b/>
          <w:bCs/>
          <w:szCs w:val="20"/>
        </w:rPr>
        <w:t xml:space="preserve">Resource-based approach. </w:t>
      </w:r>
      <w:r w:rsidRPr="003F0E37">
        <w:rPr>
          <w:szCs w:val="20"/>
        </w:rPr>
        <w:t xml:space="preserve">Review your current resources and expertise alongside your envisioned future role. You may continue performing activities where you have expertise and adopt reliance where you have limited resources. Alternatively, you may develop expertise in new areas and </w:t>
      </w:r>
      <w:r w:rsidRPr="004D1008">
        <w:rPr>
          <w:szCs w:val="20"/>
        </w:rPr>
        <w:t>gradually adopt reliance in familiar areas based on your comfort level.</w:t>
      </w:r>
    </w:p>
    <w:p w14:paraId="4ABB06FD" w14:textId="4D1CD8B4" w:rsidR="005415A7" w:rsidRDefault="005415A7" w:rsidP="00453321">
      <w:pPr>
        <w:pStyle w:val="NormalNumbered"/>
        <w:numPr>
          <w:ilvl w:val="0"/>
          <w:numId w:val="35"/>
        </w:numPr>
        <w:ind w:left="288" w:hanging="288"/>
        <w:jc w:val="both"/>
        <w:rPr>
          <w:szCs w:val="20"/>
        </w:rPr>
      </w:pPr>
      <w:r w:rsidRPr="00DC4CB7">
        <w:rPr>
          <w:b/>
          <w:bCs/>
          <w:szCs w:val="20"/>
        </w:rPr>
        <w:t>Feasibility-based approach</w:t>
      </w:r>
      <w:r w:rsidRPr="00DC4CB7">
        <w:rPr>
          <w:szCs w:val="20"/>
        </w:rPr>
        <w:t>. Consider activities where adopting reliance would be easiest from legal and organi</w:t>
      </w:r>
      <w:r w:rsidR="00E87E7D">
        <w:rPr>
          <w:szCs w:val="20"/>
        </w:rPr>
        <w:t>z</w:t>
      </w:r>
      <w:r w:rsidRPr="00DC4CB7">
        <w:rPr>
          <w:szCs w:val="20"/>
        </w:rPr>
        <w:t>ational perspectives. These activities may include those for which sufficient expertise exists to evaluate potential reliance paths' suitability, and different levels of reliance for activities you</w:t>
      </w:r>
      <w:r w:rsidR="00E87E7D">
        <w:rPr>
          <w:szCs w:val="20"/>
        </w:rPr>
        <w:t xml:space="preserve"> a</w:t>
      </w:r>
      <w:r w:rsidRPr="00DC4CB7">
        <w:rPr>
          <w:szCs w:val="20"/>
        </w:rPr>
        <w:t>re newly undertaking.</w:t>
      </w:r>
    </w:p>
    <w:p w14:paraId="229CD00D" w14:textId="77777777" w:rsidR="00D17E0C" w:rsidRPr="00DC4CB7" w:rsidRDefault="00D17E0C" w:rsidP="00783DFA">
      <w:pPr>
        <w:pStyle w:val="NormalNumbered"/>
        <w:ind w:left="288"/>
        <w:jc w:val="both"/>
        <w:rPr>
          <w:szCs w:val="20"/>
        </w:rPr>
      </w:pPr>
    </w:p>
    <w:tbl>
      <w:tblPr>
        <w:tblStyle w:val="TableGrid"/>
        <w:tblW w:w="7742" w:type="dxa"/>
        <w:tblLook w:val="04A0" w:firstRow="1" w:lastRow="0" w:firstColumn="1" w:lastColumn="0" w:noHBand="0" w:noVBand="1"/>
      </w:tblPr>
      <w:tblGrid>
        <w:gridCol w:w="7742"/>
      </w:tblGrid>
      <w:tr w:rsidR="005415A7" w:rsidRPr="003F0E37" w14:paraId="404F1C92" w14:textId="77777777" w:rsidTr="009448C5">
        <w:trPr>
          <w:trHeight w:val="2136"/>
        </w:trPr>
        <w:tc>
          <w:tcPr>
            <w:tcW w:w="7742" w:type="dxa"/>
          </w:tcPr>
          <w:p w14:paraId="424A87F8" w14:textId="40D01AB1" w:rsidR="005415A7" w:rsidRPr="003F0E37" w:rsidRDefault="005415A7" w:rsidP="00A8237A">
            <w:pPr>
              <w:jc w:val="both"/>
              <w:rPr>
                <w:szCs w:val="20"/>
              </w:rPr>
            </w:pPr>
            <w:r w:rsidRPr="003F0E37">
              <w:rPr>
                <w:b/>
                <w:bCs/>
                <w:szCs w:val="20"/>
              </w:rPr>
              <w:t>Example:</w:t>
            </w:r>
            <w:r w:rsidRPr="003F0E37">
              <w:rPr>
                <w:szCs w:val="20"/>
              </w:rPr>
              <w:t xml:space="preserve"> Regulator A has limited resources for post-market activities and identifies th</w:t>
            </w:r>
            <w:r w:rsidR="000435DC">
              <w:rPr>
                <w:szCs w:val="20"/>
              </w:rPr>
              <w:t>e</w:t>
            </w:r>
            <w:r w:rsidRPr="003F0E37">
              <w:rPr>
                <w:szCs w:val="20"/>
              </w:rPr>
              <w:t>s</w:t>
            </w:r>
            <w:r w:rsidR="000435DC">
              <w:rPr>
                <w:szCs w:val="20"/>
              </w:rPr>
              <w:t>e</w:t>
            </w:r>
            <w:r w:rsidRPr="003F0E37">
              <w:rPr>
                <w:szCs w:val="20"/>
              </w:rPr>
              <w:t xml:space="preserve"> as a potential area for reliance. A review on their legal framework confirms no restrictions exist that would prevent reliance-based approaches. Through an </w:t>
            </w:r>
            <w:r w:rsidR="00067509">
              <w:rPr>
                <w:szCs w:val="20"/>
              </w:rPr>
              <w:t>agreement</w:t>
            </w:r>
            <w:r w:rsidRPr="003F0E37">
              <w:rPr>
                <w:szCs w:val="20"/>
              </w:rPr>
              <w:t>, Regulator B shares regulatory decisions on market withdrawals due to safety reasons involving devices also marketed in Regulator A's jurisdiction. Regulator A reviews these decisions, considers local context, and determines whether similar action is needed in their jurisdiction. This enables timely identification of safety issues whil</w:t>
            </w:r>
            <w:r w:rsidR="006958D6">
              <w:rPr>
                <w:szCs w:val="20"/>
              </w:rPr>
              <w:t>e</w:t>
            </w:r>
            <w:r w:rsidRPr="003F0E37">
              <w:rPr>
                <w:szCs w:val="20"/>
              </w:rPr>
              <w:t xml:space="preserve"> maintaining regulatory independence.</w:t>
            </w:r>
          </w:p>
        </w:tc>
      </w:tr>
    </w:tbl>
    <w:p w14:paraId="72E0DEFD" w14:textId="77777777" w:rsidR="005415A7" w:rsidRDefault="005415A7" w:rsidP="0045583D">
      <w:pPr>
        <w:jc w:val="both"/>
        <w:rPr>
          <w:szCs w:val="20"/>
        </w:rPr>
      </w:pPr>
    </w:p>
    <w:p w14:paraId="7BEB7662" w14:textId="6EFFB9A7" w:rsidR="00ED1B32" w:rsidRDefault="00ED1B32" w:rsidP="00ED1B32">
      <w:pPr>
        <w:pStyle w:val="Heading3"/>
      </w:pPr>
      <w:bookmarkStart w:id="97" w:name="_Selecting_Reference_Regulatory"/>
      <w:bookmarkEnd w:id="97"/>
      <w:r>
        <w:t>Selecting Reference Regulatory Authorities</w:t>
      </w:r>
    </w:p>
    <w:p w14:paraId="28B0C967" w14:textId="77777777" w:rsidR="00ED1B32" w:rsidRPr="003F0E37" w:rsidRDefault="00ED1B32" w:rsidP="00ED1B32">
      <w:pPr>
        <w:jc w:val="both"/>
        <w:rPr>
          <w:szCs w:val="20"/>
        </w:rPr>
      </w:pPr>
      <w:r w:rsidRPr="003F0E37">
        <w:rPr>
          <w:szCs w:val="20"/>
        </w:rPr>
        <w:t xml:space="preserve">You should identify the reference RA(s) you plan to rely on based on:  </w:t>
      </w:r>
    </w:p>
    <w:p w14:paraId="212B4797" w14:textId="732A9B72" w:rsidR="00ED1B32" w:rsidRPr="003F0E37" w:rsidRDefault="00ED1B32" w:rsidP="00783DFA">
      <w:pPr>
        <w:pStyle w:val="NormalNumbered"/>
        <w:numPr>
          <w:ilvl w:val="0"/>
          <w:numId w:val="35"/>
        </w:numPr>
        <w:ind w:left="288" w:hanging="288"/>
        <w:jc w:val="both"/>
        <w:rPr>
          <w:szCs w:val="20"/>
        </w:rPr>
      </w:pPr>
      <w:r w:rsidRPr="003F0E37">
        <w:rPr>
          <w:szCs w:val="20"/>
        </w:rPr>
        <w:t xml:space="preserve">comparison of key factors with potential </w:t>
      </w:r>
      <w:r w:rsidR="00154CA3">
        <w:rPr>
          <w:szCs w:val="20"/>
        </w:rPr>
        <w:t>RAs</w:t>
      </w:r>
      <w:r w:rsidR="00154CA3" w:rsidRPr="003F0E37">
        <w:rPr>
          <w:szCs w:val="20"/>
        </w:rPr>
        <w:t xml:space="preserve"> </w:t>
      </w:r>
      <w:r w:rsidRPr="003F0E37">
        <w:rPr>
          <w:szCs w:val="20"/>
        </w:rPr>
        <w:t xml:space="preserve">(outlined in </w:t>
      </w:r>
      <w:hyperlink w:anchor="_Toc178839726" w:history="1">
        <w:r w:rsidRPr="00E87E7D">
          <w:rPr>
            <w:rStyle w:val="Hyperlink"/>
            <w:szCs w:val="20"/>
          </w:rPr>
          <w:t xml:space="preserve">Section </w:t>
        </w:r>
        <w:r w:rsidR="00C857A2" w:rsidRPr="00E87E7D">
          <w:rPr>
            <w:rStyle w:val="Hyperlink"/>
            <w:szCs w:val="20"/>
          </w:rPr>
          <w:t>5</w:t>
        </w:r>
        <w:r w:rsidRPr="00E87E7D">
          <w:rPr>
            <w:rStyle w:val="Hyperlink"/>
            <w:szCs w:val="20"/>
          </w:rPr>
          <w:t>.4</w:t>
        </w:r>
      </w:hyperlink>
      <w:r w:rsidRPr="003F0E37">
        <w:rPr>
          <w:szCs w:val="20"/>
        </w:rPr>
        <w:t>)</w:t>
      </w:r>
    </w:p>
    <w:p w14:paraId="14663729" w14:textId="2E884ED7" w:rsidR="00027C63" w:rsidRDefault="00ED1B32" w:rsidP="00783DFA">
      <w:pPr>
        <w:pStyle w:val="NormalNumbered"/>
        <w:numPr>
          <w:ilvl w:val="0"/>
          <w:numId w:val="35"/>
        </w:numPr>
        <w:ind w:left="288" w:hanging="288"/>
        <w:jc w:val="both"/>
        <w:rPr>
          <w:szCs w:val="20"/>
        </w:rPr>
      </w:pPr>
      <w:r w:rsidRPr="003F0E37">
        <w:rPr>
          <w:szCs w:val="20"/>
        </w:rPr>
        <w:t>any existing or planned agreements that may impact your choice (</w:t>
      </w:r>
      <w:r w:rsidR="00C857A2">
        <w:rPr>
          <w:szCs w:val="20"/>
        </w:rPr>
        <w:t xml:space="preserve">see </w:t>
      </w:r>
      <w:hyperlink w:anchor="_Assessing_agreements_between_1" w:history="1">
        <w:r w:rsidRPr="00E87E7D">
          <w:rPr>
            <w:rStyle w:val="Hyperlink"/>
            <w:szCs w:val="20"/>
          </w:rPr>
          <w:t xml:space="preserve">Section </w:t>
        </w:r>
        <w:r w:rsidR="00C7683B" w:rsidRPr="00E87E7D">
          <w:rPr>
            <w:rStyle w:val="Hyperlink"/>
            <w:szCs w:val="20"/>
          </w:rPr>
          <w:t>5</w:t>
        </w:r>
        <w:r w:rsidRPr="00E87E7D">
          <w:rPr>
            <w:rStyle w:val="Hyperlink"/>
            <w:szCs w:val="20"/>
          </w:rPr>
          <w:t>.5</w:t>
        </w:r>
      </w:hyperlink>
      <w:r w:rsidRPr="003F0E37">
        <w:rPr>
          <w:szCs w:val="20"/>
        </w:rPr>
        <w:t>)</w:t>
      </w:r>
    </w:p>
    <w:p w14:paraId="440770D8" w14:textId="77777777" w:rsidR="00ED1B32" w:rsidRPr="003F0E37" w:rsidRDefault="00ED1B32" w:rsidP="00A40DDE">
      <w:pPr>
        <w:jc w:val="both"/>
        <w:rPr>
          <w:szCs w:val="20"/>
        </w:rPr>
      </w:pPr>
      <w:r w:rsidRPr="003F0E37">
        <w:rPr>
          <w:szCs w:val="20"/>
        </w:rPr>
        <w:t>Selecting reference RAs is interdependent with choosing specific regulatory activities to include in your reliance program. Different RAs have different approaches to different regulatory activities. You may choose to</w:t>
      </w:r>
      <w:r>
        <w:rPr>
          <w:szCs w:val="20"/>
        </w:rPr>
        <w:t>:</w:t>
      </w:r>
    </w:p>
    <w:p w14:paraId="6C80E0BD" w14:textId="79D00A8D" w:rsidR="00ED1B32" w:rsidRPr="003F0E37" w:rsidRDefault="00ED1B32" w:rsidP="00783DFA">
      <w:pPr>
        <w:pStyle w:val="NormalNumbered"/>
        <w:numPr>
          <w:ilvl w:val="0"/>
          <w:numId w:val="35"/>
        </w:numPr>
        <w:ind w:left="288" w:hanging="288"/>
        <w:jc w:val="both"/>
        <w:rPr>
          <w:szCs w:val="20"/>
        </w:rPr>
      </w:pPr>
      <w:r w:rsidRPr="003F0E37">
        <w:rPr>
          <w:szCs w:val="20"/>
        </w:rPr>
        <w:t>work with one RA for one activity and a different RA for another activity</w:t>
      </w:r>
      <w:r w:rsidR="00590ADE">
        <w:rPr>
          <w:szCs w:val="20"/>
        </w:rPr>
        <w:t>;</w:t>
      </w:r>
      <w:r w:rsidRPr="003F0E37">
        <w:rPr>
          <w:szCs w:val="20"/>
        </w:rPr>
        <w:t xml:space="preserve"> or</w:t>
      </w:r>
    </w:p>
    <w:p w14:paraId="273A9D6F" w14:textId="77777777" w:rsidR="00ED1B32" w:rsidRPr="00027C63" w:rsidRDefault="00ED1B32" w:rsidP="00783DFA">
      <w:pPr>
        <w:pStyle w:val="NormalNumbered"/>
        <w:numPr>
          <w:ilvl w:val="0"/>
          <w:numId w:val="35"/>
        </w:numPr>
        <w:ind w:left="288" w:hanging="288"/>
        <w:jc w:val="both"/>
        <w:rPr>
          <w:szCs w:val="20"/>
        </w:rPr>
      </w:pPr>
      <w:r w:rsidRPr="003F0E37">
        <w:rPr>
          <w:szCs w:val="20"/>
        </w:rPr>
        <w:t>implement different reliance types for the same regulatory activity</w:t>
      </w:r>
    </w:p>
    <w:p w14:paraId="36E440E8" w14:textId="77777777" w:rsidR="00027C63" w:rsidRPr="003F0E37" w:rsidRDefault="00027C63" w:rsidP="002348AD">
      <w:pPr>
        <w:pStyle w:val="ListParagraph"/>
        <w:keepLines w:val="0"/>
        <w:spacing w:before="0" w:after="0" w:line="278" w:lineRule="auto"/>
        <w:ind w:left="360"/>
        <w:contextualSpacing/>
        <w:jc w:val="both"/>
        <w:rPr>
          <w:b/>
          <w:bCs/>
          <w:szCs w:val="20"/>
        </w:rPr>
      </w:pPr>
    </w:p>
    <w:tbl>
      <w:tblPr>
        <w:tblStyle w:val="TableGrid"/>
        <w:tblW w:w="7658" w:type="dxa"/>
        <w:tblLook w:val="04A0" w:firstRow="1" w:lastRow="0" w:firstColumn="1" w:lastColumn="0" w:noHBand="0" w:noVBand="1"/>
      </w:tblPr>
      <w:tblGrid>
        <w:gridCol w:w="7658"/>
      </w:tblGrid>
      <w:tr w:rsidR="00ED1B32" w14:paraId="7D3B31D0" w14:textId="77777777" w:rsidTr="009448C5">
        <w:trPr>
          <w:trHeight w:val="1884"/>
        </w:trPr>
        <w:tc>
          <w:tcPr>
            <w:tcW w:w="7658" w:type="dxa"/>
          </w:tcPr>
          <w:p w14:paraId="0A33B88A" w14:textId="2978C1CB" w:rsidR="00ED1B32" w:rsidRDefault="00ED1B32" w:rsidP="00A8237A">
            <w:pPr>
              <w:jc w:val="both"/>
              <w:rPr>
                <w:szCs w:val="20"/>
              </w:rPr>
            </w:pPr>
            <w:r w:rsidRPr="00041E84">
              <w:rPr>
                <w:b/>
                <w:bCs/>
                <w:szCs w:val="20"/>
              </w:rPr>
              <w:t>Example:</w:t>
            </w:r>
            <w:r w:rsidRPr="00041E84">
              <w:rPr>
                <w:szCs w:val="20"/>
              </w:rPr>
              <w:t xml:space="preserve"> Regulator A incorporates different forms of reliance based on decisions from three different reference </w:t>
            </w:r>
            <w:r>
              <w:rPr>
                <w:szCs w:val="20"/>
              </w:rPr>
              <w:t>RAs</w:t>
            </w:r>
            <w:r w:rsidRPr="00041E84">
              <w:rPr>
                <w:szCs w:val="20"/>
              </w:rPr>
              <w:t xml:space="preserve">. They recognize (per </w:t>
            </w:r>
            <w:hyperlink w:anchor="_Recognition" w:history="1">
              <w:r w:rsidRPr="00E87E7D">
                <w:rPr>
                  <w:rStyle w:val="Hyperlink"/>
                  <w:szCs w:val="20"/>
                </w:rPr>
                <w:t xml:space="preserve">Section </w:t>
              </w:r>
              <w:r w:rsidR="00FE2C5D" w:rsidRPr="00E87E7D">
                <w:rPr>
                  <w:rStyle w:val="Hyperlink"/>
                  <w:szCs w:val="20"/>
                </w:rPr>
                <w:t>4</w:t>
              </w:r>
              <w:r w:rsidRPr="00E87E7D">
                <w:rPr>
                  <w:rStyle w:val="Hyperlink"/>
                  <w:szCs w:val="20"/>
                </w:rPr>
                <w:t>.2)</w:t>
              </w:r>
            </w:hyperlink>
            <w:r w:rsidRPr="00041E84">
              <w:rPr>
                <w:szCs w:val="20"/>
              </w:rPr>
              <w:t xml:space="preserve"> pre-market regulatory decisions of Regulator </w:t>
            </w:r>
            <w:r w:rsidRPr="00A17C38">
              <w:rPr>
                <w:szCs w:val="20"/>
              </w:rPr>
              <w:t>B</w:t>
            </w:r>
            <w:r w:rsidRPr="00041E84">
              <w:rPr>
                <w:szCs w:val="20"/>
              </w:rPr>
              <w:t xml:space="preserve"> given their similarities in device classification and regulatory controls. They also </w:t>
            </w:r>
            <w:r w:rsidR="009F7B78">
              <w:rPr>
                <w:szCs w:val="20"/>
              </w:rPr>
              <w:t>e</w:t>
            </w:r>
            <w:r w:rsidR="00E828B6">
              <w:rPr>
                <w:szCs w:val="20"/>
              </w:rPr>
              <w:t>stablish a</w:t>
            </w:r>
            <w:r w:rsidR="009F7B78">
              <w:rPr>
                <w:szCs w:val="20"/>
              </w:rPr>
              <w:t>n</w:t>
            </w:r>
            <w:r w:rsidRPr="00041E84">
              <w:rPr>
                <w:szCs w:val="20"/>
              </w:rPr>
              <w:t xml:space="preserve"> abridged </w:t>
            </w:r>
            <w:r w:rsidR="009F7B78">
              <w:rPr>
                <w:szCs w:val="20"/>
              </w:rPr>
              <w:t xml:space="preserve">regulatory </w:t>
            </w:r>
            <w:r w:rsidRPr="00041E84">
              <w:rPr>
                <w:szCs w:val="20"/>
              </w:rPr>
              <w:t xml:space="preserve">review </w:t>
            </w:r>
            <w:r w:rsidR="009F7B78">
              <w:rPr>
                <w:szCs w:val="20"/>
              </w:rPr>
              <w:t xml:space="preserve">pathway </w:t>
            </w:r>
            <w:r w:rsidR="00106519">
              <w:rPr>
                <w:szCs w:val="20"/>
              </w:rPr>
              <w:t>that uses</w:t>
            </w:r>
            <w:r w:rsidRPr="00041E84">
              <w:rPr>
                <w:szCs w:val="20"/>
              </w:rPr>
              <w:t xml:space="preserve"> pre-market regulatory decisions from Regulator </w:t>
            </w:r>
            <w:r w:rsidRPr="00A17C38">
              <w:rPr>
                <w:szCs w:val="20"/>
              </w:rPr>
              <w:t>C</w:t>
            </w:r>
            <w:r w:rsidRPr="00041E84">
              <w:rPr>
                <w:szCs w:val="20"/>
              </w:rPr>
              <w:t xml:space="preserve">, due to some differences in regulatory controls. They accept the results of routine inspections conducted by Regulator </w:t>
            </w:r>
            <w:r w:rsidRPr="00A17C38">
              <w:rPr>
                <w:szCs w:val="20"/>
              </w:rPr>
              <w:t>D</w:t>
            </w:r>
            <w:r w:rsidRPr="00041E84">
              <w:rPr>
                <w:szCs w:val="20"/>
              </w:rPr>
              <w:t xml:space="preserve">, due to similarities in inspections requirements. </w:t>
            </w:r>
          </w:p>
        </w:tc>
      </w:tr>
    </w:tbl>
    <w:p w14:paraId="1605813B" w14:textId="77777777" w:rsidR="00027C63" w:rsidRDefault="00027C63" w:rsidP="00ED1B32">
      <w:pPr>
        <w:jc w:val="both"/>
        <w:rPr>
          <w:szCs w:val="20"/>
        </w:rPr>
      </w:pPr>
    </w:p>
    <w:p w14:paraId="1DA5EFE2" w14:textId="669FA839" w:rsidR="00ED1B32" w:rsidRPr="006753C4" w:rsidRDefault="00ED1B32" w:rsidP="00ED1B32">
      <w:pPr>
        <w:jc w:val="both"/>
        <w:rPr>
          <w:szCs w:val="20"/>
        </w:rPr>
      </w:pPr>
      <w:r w:rsidRPr="006753C4">
        <w:rPr>
          <w:szCs w:val="20"/>
        </w:rPr>
        <w:t>You are encouraged to engage with potential reference RAs:</w:t>
      </w:r>
    </w:p>
    <w:p w14:paraId="01F0664E" w14:textId="255469A6" w:rsidR="00ED1B32" w:rsidRPr="006753C4" w:rsidRDefault="00ED1B32" w:rsidP="00783DFA">
      <w:pPr>
        <w:pStyle w:val="NormalNumbered"/>
        <w:numPr>
          <w:ilvl w:val="0"/>
          <w:numId w:val="35"/>
        </w:numPr>
        <w:ind w:left="288" w:hanging="288"/>
        <w:jc w:val="both"/>
        <w:rPr>
          <w:szCs w:val="20"/>
        </w:rPr>
      </w:pPr>
      <w:r w:rsidRPr="006753C4">
        <w:rPr>
          <w:szCs w:val="20"/>
        </w:rPr>
        <w:t>when questions arise about differences in approach, particularly when those differences would</w:t>
      </w:r>
      <w:r w:rsidRPr="00783DFA">
        <w:rPr>
          <w:szCs w:val="20"/>
        </w:rPr>
        <w:t xml:space="preserve"> result in a more complicated or challenging reliance program. </w:t>
      </w:r>
      <w:r w:rsidRPr="006753C4">
        <w:rPr>
          <w:szCs w:val="20"/>
        </w:rPr>
        <w:t xml:space="preserve">Benefits are best realized when </w:t>
      </w:r>
      <w:r w:rsidR="00A17C38">
        <w:rPr>
          <w:szCs w:val="20"/>
        </w:rPr>
        <w:t xml:space="preserve">the </w:t>
      </w:r>
      <w:r w:rsidRPr="006753C4">
        <w:rPr>
          <w:szCs w:val="20"/>
        </w:rPr>
        <w:t>reliance approach is straightforward and easy for all stakeholders to understand</w:t>
      </w:r>
    </w:p>
    <w:p w14:paraId="7E917076" w14:textId="77777777" w:rsidR="00ED1B32" w:rsidRPr="006753C4" w:rsidRDefault="00ED1B32" w:rsidP="00783DFA">
      <w:pPr>
        <w:pStyle w:val="NormalNumbered"/>
        <w:numPr>
          <w:ilvl w:val="0"/>
          <w:numId w:val="35"/>
        </w:numPr>
        <w:ind w:left="288" w:hanging="288"/>
        <w:jc w:val="both"/>
        <w:rPr>
          <w:szCs w:val="20"/>
        </w:rPr>
      </w:pPr>
      <w:r w:rsidRPr="006753C4">
        <w:rPr>
          <w:szCs w:val="20"/>
        </w:rPr>
        <w:t>to determine if new or modified agreements should be established</w:t>
      </w:r>
    </w:p>
    <w:p w14:paraId="51452B31" w14:textId="23D4013A" w:rsidR="00ED1B32" w:rsidRPr="00C04662" w:rsidRDefault="00ED1B32" w:rsidP="00D07A02">
      <w:pPr>
        <w:pStyle w:val="NormalNumbered"/>
        <w:jc w:val="both"/>
      </w:pPr>
      <w:r w:rsidRPr="006753C4">
        <w:rPr>
          <w:szCs w:val="20"/>
        </w:rPr>
        <w:t xml:space="preserve">to promote awareness of your reliance program </w:t>
      </w:r>
      <w:r w:rsidRPr="003A37AC">
        <w:rPr>
          <w:szCs w:val="20"/>
        </w:rPr>
        <w:t xml:space="preserve">to </w:t>
      </w:r>
      <w:r w:rsidR="003A37AC">
        <w:rPr>
          <w:szCs w:val="20"/>
        </w:rPr>
        <w:t>learn about</w:t>
      </w:r>
      <w:r w:rsidRPr="003A37AC">
        <w:rPr>
          <w:szCs w:val="20"/>
        </w:rPr>
        <w:t xml:space="preserve"> regulatory changes that could impact your program</w:t>
      </w:r>
      <w:r w:rsidR="001C70CF">
        <w:rPr>
          <w:szCs w:val="20"/>
        </w:rPr>
        <w:t xml:space="preserve">. </w:t>
      </w:r>
      <w:r w:rsidRPr="00B82362">
        <w:t>Given the importance of trust</w:t>
      </w:r>
      <w:r>
        <w:t xml:space="preserve"> in a reliance program</w:t>
      </w:r>
      <w:r w:rsidRPr="00B82362">
        <w:t>, you may wish to select reference</w:t>
      </w:r>
      <w:r>
        <w:t xml:space="preserve"> RA(s)</w:t>
      </w:r>
      <w:r w:rsidRPr="00B82362">
        <w:t xml:space="preserve"> w</w:t>
      </w:r>
      <w:r>
        <w:t>ith whom</w:t>
      </w:r>
      <w:r w:rsidRPr="00B82362">
        <w:t xml:space="preserve"> you already work closely or have existing partnerships</w:t>
      </w:r>
      <w:r>
        <w:t xml:space="preserve"> at other government levels</w:t>
      </w:r>
      <w:r w:rsidRPr="00B82362">
        <w:t xml:space="preserve">. You may also consider how </w:t>
      </w:r>
      <w:r w:rsidRPr="003F0E37">
        <w:t>frequently</w:t>
      </w:r>
      <w:r>
        <w:t xml:space="preserve"> </w:t>
      </w:r>
      <w:r w:rsidRPr="003F0E37">
        <w:t>other RAs rely on them (e.g.</w:t>
      </w:r>
      <w:r w:rsidRPr="00C04662">
        <w:t xml:space="preserve">, </w:t>
      </w:r>
      <w:r w:rsidRPr="003F0E37">
        <w:t>choos</w:t>
      </w:r>
      <w:r>
        <w:t>ing</w:t>
      </w:r>
      <w:r w:rsidRPr="003F0E37">
        <w:t xml:space="preserve"> </w:t>
      </w:r>
      <w:r w:rsidRPr="00C04662">
        <w:t xml:space="preserve">a reference </w:t>
      </w:r>
      <w:r w:rsidRPr="003F0E37">
        <w:t>RA</w:t>
      </w:r>
      <w:r w:rsidRPr="00C04662">
        <w:t xml:space="preserve"> that is relied upon by a large number of other regulators whose decisions</w:t>
      </w:r>
      <w:r w:rsidRPr="003F0E37">
        <w:t xml:space="preserve"> you</w:t>
      </w:r>
      <w:r w:rsidRPr="00C04662">
        <w:t xml:space="preserve"> trust</w:t>
      </w:r>
      <w:r w:rsidRPr="003F0E37">
        <w:t>)</w:t>
      </w:r>
      <w:r w:rsidRPr="00C04662">
        <w:t>.</w:t>
      </w:r>
    </w:p>
    <w:p w14:paraId="2B71E0BF" w14:textId="77777777" w:rsidR="00ED1B32" w:rsidRDefault="00ED1B32" w:rsidP="002348AD">
      <w:pPr>
        <w:spacing w:before="0"/>
        <w:jc w:val="both"/>
        <w:rPr>
          <w:szCs w:val="20"/>
        </w:rPr>
      </w:pPr>
    </w:p>
    <w:p w14:paraId="551466C4" w14:textId="5FC655A2" w:rsidR="001675F8" w:rsidRDefault="001675F8" w:rsidP="001675F8">
      <w:pPr>
        <w:pStyle w:val="Heading3"/>
      </w:pPr>
      <w:r>
        <w:t>Determining the Type of Reliance</w:t>
      </w:r>
    </w:p>
    <w:p w14:paraId="2955F0B8" w14:textId="7873A025" w:rsidR="001675F8" w:rsidRPr="003F0E37" w:rsidRDefault="001675F8" w:rsidP="001675F8">
      <w:pPr>
        <w:jc w:val="both"/>
        <w:rPr>
          <w:szCs w:val="20"/>
        </w:rPr>
      </w:pPr>
      <w:r w:rsidRPr="003F0E37">
        <w:rPr>
          <w:szCs w:val="20"/>
        </w:rPr>
        <w:t xml:space="preserve">You should determine how you use reliance in your own decision-making process. Different types of reliance (see </w:t>
      </w:r>
      <w:hyperlink w:anchor="_Types_of_regulatory" w:history="1">
        <w:r w:rsidRPr="00E87E7D">
          <w:rPr>
            <w:rStyle w:val="Hyperlink"/>
            <w:szCs w:val="20"/>
          </w:rPr>
          <w:t xml:space="preserve">Section </w:t>
        </w:r>
        <w:r w:rsidR="00DE7000" w:rsidRPr="00E87E7D">
          <w:rPr>
            <w:rStyle w:val="Hyperlink"/>
            <w:szCs w:val="20"/>
          </w:rPr>
          <w:t>4</w:t>
        </w:r>
      </w:hyperlink>
      <w:r w:rsidRPr="003F0E37">
        <w:rPr>
          <w:szCs w:val="20"/>
        </w:rPr>
        <w:t>) vary in their impact on your decision-making, depending on</w:t>
      </w:r>
      <w:r w:rsidR="001A39F3">
        <w:rPr>
          <w:szCs w:val="20"/>
        </w:rPr>
        <w:t>:</w:t>
      </w:r>
      <w:r w:rsidRPr="003F0E37">
        <w:rPr>
          <w:szCs w:val="20"/>
        </w:rPr>
        <w:t xml:space="preserve"> </w:t>
      </w:r>
    </w:p>
    <w:p w14:paraId="610099FC" w14:textId="73B7582F" w:rsidR="001675F8" w:rsidRPr="003F0E37" w:rsidRDefault="001675F8" w:rsidP="00783DFA">
      <w:pPr>
        <w:pStyle w:val="NormalNumbered"/>
        <w:numPr>
          <w:ilvl w:val="0"/>
          <w:numId w:val="35"/>
        </w:numPr>
        <w:ind w:left="288" w:hanging="288"/>
        <w:jc w:val="both"/>
        <w:rPr>
          <w:szCs w:val="20"/>
        </w:rPr>
      </w:pPr>
      <w:r w:rsidRPr="003F0E37">
        <w:rPr>
          <w:szCs w:val="20"/>
        </w:rPr>
        <w:t>activity scope (</w:t>
      </w:r>
      <w:r w:rsidR="00DE7000">
        <w:rPr>
          <w:szCs w:val="20"/>
        </w:rPr>
        <w:t xml:space="preserve">see </w:t>
      </w:r>
      <w:hyperlink w:anchor="_Identifying_Specific_Regulatory" w:history="1">
        <w:r w:rsidRPr="001C70CF">
          <w:rPr>
            <w:rStyle w:val="Hyperlink"/>
          </w:rPr>
          <w:t xml:space="preserve">Section </w:t>
        </w:r>
        <w:r w:rsidR="00C857A2" w:rsidRPr="001C70CF">
          <w:rPr>
            <w:rStyle w:val="Hyperlink"/>
            <w:szCs w:val="20"/>
          </w:rPr>
          <w:t>6</w:t>
        </w:r>
        <w:r w:rsidRPr="001C70CF">
          <w:rPr>
            <w:rStyle w:val="Hyperlink"/>
            <w:szCs w:val="20"/>
          </w:rPr>
          <w:t>.2.1</w:t>
        </w:r>
      </w:hyperlink>
      <w:r w:rsidRPr="003F0E37">
        <w:rPr>
          <w:szCs w:val="20"/>
        </w:rPr>
        <w:t>)</w:t>
      </w:r>
    </w:p>
    <w:p w14:paraId="6F203BE6" w14:textId="45AAEF35" w:rsidR="001675F8" w:rsidRPr="003F0E37" w:rsidRDefault="001675F8" w:rsidP="00783DFA">
      <w:pPr>
        <w:pStyle w:val="NormalNumbered"/>
        <w:numPr>
          <w:ilvl w:val="0"/>
          <w:numId w:val="35"/>
        </w:numPr>
        <w:ind w:left="288" w:hanging="288"/>
        <w:jc w:val="both"/>
        <w:rPr>
          <w:szCs w:val="20"/>
        </w:rPr>
      </w:pPr>
      <w:r w:rsidRPr="003F0E37">
        <w:rPr>
          <w:szCs w:val="20"/>
        </w:rPr>
        <w:t>selected reference RA (</w:t>
      </w:r>
      <w:r w:rsidR="00DE7000">
        <w:rPr>
          <w:szCs w:val="20"/>
        </w:rPr>
        <w:t xml:space="preserve">see </w:t>
      </w:r>
      <w:hyperlink w:anchor="_Selecting_Reference_Regulatory" w:history="1">
        <w:r w:rsidRPr="00574030">
          <w:rPr>
            <w:rStyle w:val="Hyperlink"/>
            <w:szCs w:val="20"/>
          </w:rPr>
          <w:t xml:space="preserve">Section </w:t>
        </w:r>
        <w:r w:rsidR="00C857A2" w:rsidRPr="00574030">
          <w:rPr>
            <w:rStyle w:val="Hyperlink"/>
            <w:szCs w:val="20"/>
          </w:rPr>
          <w:t>6</w:t>
        </w:r>
        <w:r w:rsidRPr="00574030">
          <w:rPr>
            <w:rStyle w:val="Hyperlink"/>
            <w:szCs w:val="20"/>
          </w:rPr>
          <w:t>.2.2</w:t>
        </w:r>
      </w:hyperlink>
      <w:r w:rsidRPr="003F0E37">
        <w:rPr>
          <w:szCs w:val="20"/>
        </w:rPr>
        <w:t xml:space="preserve">)  </w:t>
      </w:r>
    </w:p>
    <w:p w14:paraId="42A6E136" w14:textId="77777777" w:rsidR="001675F8" w:rsidRPr="003F0E37" w:rsidRDefault="001675F8" w:rsidP="00783DFA">
      <w:pPr>
        <w:pStyle w:val="NormalNumbered"/>
        <w:numPr>
          <w:ilvl w:val="0"/>
          <w:numId w:val="35"/>
        </w:numPr>
        <w:ind w:left="288" w:hanging="288"/>
        <w:jc w:val="both"/>
        <w:rPr>
          <w:szCs w:val="20"/>
        </w:rPr>
      </w:pPr>
      <w:r w:rsidRPr="003F0E37">
        <w:rPr>
          <w:szCs w:val="20"/>
        </w:rPr>
        <w:t xml:space="preserve">legal framework </w:t>
      </w:r>
    </w:p>
    <w:p w14:paraId="77A33927" w14:textId="77777777" w:rsidR="001675F8" w:rsidRPr="003F0E37" w:rsidRDefault="001675F8" w:rsidP="001675F8">
      <w:pPr>
        <w:jc w:val="both"/>
        <w:rPr>
          <w:szCs w:val="20"/>
        </w:rPr>
      </w:pPr>
      <w:r w:rsidRPr="003F0E37">
        <w:rPr>
          <w:szCs w:val="20"/>
        </w:rPr>
        <w:t xml:space="preserve">Your legal framework may restrict using information beyond what you receive and review yourself, and/or require that you make final decisions. If legal framework changes would be necessary to accommodate your desired extent of reliance, you should pursue these changes before developing your </w:t>
      </w:r>
      <w:r>
        <w:rPr>
          <w:szCs w:val="20"/>
        </w:rPr>
        <w:t>program</w:t>
      </w:r>
      <w:r w:rsidRPr="003F0E37">
        <w:rPr>
          <w:szCs w:val="20"/>
        </w:rPr>
        <w:t xml:space="preserve"> or consider different implementation approaches that fit within existing legal frameworks until or unless other legal changes are enacted.</w:t>
      </w:r>
    </w:p>
    <w:tbl>
      <w:tblPr>
        <w:tblStyle w:val="TableGrid"/>
        <w:tblW w:w="0" w:type="auto"/>
        <w:tblLook w:val="04A0" w:firstRow="1" w:lastRow="0" w:firstColumn="1" w:lastColumn="0" w:noHBand="0" w:noVBand="1"/>
      </w:tblPr>
      <w:tblGrid>
        <w:gridCol w:w="7562"/>
      </w:tblGrid>
      <w:tr w:rsidR="001675F8" w:rsidRPr="003F0E37" w14:paraId="56466EC5" w14:textId="77777777" w:rsidTr="0015388B">
        <w:trPr>
          <w:trHeight w:val="2613"/>
        </w:trPr>
        <w:tc>
          <w:tcPr>
            <w:tcW w:w="7562" w:type="dxa"/>
          </w:tcPr>
          <w:p w14:paraId="337CD00E" w14:textId="15F1943C" w:rsidR="001675F8" w:rsidRPr="003F0E37" w:rsidRDefault="001675F8" w:rsidP="00A8237A">
            <w:pPr>
              <w:jc w:val="both"/>
              <w:rPr>
                <w:szCs w:val="20"/>
              </w:rPr>
            </w:pPr>
            <w:r w:rsidRPr="003F0E37">
              <w:rPr>
                <w:b/>
                <w:bCs/>
                <w:szCs w:val="20"/>
              </w:rPr>
              <w:t>Example:</w:t>
            </w:r>
            <w:r w:rsidRPr="003F0E37">
              <w:rPr>
                <w:szCs w:val="20"/>
              </w:rPr>
              <w:t xml:space="preserve"> Regulator A wishes to develop a recognition-based reliance program so that it can completely accept pre-market regulatory decision granted by Regulator B without any need for further review. After conducting the assessment discussed in </w:t>
            </w:r>
            <w:hyperlink w:anchor="_Understanding_the_legal" w:history="1">
              <w:r w:rsidRPr="001A39F3">
                <w:rPr>
                  <w:rStyle w:val="Hyperlink"/>
                  <w:szCs w:val="20"/>
                </w:rPr>
                <w:t xml:space="preserve">Section </w:t>
              </w:r>
              <w:r w:rsidR="00FE2C5D" w:rsidRPr="001A39F3">
                <w:rPr>
                  <w:rStyle w:val="Hyperlink"/>
                  <w:szCs w:val="20"/>
                </w:rPr>
                <w:t>5</w:t>
              </w:r>
              <w:r w:rsidRPr="001A39F3">
                <w:rPr>
                  <w:rStyle w:val="Hyperlink"/>
                  <w:szCs w:val="20"/>
                </w:rPr>
                <w:t>.3</w:t>
              </w:r>
            </w:hyperlink>
            <w:r w:rsidRPr="003F0E37">
              <w:rPr>
                <w:szCs w:val="20"/>
              </w:rPr>
              <w:t xml:space="preserve">, Regulator A determines that the current legal framework for their regulatory system requires that they (Regulator A) issue the final decision. With this requirement in mind, they begin to develop a reliance process that heavily incorporates the pre-market regulatory decisions made by Regulator B as part of their own decision-making, but with Regulator A issuing the final decision. Regulatory efficiency is still gained from this process while legal requirements are met. </w:t>
            </w:r>
          </w:p>
        </w:tc>
      </w:tr>
    </w:tbl>
    <w:p w14:paraId="35F1B8C8" w14:textId="77777777" w:rsidR="00746952" w:rsidRDefault="00746952" w:rsidP="002348AD">
      <w:pPr>
        <w:spacing w:after="0"/>
        <w:jc w:val="both"/>
        <w:rPr>
          <w:szCs w:val="20"/>
        </w:rPr>
      </w:pPr>
    </w:p>
    <w:p w14:paraId="11B00D5F" w14:textId="6A1CEB38" w:rsidR="001675F8" w:rsidRPr="003F0E37" w:rsidRDefault="001675F8" w:rsidP="001675F8">
      <w:pPr>
        <w:jc w:val="both"/>
        <w:rPr>
          <w:szCs w:val="20"/>
        </w:rPr>
      </w:pPr>
      <w:r w:rsidRPr="003F0E37">
        <w:rPr>
          <w:szCs w:val="20"/>
        </w:rPr>
        <w:t>As part of this process, you should also consider your approach for managing device lifecycles in your reliance program, including change management and regulatory status changes (including market withdrawals). Different authorities may have varying procedures for manufacturer obligations to inform them of changes that impact device safety and effectiveness</w:t>
      </w:r>
      <w:r w:rsidR="00873567">
        <w:rPr>
          <w:szCs w:val="20"/>
        </w:rPr>
        <w:t>,</w:t>
      </w:r>
      <w:r w:rsidRPr="003F0E37">
        <w:rPr>
          <w:szCs w:val="20"/>
        </w:rPr>
        <w:t xml:space="preserve"> and </w:t>
      </w:r>
      <w:r w:rsidR="006307C9">
        <w:rPr>
          <w:szCs w:val="20"/>
        </w:rPr>
        <w:t xml:space="preserve">different </w:t>
      </w:r>
      <w:r w:rsidRPr="003F0E37">
        <w:rPr>
          <w:szCs w:val="20"/>
        </w:rPr>
        <w:t>change assessment processes. Additionally, if a device is removed from the market in the reference RA’s jurisdiction, you must decide whether it remains eligible for the reliance program. The significance of these factors in the planned reliance program and the availability of this information for other regulatory jurisdictions are therefore important considerations when deciding which regulatory activities and reference RA to include.</w:t>
      </w:r>
    </w:p>
    <w:p w14:paraId="29FDABB0" w14:textId="77777777" w:rsidR="001675F8" w:rsidRPr="003F0E37" w:rsidRDefault="001675F8" w:rsidP="002348AD">
      <w:pPr>
        <w:spacing w:after="0"/>
        <w:jc w:val="both"/>
        <w:rPr>
          <w:b/>
          <w:bCs/>
          <w:szCs w:val="20"/>
        </w:rPr>
      </w:pPr>
    </w:p>
    <w:p w14:paraId="03B03EEE" w14:textId="77777777" w:rsidR="001675F8" w:rsidRPr="003F0E37" w:rsidRDefault="001675F8" w:rsidP="001675F8">
      <w:pPr>
        <w:jc w:val="both"/>
        <w:rPr>
          <w:b/>
          <w:bCs/>
          <w:szCs w:val="20"/>
        </w:rPr>
      </w:pPr>
      <w:r w:rsidRPr="003F0E37">
        <w:rPr>
          <w:b/>
          <w:bCs/>
          <w:szCs w:val="20"/>
        </w:rPr>
        <w:t>Managing changes in reliance scope</w:t>
      </w:r>
    </w:p>
    <w:p w14:paraId="251EE38D" w14:textId="58BB680A" w:rsidR="0045583D" w:rsidRDefault="001675F8" w:rsidP="00422B80">
      <w:pPr>
        <w:spacing w:after="0"/>
        <w:rPr>
          <w:szCs w:val="20"/>
        </w:rPr>
      </w:pPr>
      <w:r w:rsidRPr="003F0E37">
        <w:rPr>
          <w:szCs w:val="20"/>
        </w:rPr>
        <w:t>After establishing your desired scope and implemented the reliance processes, you may later decide that scope changes are required. You should allow for such changes to ensure appropriate reliance options remain available, accompanied by reviews of current processes to determine if process changes are also needed</w:t>
      </w:r>
      <w:r w:rsidR="001F4762">
        <w:rPr>
          <w:szCs w:val="20"/>
        </w:rPr>
        <w:t xml:space="preserve"> (see </w:t>
      </w:r>
      <w:hyperlink w:anchor="_Establish_a_management" w:history="1">
        <w:r w:rsidR="001F4762" w:rsidRPr="001F4762">
          <w:rPr>
            <w:rStyle w:val="Hyperlink"/>
            <w:szCs w:val="20"/>
          </w:rPr>
          <w:t>Section 6.7</w:t>
        </w:r>
      </w:hyperlink>
      <w:r w:rsidR="001F4762">
        <w:rPr>
          <w:szCs w:val="20"/>
        </w:rPr>
        <w:t>)</w:t>
      </w:r>
      <w:r w:rsidR="00B038D4">
        <w:rPr>
          <w:szCs w:val="20"/>
        </w:rPr>
        <w:t>.</w:t>
      </w:r>
    </w:p>
    <w:p w14:paraId="24596D6E" w14:textId="77777777" w:rsidR="007D24EA" w:rsidRDefault="007D24EA" w:rsidP="00422B80">
      <w:pPr>
        <w:spacing w:before="0" w:after="0"/>
        <w:rPr>
          <w:szCs w:val="20"/>
        </w:rPr>
      </w:pPr>
    </w:p>
    <w:p w14:paraId="62CC7049" w14:textId="1EA203D0" w:rsidR="00532308" w:rsidRDefault="00532308" w:rsidP="00594273">
      <w:pPr>
        <w:pStyle w:val="Heading2"/>
        <w:jc w:val="both"/>
      </w:pPr>
      <w:bookmarkStart w:id="98" w:name="_Establish_reliance_processes"/>
      <w:bookmarkStart w:id="99" w:name="_Toc213265644"/>
      <w:bookmarkEnd w:id="98"/>
      <w:r>
        <w:t>Establish reliance processes and procedures</w:t>
      </w:r>
      <w:bookmarkEnd w:id="99"/>
    </w:p>
    <w:p w14:paraId="0A16F634" w14:textId="56C73DD5" w:rsidR="004F41C1" w:rsidRPr="00FC572E" w:rsidRDefault="004F41C1" w:rsidP="004F41C1">
      <w:pPr>
        <w:jc w:val="both"/>
        <w:rPr>
          <w:szCs w:val="20"/>
        </w:rPr>
      </w:pPr>
      <w:r w:rsidRPr="00FC572E">
        <w:rPr>
          <w:szCs w:val="20"/>
        </w:rPr>
        <w:t>After establishing your program scope, you should develop implementation details for your agency and jurisdiction. This process will likely involve developing or modifying internal resources such as standard operating procedures, work aids, templates, memoranda of understanding, and externally</w:t>
      </w:r>
      <w:r w:rsidR="001F4762">
        <w:rPr>
          <w:szCs w:val="20"/>
        </w:rPr>
        <w:t>-</w:t>
      </w:r>
      <w:r w:rsidRPr="00FC572E">
        <w:rPr>
          <w:szCs w:val="20"/>
        </w:rPr>
        <w:t>facing publications.</w:t>
      </w:r>
    </w:p>
    <w:p w14:paraId="64398717" w14:textId="77777777" w:rsidR="004F41C1" w:rsidRPr="00FC572E" w:rsidRDefault="004F41C1" w:rsidP="004F41C1">
      <w:pPr>
        <w:jc w:val="both"/>
        <w:rPr>
          <w:szCs w:val="20"/>
        </w:rPr>
      </w:pPr>
      <w:r w:rsidRPr="00FC572E">
        <w:rPr>
          <w:szCs w:val="20"/>
        </w:rPr>
        <w:t>Because these steps are highly specific to your circumstances and your chosen program, a detailed listing of which steps to take is difficult to provide.  However, you should ensure your reliance processes and procedures clearly describe the following elements to avoid misinterpretation:</w:t>
      </w:r>
    </w:p>
    <w:p w14:paraId="0E0056F9" w14:textId="77777777" w:rsidR="004F41C1" w:rsidRPr="00FC572E" w:rsidRDefault="004F41C1" w:rsidP="004F41C1">
      <w:pPr>
        <w:jc w:val="both"/>
        <w:rPr>
          <w:b/>
          <w:bCs/>
          <w:szCs w:val="20"/>
        </w:rPr>
      </w:pPr>
    </w:p>
    <w:p w14:paraId="3E154B39" w14:textId="77777777" w:rsidR="004F41C1" w:rsidRPr="00FC572E" w:rsidRDefault="004F41C1" w:rsidP="004F41C1">
      <w:pPr>
        <w:jc w:val="both"/>
        <w:rPr>
          <w:b/>
          <w:bCs/>
          <w:szCs w:val="20"/>
        </w:rPr>
      </w:pPr>
      <w:r w:rsidRPr="00FC572E">
        <w:rPr>
          <w:b/>
          <w:bCs/>
          <w:szCs w:val="20"/>
        </w:rPr>
        <w:t xml:space="preserve">Eligibility </w:t>
      </w:r>
    </w:p>
    <w:p w14:paraId="51F3AF75" w14:textId="77777777" w:rsidR="004F41C1" w:rsidRPr="00FC572E" w:rsidRDefault="004F41C1" w:rsidP="004F41C1">
      <w:pPr>
        <w:jc w:val="both"/>
        <w:rPr>
          <w:szCs w:val="20"/>
        </w:rPr>
      </w:pPr>
      <w:r w:rsidRPr="00FC572E">
        <w:rPr>
          <w:szCs w:val="20"/>
        </w:rPr>
        <w:t>Define eligibility criteria for your reliance program, including:</w:t>
      </w:r>
    </w:p>
    <w:p w14:paraId="0C9F0EF9" w14:textId="349C0020" w:rsidR="004F41C1" w:rsidRPr="00FC572E" w:rsidRDefault="004F41C1" w:rsidP="00783DFA">
      <w:pPr>
        <w:pStyle w:val="NormalNumbered"/>
        <w:numPr>
          <w:ilvl w:val="0"/>
          <w:numId w:val="35"/>
        </w:numPr>
        <w:ind w:left="288" w:hanging="288"/>
        <w:jc w:val="both"/>
        <w:rPr>
          <w:szCs w:val="20"/>
        </w:rPr>
      </w:pPr>
      <w:r w:rsidRPr="00FC572E">
        <w:rPr>
          <w:szCs w:val="20"/>
        </w:rPr>
        <w:t>medical device types, including risk classification and category/nomenclature</w:t>
      </w:r>
    </w:p>
    <w:p w14:paraId="4D0E1669" w14:textId="77777777" w:rsidR="004F41C1" w:rsidRPr="00FC572E" w:rsidRDefault="004F41C1" w:rsidP="00783DFA">
      <w:pPr>
        <w:pStyle w:val="NormalNumbered"/>
        <w:numPr>
          <w:ilvl w:val="0"/>
          <w:numId w:val="35"/>
        </w:numPr>
        <w:ind w:left="288" w:hanging="288"/>
        <w:jc w:val="both"/>
        <w:rPr>
          <w:szCs w:val="20"/>
        </w:rPr>
      </w:pPr>
      <w:r w:rsidRPr="00FC572E">
        <w:rPr>
          <w:szCs w:val="20"/>
        </w:rPr>
        <w:t xml:space="preserve">whether the reliance process could be applied to groups of similar devices in addition to individual devices, and under what conditions this would be permissible </w:t>
      </w:r>
    </w:p>
    <w:p w14:paraId="307E9D93" w14:textId="77777777" w:rsidR="004F41C1" w:rsidRPr="00FC572E" w:rsidRDefault="004F41C1" w:rsidP="00783DFA">
      <w:pPr>
        <w:pStyle w:val="NormalNumbered"/>
        <w:numPr>
          <w:ilvl w:val="0"/>
          <w:numId w:val="35"/>
        </w:numPr>
        <w:ind w:left="288" w:hanging="288"/>
        <w:jc w:val="both"/>
        <w:rPr>
          <w:szCs w:val="20"/>
        </w:rPr>
      </w:pPr>
      <w:r w:rsidRPr="00FC572E">
        <w:rPr>
          <w:szCs w:val="20"/>
        </w:rPr>
        <w:t>regulatory activities (e.g., marketing registration/placement, post-market surveillance)</w:t>
      </w:r>
    </w:p>
    <w:p w14:paraId="046FEBAB" w14:textId="77777777" w:rsidR="004F41C1" w:rsidRPr="00FC572E" w:rsidRDefault="004F41C1" w:rsidP="00783DFA">
      <w:pPr>
        <w:pStyle w:val="NormalNumbered"/>
        <w:numPr>
          <w:ilvl w:val="0"/>
          <w:numId w:val="35"/>
        </w:numPr>
        <w:ind w:left="288" w:hanging="288"/>
        <w:jc w:val="both"/>
        <w:rPr>
          <w:szCs w:val="20"/>
        </w:rPr>
      </w:pPr>
      <w:r w:rsidRPr="00FC572E">
        <w:rPr>
          <w:szCs w:val="20"/>
        </w:rPr>
        <w:t>whether eligibility is affected by the marketing status in the reference RA jurisdiction (e.g., whether medical devices would be eligible if they are or have been withdrawn from the market in these jurisdictions, and if so, whether the reason for withdrawal would impact eligibility)</w:t>
      </w:r>
    </w:p>
    <w:p w14:paraId="54B0BBBD" w14:textId="481465FF" w:rsidR="004F41C1" w:rsidRPr="00FC572E" w:rsidRDefault="004F41C1" w:rsidP="00783DFA">
      <w:pPr>
        <w:pStyle w:val="NormalNumbered"/>
        <w:numPr>
          <w:ilvl w:val="0"/>
          <w:numId w:val="35"/>
        </w:numPr>
        <w:ind w:left="288" w:hanging="288"/>
        <w:jc w:val="both"/>
        <w:rPr>
          <w:szCs w:val="20"/>
        </w:rPr>
      </w:pPr>
      <w:r w:rsidRPr="00FC572E">
        <w:rPr>
          <w:szCs w:val="20"/>
        </w:rPr>
        <w:t>any eligibility conditions related to the specific regulatory decision being relied upon (e.g., if the original decision can be made via abridged or recognized review or if</w:t>
      </w:r>
      <w:r w:rsidR="004F6AF5">
        <w:rPr>
          <w:szCs w:val="20"/>
        </w:rPr>
        <w:t xml:space="preserve"> </w:t>
      </w:r>
      <w:r w:rsidRPr="00FC572E">
        <w:rPr>
          <w:szCs w:val="20"/>
        </w:rPr>
        <w:t>the decision must have been made via full review)</w:t>
      </w:r>
    </w:p>
    <w:p w14:paraId="1B1F197B" w14:textId="77777777" w:rsidR="004F41C1" w:rsidRPr="00FC572E" w:rsidRDefault="004F41C1" w:rsidP="00783DFA">
      <w:pPr>
        <w:pStyle w:val="NormalNumbered"/>
        <w:numPr>
          <w:ilvl w:val="0"/>
          <w:numId w:val="35"/>
        </w:numPr>
        <w:ind w:left="288" w:hanging="288"/>
        <w:jc w:val="both"/>
        <w:rPr>
          <w:szCs w:val="20"/>
        </w:rPr>
      </w:pPr>
      <w:r w:rsidRPr="00FC572E">
        <w:rPr>
          <w:szCs w:val="20"/>
        </w:rPr>
        <w:t>any exclusions, as well as a process for confirming eligibility</w:t>
      </w:r>
    </w:p>
    <w:p w14:paraId="132132AB" w14:textId="77777777" w:rsidR="004F41C1" w:rsidRPr="00FC572E" w:rsidRDefault="004F41C1" w:rsidP="004F41C1">
      <w:pPr>
        <w:jc w:val="both"/>
        <w:rPr>
          <w:szCs w:val="20"/>
        </w:rPr>
      </w:pPr>
    </w:p>
    <w:p w14:paraId="7BA17953" w14:textId="77777777" w:rsidR="004F41C1" w:rsidRPr="00FC572E" w:rsidRDefault="004F41C1" w:rsidP="004F41C1">
      <w:pPr>
        <w:jc w:val="both"/>
        <w:rPr>
          <w:b/>
          <w:bCs/>
          <w:szCs w:val="20"/>
        </w:rPr>
      </w:pPr>
      <w:r w:rsidRPr="00FC572E">
        <w:rPr>
          <w:b/>
          <w:bCs/>
          <w:szCs w:val="20"/>
        </w:rPr>
        <w:t>Process Steps</w:t>
      </w:r>
    </w:p>
    <w:p w14:paraId="7CB84F9F" w14:textId="77777777" w:rsidR="004F41C1" w:rsidRPr="00FC572E" w:rsidRDefault="004F41C1" w:rsidP="004F41C1">
      <w:pPr>
        <w:jc w:val="both"/>
        <w:rPr>
          <w:szCs w:val="20"/>
        </w:rPr>
      </w:pPr>
      <w:r w:rsidRPr="00FC572E">
        <w:rPr>
          <w:szCs w:val="20"/>
        </w:rPr>
        <w:t>Establish steps for your reliance-based regulatory process, including:</w:t>
      </w:r>
    </w:p>
    <w:p w14:paraId="45D38B4F" w14:textId="77777777" w:rsidR="004F41C1" w:rsidRPr="00FC572E" w:rsidRDefault="004F41C1" w:rsidP="00783DFA">
      <w:pPr>
        <w:pStyle w:val="NormalNumbered"/>
        <w:numPr>
          <w:ilvl w:val="0"/>
          <w:numId w:val="35"/>
        </w:numPr>
        <w:ind w:left="288" w:hanging="288"/>
        <w:jc w:val="both"/>
        <w:rPr>
          <w:szCs w:val="20"/>
        </w:rPr>
      </w:pPr>
      <w:r w:rsidRPr="00FC572E">
        <w:rPr>
          <w:szCs w:val="20"/>
        </w:rPr>
        <w:t>how information regarding the reference RA’s decision will be obtained (e.g., information-sharing agreements with other RA, public information, documentation from the manufacturer), including any future updates related to that decision (e.g., subsequent recalls, market withdrawal, device changes)</w:t>
      </w:r>
    </w:p>
    <w:p w14:paraId="5F943BFA" w14:textId="49B68ECD" w:rsidR="004F41C1" w:rsidRPr="00FC572E" w:rsidRDefault="004F41C1" w:rsidP="00783DFA">
      <w:pPr>
        <w:pStyle w:val="NormalNumbered"/>
        <w:numPr>
          <w:ilvl w:val="0"/>
          <w:numId w:val="35"/>
        </w:numPr>
        <w:ind w:left="288" w:hanging="288"/>
        <w:jc w:val="both"/>
        <w:rPr>
          <w:szCs w:val="20"/>
        </w:rPr>
      </w:pPr>
      <w:r w:rsidRPr="00FC572E">
        <w:rPr>
          <w:szCs w:val="20"/>
        </w:rPr>
        <w:t xml:space="preserve">process for confirming that the medical device under review and its intended use can be considered identical to the version on which the reference RA’s decisions were based, including any necessary evidence and justification for any differences. This concept of establishing “sameness” of the device is important in instilling confidence in your reliance program. The definition of </w:t>
      </w:r>
      <w:r w:rsidRPr="00783DFA">
        <w:rPr>
          <w:i/>
          <w:iCs/>
          <w:szCs w:val="20"/>
        </w:rPr>
        <w:t>essentially identical medical device</w:t>
      </w:r>
      <w:r w:rsidR="008E21A0">
        <w:rPr>
          <w:rStyle w:val="FootnoteReference"/>
          <w:lang w:val="en-GB"/>
        </w:rPr>
        <w:footnoteReference w:id="5"/>
      </w:r>
      <w:r w:rsidR="008E21A0">
        <w:rPr>
          <w:b/>
          <w:bCs/>
          <w:lang w:val="en-GB"/>
        </w:rPr>
        <w:t xml:space="preserve"> </w:t>
      </w:r>
      <w:r w:rsidRPr="00FC572E">
        <w:rPr>
          <w:szCs w:val="20"/>
        </w:rPr>
        <w:t xml:space="preserve">developed by the Brazilian Health Regulatory Agency (ANVISA) may be helpful in developing criteria for this process   </w:t>
      </w:r>
    </w:p>
    <w:p w14:paraId="54CDBD56" w14:textId="5412B693" w:rsidR="004F41C1" w:rsidRPr="00FC572E" w:rsidRDefault="004F41C1" w:rsidP="00783DFA">
      <w:pPr>
        <w:pStyle w:val="NormalNumbered"/>
        <w:numPr>
          <w:ilvl w:val="0"/>
          <w:numId w:val="35"/>
        </w:numPr>
        <w:ind w:left="288" w:hanging="288"/>
        <w:jc w:val="both"/>
        <w:rPr>
          <w:szCs w:val="20"/>
        </w:rPr>
      </w:pPr>
      <w:r w:rsidRPr="00FC572E">
        <w:rPr>
          <w:szCs w:val="20"/>
        </w:rPr>
        <w:t>to what extent you will conduct the review, which will depend in part on the reliance type (</w:t>
      </w:r>
      <w:r w:rsidR="00DE7000">
        <w:rPr>
          <w:szCs w:val="20"/>
        </w:rPr>
        <w:t xml:space="preserve">see </w:t>
      </w:r>
      <w:hyperlink w:anchor="_Types_of_regulatory" w:history="1">
        <w:r w:rsidRPr="004F6AF5">
          <w:rPr>
            <w:rStyle w:val="Hyperlink"/>
            <w:szCs w:val="20"/>
          </w:rPr>
          <w:t xml:space="preserve">Section </w:t>
        </w:r>
        <w:r w:rsidR="00DE7000" w:rsidRPr="004F6AF5">
          <w:rPr>
            <w:rStyle w:val="Hyperlink"/>
            <w:szCs w:val="20"/>
          </w:rPr>
          <w:t>4</w:t>
        </w:r>
      </w:hyperlink>
      <w:r w:rsidRPr="00FC572E">
        <w:rPr>
          <w:szCs w:val="20"/>
        </w:rPr>
        <w:t>) and approach, including any role of third parties in relation to the reliance program</w:t>
      </w:r>
    </w:p>
    <w:p w14:paraId="73E56C13" w14:textId="77777777" w:rsidR="004F41C1" w:rsidRPr="00FC572E" w:rsidRDefault="004F41C1" w:rsidP="00783DFA">
      <w:pPr>
        <w:pStyle w:val="NormalNumbered"/>
        <w:numPr>
          <w:ilvl w:val="0"/>
          <w:numId w:val="35"/>
        </w:numPr>
        <w:ind w:left="288" w:hanging="288"/>
        <w:jc w:val="both"/>
        <w:rPr>
          <w:szCs w:val="20"/>
        </w:rPr>
      </w:pPr>
      <w:r w:rsidRPr="00FC572E">
        <w:rPr>
          <w:szCs w:val="20"/>
        </w:rPr>
        <w:t>any timelines, if applicable, associated with any of the above steps</w:t>
      </w:r>
    </w:p>
    <w:p w14:paraId="436FFAF4" w14:textId="77777777" w:rsidR="004F41C1" w:rsidRPr="00FC572E" w:rsidRDefault="004F41C1" w:rsidP="00422B80">
      <w:pPr>
        <w:spacing w:after="0"/>
        <w:jc w:val="both"/>
        <w:rPr>
          <w:b/>
          <w:bCs/>
          <w:szCs w:val="20"/>
        </w:rPr>
      </w:pPr>
    </w:p>
    <w:p w14:paraId="39FB4BC4" w14:textId="77777777" w:rsidR="004F41C1" w:rsidRPr="00FC572E" w:rsidRDefault="004F41C1" w:rsidP="00422B80">
      <w:pPr>
        <w:spacing w:before="60"/>
        <w:jc w:val="both"/>
        <w:rPr>
          <w:b/>
          <w:bCs/>
          <w:szCs w:val="20"/>
        </w:rPr>
      </w:pPr>
      <w:r w:rsidRPr="00FC572E">
        <w:rPr>
          <w:b/>
          <w:bCs/>
          <w:szCs w:val="20"/>
        </w:rPr>
        <w:t xml:space="preserve">Documentation </w:t>
      </w:r>
    </w:p>
    <w:p w14:paraId="789671F8" w14:textId="788855AE" w:rsidR="004F41C1" w:rsidRPr="00FC572E" w:rsidRDefault="004F41C1" w:rsidP="00422B80">
      <w:pPr>
        <w:spacing w:before="60" w:after="0"/>
        <w:jc w:val="both"/>
        <w:rPr>
          <w:szCs w:val="20"/>
        </w:rPr>
      </w:pPr>
      <w:r w:rsidRPr="00FC572E">
        <w:rPr>
          <w:szCs w:val="20"/>
        </w:rPr>
        <w:t>Types of documents needed, including</w:t>
      </w:r>
      <w:r w:rsidR="005E13BE">
        <w:rPr>
          <w:szCs w:val="20"/>
        </w:rPr>
        <w:t>:</w:t>
      </w:r>
      <w:r w:rsidRPr="00FC572E">
        <w:rPr>
          <w:szCs w:val="20"/>
        </w:rPr>
        <w:t xml:space="preserve"> </w:t>
      </w:r>
    </w:p>
    <w:p w14:paraId="3E9F3A25" w14:textId="4369490F" w:rsidR="004F41C1" w:rsidRPr="00783DFA" w:rsidRDefault="004F41C1" w:rsidP="00422B80">
      <w:pPr>
        <w:pStyle w:val="NormalNumbered"/>
        <w:numPr>
          <w:ilvl w:val="0"/>
          <w:numId w:val="35"/>
        </w:numPr>
        <w:spacing w:before="60" w:after="0"/>
        <w:ind w:left="288" w:hanging="288"/>
        <w:jc w:val="both"/>
        <w:rPr>
          <w:szCs w:val="20"/>
        </w:rPr>
      </w:pPr>
      <w:r w:rsidRPr="00FC572E">
        <w:rPr>
          <w:szCs w:val="20"/>
        </w:rPr>
        <w:t xml:space="preserve">evidence to support your review, from </w:t>
      </w:r>
      <w:r w:rsidR="00FC3CA1">
        <w:rPr>
          <w:szCs w:val="20"/>
        </w:rPr>
        <w:t xml:space="preserve">the </w:t>
      </w:r>
      <w:r w:rsidRPr="00FC572E">
        <w:rPr>
          <w:szCs w:val="20"/>
        </w:rPr>
        <w:t>reference RA or manufacturer</w:t>
      </w:r>
    </w:p>
    <w:p w14:paraId="7D866B70" w14:textId="3BBB8328" w:rsidR="004F41C1" w:rsidRPr="00FC572E" w:rsidRDefault="004F41C1" w:rsidP="00422B80">
      <w:pPr>
        <w:pStyle w:val="NormalNumbered"/>
        <w:numPr>
          <w:ilvl w:val="0"/>
          <w:numId w:val="35"/>
        </w:numPr>
        <w:spacing w:before="60" w:after="0"/>
        <w:ind w:left="288" w:hanging="288"/>
        <w:jc w:val="both"/>
        <w:rPr>
          <w:szCs w:val="20"/>
        </w:rPr>
      </w:pPr>
      <w:r w:rsidRPr="00FC572E">
        <w:rPr>
          <w:szCs w:val="20"/>
        </w:rPr>
        <w:t xml:space="preserve">documentation of </w:t>
      </w:r>
      <w:r w:rsidR="00FC3CA1">
        <w:rPr>
          <w:szCs w:val="20"/>
        </w:rPr>
        <w:t xml:space="preserve">your </w:t>
      </w:r>
      <w:r w:rsidR="003F0371">
        <w:rPr>
          <w:szCs w:val="20"/>
        </w:rPr>
        <w:t xml:space="preserve">final regulatory </w:t>
      </w:r>
      <w:r w:rsidRPr="00FC572E">
        <w:rPr>
          <w:szCs w:val="20"/>
        </w:rPr>
        <w:t>decision</w:t>
      </w:r>
    </w:p>
    <w:p w14:paraId="01BB01AF" w14:textId="5A05F350" w:rsidR="004F41C1" w:rsidRPr="00FC572E" w:rsidRDefault="004F41C1" w:rsidP="00422B80">
      <w:pPr>
        <w:spacing w:before="240" w:after="0"/>
        <w:jc w:val="both"/>
        <w:rPr>
          <w:szCs w:val="20"/>
          <w:lang w:val="en-GB"/>
        </w:rPr>
      </w:pPr>
      <w:r w:rsidRPr="00FC572E">
        <w:rPr>
          <w:szCs w:val="20"/>
          <w:lang w:val="en-GB"/>
        </w:rPr>
        <w:t>When determining document needs and where they come from, you should:</w:t>
      </w:r>
    </w:p>
    <w:p w14:paraId="7E3C4FF7" w14:textId="77777777" w:rsidR="004F41C1" w:rsidRPr="00783DFA" w:rsidRDefault="004F41C1" w:rsidP="00422B80">
      <w:pPr>
        <w:pStyle w:val="NormalNumbered"/>
        <w:numPr>
          <w:ilvl w:val="0"/>
          <w:numId w:val="35"/>
        </w:numPr>
        <w:spacing w:before="60" w:after="0"/>
        <w:ind w:left="288" w:hanging="288"/>
        <w:jc w:val="both"/>
        <w:rPr>
          <w:szCs w:val="20"/>
        </w:rPr>
      </w:pPr>
      <w:r w:rsidRPr="00783DFA">
        <w:rPr>
          <w:szCs w:val="20"/>
        </w:rPr>
        <w:t xml:space="preserve">ensure the requirements do not go beyond what is necessary for you to make a sufficiently informed reliance-based decision </w:t>
      </w:r>
    </w:p>
    <w:p w14:paraId="6AD4BC2E" w14:textId="23A3639C" w:rsidR="004F41C1" w:rsidRPr="00783DFA" w:rsidRDefault="004F41C1" w:rsidP="00422B80">
      <w:pPr>
        <w:pStyle w:val="NormalNumbered"/>
        <w:numPr>
          <w:ilvl w:val="0"/>
          <w:numId w:val="35"/>
        </w:numPr>
        <w:spacing w:before="60" w:after="0"/>
        <w:ind w:left="288" w:hanging="288"/>
        <w:jc w:val="both"/>
        <w:rPr>
          <w:szCs w:val="20"/>
        </w:rPr>
      </w:pPr>
      <w:r w:rsidRPr="00783DFA">
        <w:rPr>
          <w:szCs w:val="20"/>
        </w:rPr>
        <w:t xml:space="preserve">consider </w:t>
      </w:r>
      <w:r w:rsidR="00FF4E6E" w:rsidRPr="00783DFA">
        <w:rPr>
          <w:szCs w:val="20"/>
        </w:rPr>
        <w:t xml:space="preserve">any </w:t>
      </w:r>
      <w:r w:rsidRPr="00783DFA">
        <w:rPr>
          <w:szCs w:val="20"/>
        </w:rPr>
        <w:t xml:space="preserve">additional burden on manufacturers and reference RAs </w:t>
      </w:r>
      <w:r w:rsidR="00FF4E6E" w:rsidRPr="00783DFA">
        <w:rPr>
          <w:szCs w:val="20"/>
        </w:rPr>
        <w:t>as part of</w:t>
      </w:r>
      <w:r w:rsidRPr="00783DFA">
        <w:rPr>
          <w:szCs w:val="20"/>
        </w:rPr>
        <w:t xml:space="preserve"> this process</w:t>
      </w:r>
    </w:p>
    <w:p w14:paraId="7E440E71" w14:textId="1F70A1C1" w:rsidR="004F41C1" w:rsidRDefault="004F41C1" w:rsidP="00422B80">
      <w:pPr>
        <w:pStyle w:val="NormalNumbered"/>
        <w:numPr>
          <w:ilvl w:val="0"/>
          <w:numId w:val="35"/>
        </w:numPr>
        <w:spacing w:before="60" w:after="0"/>
        <w:ind w:left="289" w:hanging="289"/>
        <w:jc w:val="both"/>
        <w:rPr>
          <w:szCs w:val="20"/>
        </w:rPr>
      </w:pPr>
      <w:r w:rsidRPr="00783DFA">
        <w:rPr>
          <w:szCs w:val="20"/>
        </w:rPr>
        <w:t xml:space="preserve">prioritize </w:t>
      </w:r>
      <w:r w:rsidRPr="00FC572E">
        <w:rPr>
          <w:szCs w:val="20"/>
        </w:rPr>
        <w:t xml:space="preserve">publicly available information such as online databases where possible. Supporting documentation issued by </w:t>
      </w:r>
      <w:r w:rsidR="003F0371">
        <w:rPr>
          <w:szCs w:val="20"/>
        </w:rPr>
        <w:t xml:space="preserve">the </w:t>
      </w:r>
      <w:r w:rsidRPr="00FC572E">
        <w:rPr>
          <w:szCs w:val="20"/>
        </w:rPr>
        <w:t xml:space="preserve">reference RA (e.g., free sale certificates, certificates to foreign government) can serve as secondary evidence to support your reliance decisions. It is important to avoid unnecessary restrictions on when this documentation can be accepted (such as only accepting this evidence if the device is manufactured in the reference RA jurisdiction, rather than focusing on whether the device has been authorized by a reference RA) </w:t>
      </w:r>
    </w:p>
    <w:p w14:paraId="3B8E50D7" w14:textId="77777777" w:rsidR="004F41C1" w:rsidRPr="00FC572E" w:rsidRDefault="004F41C1" w:rsidP="004F41C1">
      <w:pPr>
        <w:jc w:val="both"/>
        <w:rPr>
          <w:b/>
          <w:bCs/>
          <w:szCs w:val="20"/>
        </w:rPr>
      </w:pPr>
      <w:r w:rsidRPr="00FC572E">
        <w:rPr>
          <w:b/>
          <w:bCs/>
          <w:szCs w:val="20"/>
        </w:rPr>
        <w:t xml:space="preserve">Communication Plan </w:t>
      </w:r>
    </w:p>
    <w:p w14:paraId="5DC02CA8" w14:textId="77777777" w:rsidR="004F41C1" w:rsidRPr="00FC572E" w:rsidRDefault="004F41C1" w:rsidP="004F41C1">
      <w:pPr>
        <w:jc w:val="both"/>
        <w:rPr>
          <w:szCs w:val="20"/>
        </w:rPr>
      </w:pPr>
      <w:r w:rsidRPr="00FC572E">
        <w:rPr>
          <w:szCs w:val="20"/>
        </w:rPr>
        <w:t>Processes for disclosing information on your reliance program to the public, including:</w:t>
      </w:r>
    </w:p>
    <w:p w14:paraId="307E2018" w14:textId="4CCFD5D8" w:rsidR="004F41C1" w:rsidRPr="00FC572E" w:rsidRDefault="004F41C1" w:rsidP="00783DFA">
      <w:pPr>
        <w:pStyle w:val="NormalNumbered"/>
        <w:numPr>
          <w:ilvl w:val="0"/>
          <w:numId w:val="35"/>
        </w:numPr>
        <w:ind w:left="288" w:hanging="288"/>
        <w:jc w:val="both"/>
        <w:rPr>
          <w:szCs w:val="20"/>
        </w:rPr>
      </w:pPr>
      <w:r w:rsidRPr="00FC572E">
        <w:rPr>
          <w:szCs w:val="20"/>
        </w:rPr>
        <w:t>details of reliance-based regulatory processes</w:t>
      </w:r>
      <w:r w:rsidR="00710794">
        <w:rPr>
          <w:szCs w:val="20"/>
        </w:rPr>
        <w:t>,</w:t>
      </w:r>
      <w:r w:rsidRPr="00FC572E">
        <w:rPr>
          <w:szCs w:val="20"/>
        </w:rPr>
        <w:t xml:space="preserve"> such as eligibility criteria</w:t>
      </w:r>
    </w:p>
    <w:p w14:paraId="71A2043E" w14:textId="70E0709E" w:rsidR="004F41C1" w:rsidRPr="00FC572E" w:rsidRDefault="004F41C1" w:rsidP="00783DFA">
      <w:pPr>
        <w:pStyle w:val="NormalNumbered"/>
        <w:numPr>
          <w:ilvl w:val="0"/>
          <w:numId w:val="35"/>
        </w:numPr>
        <w:ind w:left="288" w:hanging="288"/>
        <w:jc w:val="both"/>
        <w:rPr>
          <w:szCs w:val="20"/>
        </w:rPr>
      </w:pPr>
      <w:r w:rsidRPr="00FC572E">
        <w:rPr>
          <w:szCs w:val="20"/>
        </w:rPr>
        <w:t xml:space="preserve">processes </w:t>
      </w:r>
      <w:r w:rsidR="00191BA4">
        <w:rPr>
          <w:szCs w:val="20"/>
        </w:rPr>
        <w:t xml:space="preserve">that </w:t>
      </w:r>
      <w:r w:rsidRPr="00FC572E">
        <w:rPr>
          <w:szCs w:val="20"/>
        </w:rPr>
        <w:t>manufacturers/local representatives would need to follow to use the program</w:t>
      </w:r>
    </w:p>
    <w:p w14:paraId="6F89C252" w14:textId="77777777" w:rsidR="004F41C1" w:rsidRPr="00FC572E" w:rsidRDefault="004F41C1" w:rsidP="00783DFA">
      <w:pPr>
        <w:pStyle w:val="NormalNumbered"/>
        <w:numPr>
          <w:ilvl w:val="0"/>
          <w:numId w:val="35"/>
        </w:numPr>
        <w:ind w:left="288" w:hanging="288"/>
        <w:jc w:val="both"/>
        <w:rPr>
          <w:szCs w:val="20"/>
        </w:rPr>
      </w:pPr>
      <w:r w:rsidRPr="00FC572E">
        <w:rPr>
          <w:szCs w:val="20"/>
        </w:rPr>
        <w:t xml:space="preserve">regulatory decisions resulting from your reliance </w:t>
      </w:r>
      <w:r>
        <w:rPr>
          <w:szCs w:val="20"/>
        </w:rPr>
        <w:t>program</w:t>
      </w:r>
      <w:r w:rsidRPr="00FC572E">
        <w:rPr>
          <w:szCs w:val="20"/>
        </w:rPr>
        <w:t xml:space="preserve"> and the level of transparency of this information (e.g., whether to disclose that the decision was reliance-based)</w:t>
      </w:r>
    </w:p>
    <w:p w14:paraId="36C7599C" w14:textId="2A8A938A" w:rsidR="004F41C1" w:rsidRDefault="004F41C1" w:rsidP="004F41C1">
      <w:pPr>
        <w:jc w:val="both"/>
        <w:rPr>
          <w:b/>
          <w:bCs/>
          <w:i/>
          <w:iCs/>
          <w:szCs w:val="20"/>
        </w:rPr>
      </w:pPr>
      <w:r w:rsidRPr="00FC572E">
        <w:rPr>
          <w:szCs w:val="20"/>
        </w:rPr>
        <w:t xml:space="preserve">While not all the details of reliance </w:t>
      </w:r>
      <w:r>
        <w:rPr>
          <w:szCs w:val="20"/>
        </w:rPr>
        <w:t>program</w:t>
      </w:r>
      <w:r w:rsidRPr="00FC572E">
        <w:rPr>
          <w:szCs w:val="20"/>
        </w:rPr>
        <w:t xml:space="preserve">s need to be shared publicly, you should provide sufficient transparency so that the public understands the purpose, benefits, and outcomes of your </w:t>
      </w:r>
      <w:r>
        <w:rPr>
          <w:szCs w:val="20"/>
        </w:rPr>
        <w:t>program</w:t>
      </w:r>
      <w:r w:rsidRPr="00FC572E">
        <w:rPr>
          <w:szCs w:val="20"/>
        </w:rPr>
        <w:t xml:space="preserve"> to minim</w:t>
      </w:r>
      <w:r w:rsidR="00BC59C5">
        <w:rPr>
          <w:szCs w:val="20"/>
        </w:rPr>
        <w:t>ize</w:t>
      </w:r>
      <w:r w:rsidRPr="00FC572E">
        <w:rPr>
          <w:szCs w:val="20"/>
        </w:rPr>
        <w:t xml:space="preserve"> the risk of losing public trust.</w:t>
      </w:r>
    </w:p>
    <w:p w14:paraId="0E27BABA" w14:textId="77777777" w:rsidR="005B5C33" w:rsidRDefault="005B5C33" w:rsidP="004F41C1">
      <w:pPr>
        <w:jc w:val="both"/>
        <w:rPr>
          <w:b/>
          <w:bCs/>
          <w:i/>
          <w:iCs/>
          <w:szCs w:val="20"/>
        </w:rPr>
      </w:pPr>
    </w:p>
    <w:p w14:paraId="1FE02139" w14:textId="77777777" w:rsidR="005B5C33" w:rsidRPr="000D2AAC" w:rsidRDefault="005B5C33" w:rsidP="005B5C33">
      <w:pPr>
        <w:jc w:val="both"/>
        <w:rPr>
          <w:b/>
          <w:bCs/>
          <w:szCs w:val="20"/>
        </w:rPr>
      </w:pPr>
      <w:r w:rsidRPr="000D2AAC">
        <w:rPr>
          <w:b/>
          <w:bCs/>
          <w:szCs w:val="20"/>
        </w:rPr>
        <w:t xml:space="preserve">Staff Training </w:t>
      </w:r>
    </w:p>
    <w:p w14:paraId="74675674" w14:textId="77777777" w:rsidR="005B5C33" w:rsidRPr="00FC572E" w:rsidRDefault="005B5C33" w:rsidP="005B5C33">
      <w:pPr>
        <w:jc w:val="both"/>
        <w:rPr>
          <w:szCs w:val="20"/>
        </w:rPr>
      </w:pPr>
      <w:r w:rsidRPr="00FC572E">
        <w:rPr>
          <w:szCs w:val="20"/>
        </w:rPr>
        <w:t>E</w:t>
      </w:r>
      <w:r w:rsidRPr="000D2AAC">
        <w:rPr>
          <w:szCs w:val="20"/>
        </w:rPr>
        <w:t xml:space="preserve">nsure all staff and management involved in carrying out reliance functions </w:t>
      </w:r>
      <w:r w:rsidRPr="00FC572E">
        <w:rPr>
          <w:szCs w:val="20"/>
        </w:rPr>
        <w:t>received relevant process training</w:t>
      </w:r>
      <w:r w:rsidRPr="000D2AAC">
        <w:rPr>
          <w:szCs w:val="20"/>
        </w:rPr>
        <w:t xml:space="preserve">. </w:t>
      </w:r>
      <w:r w:rsidRPr="00FC572E">
        <w:rPr>
          <w:szCs w:val="20"/>
        </w:rPr>
        <w:t>Training should:</w:t>
      </w:r>
    </w:p>
    <w:p w14:paraId="3B6C9CAC" w14:textId="77777777" w:rsidR="005B5C33" w:rsidRPr="00FC572E" w:rsidRDefault="005B5C33" w:rsidP="00783DFA">
      <w:pPr>
        <w:pStyle w:val="NormalNumbered"/>
        <w:numPr>
          <w:ilvl w:val="0"/>
          <w:numId w:val="35"/>
        </w:numPr>
        <w:ind w:left="288" w:hanging="288"/>
        <w:jc w:val="both"/>
        <w:rPr>
          <w:szCs w:val="20"/>
        </w:rPr>
      </w:pPr>
      <w:r w:rsidRPr="00FC572E">
        <w:rPr>
          <w:szCs w:val="20"/>
        </w:rPr>
        <w:t>cover procedural steps for reliance activities</w:t>
      </w:r>
    </w:p>
    <w:p w14:paraId="50C34820" w14:textId="294CD528" w:rsidR="005B5C33" w:rsidRPr="00FC572E" w:rsidRDefault="005B5C33" w:rsidP="00783DFA">
      <w:pPr>
        <w:pStyle w:val="NormalNumbered"/>
        <w:numPr>
          <w:ilvl w:val="0"/>
          <w:numId w:val="35"/>
        </w:numPr>
        <w:ind w:left="288" w:hanging="288"/>
        <w:jc w:val="both"/>
        <w:rPr>
          <w:szCs w:val="20"/>
        </w:rPr>
      </w:pPr>
      <w:r w:rsidRPr="00FC572E">
        <w:rPr>
          <w:szCs w:val="20"/>
        </w:rPr>
        <w:t xml:space="preserve">communicate </w:t>
      </w:r>
      <w:r w:rsidR="00FF341E">
        <w:rPr>
          <w:szCs w:val="20"/>
        </w:rPr>
        <w:t xml:space="preserve">the </w:t>
      </w:r>
      <w:r w:rsidRPr="00FC572E">
        <w:rPr>
          <w:szCs w:val="20"/>
        </w:rPr>
        <w:t>benefits of adopting the reliance program for your regulatory jurisdiction</w:t>
      </w:r>
    </w:p>
    <w:p w14:paraId="6EB2E510" w14:textId="40BA3BCE" w:rsidR="005B5C33" w:rsidRPr="00FC572E" w:rsidRDefault="005B5C33" w:rsidP="00783DFA">
      <w:pPr>
        <w:pStyle w:val="NormalNumbered"/>
        <w:numPr>
          <w:ilvl w:val="0"/>
          <w:numId w:val="35"/>
        </w:numPr>
        <w:ind w:left="288" w:hanging="288"/>
        <w:jc w:val="both"/>
        <w:rPr>
          <w:szCs w:val="20"/>
        </w:rPr>
      </w:pPr>
      <w:r w:rsidRPr="00FC572E">
        <w:rPr>
          <w:szCs w:val="20"/>
        </w:rPr>
        <w:t>gather feedback on your proposed program</w:t>
      </w:r>
    </w:p>
    <w:p w14:paraId="115605F2" w14:textId="6F9A7F28" w:rsidR="005B5C33" w:rsidRDefault="005B5C33" w:rsidP="005B5C33">
      <w:pPr>
        <w:jc w:val="both"/>
        <w:rPr>
          <w:szCs w:val="20"/>
          <w:lang w:val="en-GB"/>
        </w:rPr>
      </w:pPr>
      <w:r w:rsidRPr="00FC572E">
        <w:rPr>
          <w:szCs w:val="20"/>
          <w:lang w:val="en-GB"/>
        </w:rPr>
        <w:t>The contents of IMDRF/GRRP WG/N40</w:t>
      </w:r>
      <w:r w:rsidR="006927BB">
        <w:rPr>
          <w:szCs w:val="20"/>
          <w:lang w:val="en-GB"/>
        </w:rPr>
        <w:t xml:space="preserve"> -</w:t>
      </w:r>
      <w:r w:rsidRPr="00FC572E">
        <w:rPr>
          <w:szCs w:val="20"/>
          <w:lang w:val="en-GB"/>
        </w:rPr>
        <w:t xml:space="preserve"> </w:t>
      </w:r>
      <w:r w:rsidRPr="006927BB">
        <w:rPr>
          <w:i/>
          <w:iCs/>
          <w:szCs w:val="20"/>
          <w:lang w:val="en-GB"/>
        </w:rPr>
        <w:t>Competence, Training, and Conduct Requirements for Regulatory Reviewers</w:t>
      </w:r>
      <w:r w:rsidRPr="00FC572E">
        <w:rPr>
          <w:szCs w:val="20"/>
          <w:lang w:val="en-GB"/>
        </w:rPr>
        <w:t xml:space="preserve"> may be a useful resource in developing these training needs. While this document is intended for those performing regulatory reviews and/or making decisions related to the device, many of the concepts and approaches can be adapted to other regulatory activities.</w:t>
      </w:r>
    </w:p>
    <w:p w14:paraId="04428830" w14:textId="77777777" w:rsidR="007D24EA" w:rsidRPr="00FC572E" w:rsidRDefault="007D24EA" w:rsidP="005B5C33">
      <w:pPr>
        <w:jc w:val="both"/>
        <w:rPr>
          <w:szCs w:val="20"/>
          <w:lang w:val="en-GB"/>
        </w:rPr>
      </w:pPr>
    </w:p>
    <w:tbl>
      <w:tblPr>
        <w:tblStyle w:val="TableGrid"/>
        <w:tblW w:w="7658" w:type="dxa"/>
        <w:tblLook w:val="04A0" w:firstRow="1" w:lastRow="0" w:firstColumn="1" w:lastColumn="0" w:noHBand="0" w:noVBand="1"/>
      </w:tblPr>
      <w:tblGrid>
        <w:gridCol w:w="7658"/>
      </w:tblGrid>
      <w:tr w:rsidR="005B5C33" w:rsidRPr="00FC572E" w14:paraId="1ECA33E8" w14:textId="77777777" w:rsidTr="0015388B">
        <w:trPr>
          <w:trHeight w:val="2460"/>
        </w:trPr>
        <w:tc>
          <w:tcPr>
            <w:tcW w:w="7658" w:type="dxa"/>
          </w:tcPr>
          <w:p w14:paraId="198858FA" w14:textId="6F8378F1" w:rsidR="005B5C33" w:rsidRPr="00FC572E" w:rsidRDefault="005B5C33" w:rsidP="00A8237A">
            <w:pPr>
              <w:jc w:val="both"/>
              <w:rPr>
                <w:b/>
                <w:bCs/>
                <w:szCs w:val="20"/>
                <w:lang w:val="en-GB"/>
              </w:rPr>
            </w:pPr>
            <w:r w:rsidRPr="00FC572E">
              <w:rPr>
                <w:b/>
                <w:bCs/>
                <w:szCs w:val="20"/>
                <w:lang w:val="en-GB"/>
              </w:rPr>
              <w:t xml:space="preserve">Example: </w:t>
            </w:r>
            <w:r w:rsidRPr="00FC572E">
              <w:rPr>
                <w:szCs w:val="20"/>
                <w:lang w:val="en-GB"/>
              </w:rPr>
              <w:t xml:space="preserve">After developing its reliance program, the </w:t>
            </w:r>
            <w:r w:rsidR="008475A7">
              <w:rPr>
                <w:szCs w:val="20"/>
                <w:lang w:val="en-GB"/>
              </w:rPr>
              <w:t>RA</w:t>
            </w:r>
            <w:r w:rsidRPr="00FC572E">
              <w:rPr>
                <w:szCs w:val="20"/>
                <w:lang w:val="en-GB"/>
              </w:rPr>
              <w:t xml:space="preserve"> has prepared various materials. The materials intended for internal use include detailed standard operating procedures for conducting all aspects of the reliance-based regulatory activities, along with training materials to educate management and staff on these processes and promote understanding of the purpose of the program. Externally focused materials (as discussed further in </w:t>
            </w:r>
            <w:hyperlink w:anchor="_Continue_stakeholder_engagement" w:history="1">
              <w:r w:rsidRPr="002B7448">
                <w:rPr>
                  <w:rStyle w:val="Hyperlink"/>
                  <w:szCs w:val="20"/>
                  <w:lang w:val="en-GB"/>
                </w:rPr>
                <w:t xml:space="preserve">Section </w:t>
              </w:r>
              <w:r w:rsidR="007A204E" w:rsidRPr="002B7448">
                <w:rPr>
                  <w:rStyle w:val="Hyperlink"/>
                  <w:szCs w:val="20"/>
                  <w:lang w:val="en-GB"/>
                </w:rPr>
                <w:t>6</w:t>
              </w:r>
              <w:r w:rsidRPr="002B7448">
                <w:rPr>
                  <w:rStyle w:val="Hyperlink"/>
                  <w:szCs w:val="20"/>
                  <w:lang w:val="en-GB"/>
                </w:rPr>
                <w:t>.</w:t>
              </w:r>
              <w:r w:rsidR="002B7448" w:rsidRPr="002B7448">
                <w:rPr>
                  <w:rStyle w:val="Hyperlink"/>
                  <w:szCs w:val="20"/>
                  <w:lang w:val="en-GB"/>
                </w:rPr>
                <w:t>6</w:t>
              </w:r>
            </w:hyperlink>
            <w:r w:rsidRPr="00FC572E">
              <w:rPr>
                <w:szCs w:val="20"/>
                <w:lang w:val="en-GB"/>
              </w:rPr>
              <w:t xml:space="preserve">) include an announcement of the initiation of the reliance program, a guide for industry on how the reliance program is expected to impact them, and information on the </w:t>
            </w:r>
            <w:r w:rsidR="00FF341E">
              <w:rPr>
                <w:szCs w:val="20"/>
                <w:lang w:val="en-GB"/>
              </w:rPr>
              <w:t>RA</w:t>
            </w:r>
            <w:r w:rsidRPr="00FC572E">
              <w:rPr>
                <w:szCs w:val="20"/>
                <w:lang w:val="en-GB"/>
              </w:rPr>
              <w:t>’s website for communicating the outcomes of reliance-based regulatory work.</w:t>
            </w:r>
          </w:p>
        </w:tc>
      </w:tr>
    </w:tbl>
    <w:p w14:paraId="03F637DA" w14:textId="687BFF86" w:rsidR="005C6662" w:rsidRDefault="005C6662" w:rsidP="004F41C1">
      <w:pPr>
        <w:jc w:val="both"/>
        <w:rPr>
          <w:szCs w:val="20"/>
        </w:rPr>
      </w:pPr>
    </w:p>
    <w:p w14:paraId="78069D5B" w14:textId="77777777" w:rsidR="005C6662" w:rsidRDefault="005C6662">
      <w:pPr>
        <w:keepLines w:val="0"/>
        <w:spacing w:before="0" w:after="0" w:line="240" w:lineRule="auto"/>
        <w:rPr>
          <w:szCs w:val="20"/>
        </w:rPr>
      </w:pPr>
      <w:r>
        <w:rPr>
          <w:szCs w:val="20"/>
        </w:rPr>
        <w:br w:type="page"/>
      </w:r>
    </w:p>
    <w:p w14:paraId="76458C18" w14:textId="77777777" w:rsidR="00532308" w:rsidRDefault="00532308" w:rsidP="00532308">
      <w:pPr>
        <w:pStyle w:val="Heading2"/>
      </w:pPr>
      <w:bookmarkStart w:id="101" w:name="_Toc213265645"/>
      <w:bookmarkStart w:id="102" w:name="_Define_roles_of"/>
      <w:bookmarkStart w:id="103" w:name="_Toc213265646"/>
      <w:bookmarkEnd w:id="101"/>
      <w:bookmarkEnd w:id="102"/>
      <w:r>
        <w:t>Define roles of supporting documents and resources</w:t>
      </w:r>
      <w:bookmarkEnd w:id="103"/>
    </w:p>
    <w:p w14:paraId="752404DF" w14:textId="590BCA95" w:rsidR="001B20D5" w:rsidRDefault="001B20D5" w:rsidP="001B20D5">
      <w:pPr>
        <w:jc w:val="both"/>
        <w:rPr>
          <w:szCs w:val="20"/>
        </w:rPr>
      </w:pPr>
      <w:r w:rsidRPr="009F2649">
        <w:rPr>
          <w:szCs w:val="20"/>
        </w:rPr>
        <w:t>A key part of developing implementation processes is identifying what information and approaches you'll use to support your decision-making</w:t>
      </w:r>
      <w:r>
        <w:rPr>
          <w:szCs w:val="20"/>
        </w:rPr>
        <w:t xml:space="preserve">. </w:t>
      </w:r>
      <w:r w:rsidRPr="0014743E">
        <w:rPr>
          <w:szCs w:val="20"/>
        </w:rPr>
        <w:t>The supporting documents you need will depend on</w:t>
      </w:r>
      <w:r w:rsidR="002B7448">
        <w:rPr>
          <w:szCs w:val="20"/>
        </w:rPr>
        <w:t>:</w:t>
      </w:r>
      <w:r w:rsidRPr="0014743E">
        <w:rPr>
          <w:szCs w:val="20"/>
        </w:rPr>
        <w:t xml:space="preserve"> </w:t>
      </w:r>
    </w:p>
    <w:p w14:paraId="01DBD660" w14:textId="649CB332" w:rsidR="001B20D5" w:rsidRDefault="001B20D5" w:rsidP="00783DFA">
      <w:pPr>
        <w:pStyle w:val="NormalNumbered"/>
        <w:numPr>
          <w:ilvl w:val="0"/>
          <w:numId w:val="35"/>
        </w:numPr>
        <w:ind w:left="288" w:hanging="288"/>
        <w:jc w:val="both"/>
        <w:rPr>
          <w:szCs w:val="20"/>
        </w:rPr>
      </w:pPr>
      <w:r w:rsidRPr="0014743E">
        <w:rPr>
          <w:szCs w:val="20"/>
        </w:rPr>
        <w:t xml:space="preserve">your </w:t>
      </w:r>
      <w:r w:rsidR="00FF341E">
        <w:rPr>
          <w:szCs w:val="20"/>
        </w:rPr>
        <w:t xml:space="preserve">selected </w:t>
      </w:r>
      <w:r w:rsidRPr="0014743E">
        <w:rPr>
          <w:szCs w:val="20"/>
        </w:rPr>
        <w:t>regulatory activit</w:t>
      </w:r>
      <w:r w:rsidR="00FF341E">
        <w:rPr>
          <w:szCs w:val="20"/>
        </w:rPr>
        <w:t>ies</w:t>
      </w:r>
    </w:p>
    <w:p w14:paraId="69BBE1FC" w14:textId="77777777" w:rsidR="001B20D5" w:rsidRDefault="001B20D5" w:rsidP="00783DFA">
      <w:pPr>
        <w:pStyle w:val="NormalNumbered"/>
        <w:numPr>
          <w:ilvl w:val="0"/>
          <w:numId w:val="35"/>
        </w:numPr>
        <w:ind w:left="288" w:hanging="288"/>
        <w:jc w:val="both"/>
        <w:rPr>
          <w:szCs w:val="20"/>
        </w:rPr>
      </w:pPr>
      <w:r w:rsidRPr="0014743E">
        <w:rPr>
          <w:szCs w:val="20"/>
        </w:rPr>
        <w:t>your reference</w:t>
      </w:r>
      <w:r>
        <w:rPr>
          <w:szCs w:val="20"/>
        </w:rPr>
        <w:t xml:space="preserve"> RA</w:t>
      </w:r>
    </w:p>
    <w:p w14:paraId="67D97AD5" w14:textId="77777777" w:rsidR="001B20D5" w:rsidRDefault="001B20D5" w:rsidP="00783DFA">
      <w:pPr>
        <w:pStyle w:val="NormalNumbered"/>
        <w:numPr>
          <w:ilvl w:val="0"/>
          <w:numId w:val="35"/>
        </w:numPr>
        <w:ind w:left="288" w:hanging="288"/>
        <w:jc w:val="both"/>
        <w:rPr>
          <w:szCs w:val="20"/>
        </w:rPr>
      </w:pPr>
      <w:r w:rsidRPr="0014743E">
        <w:rPr>
          <w:szCs w:val="20"/>
        </w:rPr>
        <w:t>how reliance affects your decision-making</w:t>
      </w:r>
    </w:p>
    <w:p w14:paraId="1D4A18A5" w14:textId="77777777" w:rsidR="001B20D5" w:rsidRDefault="001B20D5" w:rsidP="001B20D5">
      <w:pPr>
        <w:jc w:val="both"/>
        <w:rPr>
          <w:szCs w:val="20"/>
        </w:rPr>
      </w:pPr>
      <w:r w:rsidRPr="0014743E">
        <w:rPr>
          <w:szCs w:val="20"/>
        </w:rPr>
        <w:t>For example, you may require more documentation</w:t>
      </w:r>
      <w:r>
        <w:rPr>
          <w:szCs w:val="20"/>
        </w:rPr>
        <w:t xml:space="preserve"> from the manufacturers</w:t>
      </w:r>
      <w:r w:rsidRPr="0014743E">
        <w:rPr>
          <w:szCs w:val="20"/>
        </w:rPr>
        <w:t xml:space="preserve"> when </w:t>
      </w:r>
      <w:r>
        <w:rPr>
          <w:szCs w:val="20"/>
        </w:rPr>
        <w:t xml:space="preserve">choosing </w:t>
      </w:r>
      <w:r w:rsidRPr="0014743E">
        <w:rPr>
          <w:szCs w:val="20"/>
        </w:rPr>
        <w:t xml:space="preserve">reference </w:t>
      </w:r>
      <w:r>
        <w:rPr>
          <w:szCs w:val="20"/>
        </w:rPr>
        <w:t>RA</w:t>
      </w:r>
      <w:r w:rsidRPr="0014743E">
        <w:rPr>
          <w:szCs w:val="20"/>
        </w:rPr>
        <w:t>s that use different regulatory controls to ensure your own requirements are met.</w:t>
      </w:r>
    </w:p>
    <w:p w14:paraId="3EA02E8F" w14:textId="77777777" w:rsidR="001B20D5" w:rsidRDefault="001B20D5" w:rsidP="001B20D5">
      <w:pPr>
        <w:jc w:val="both"/>
        <w:rPr>
          <w:szCs w:val="20"/>
        </w:rPr>
      </w:pPr>
    </w:p>
    <w:p w14:paraId="2226FBC4" w14:textId="77777777" w:rsidR="001B20D5" w:rsidRPr="002D2559" w:rsidRDefault="001B20D5" w:rsidP="001B20D5">
      <w:pPr>
        <w:jc w:val="both"/>
        <w:rPr>
          <w:b/>
          <w:bCs/>
          <w:szCs w:val="20"/>
        </w:rPr>
      </w:pPr>
      <w:r w:rsidRPr="00A55AB2">
        <w:rPr>
          <w:b/>
          <w:bCs/>
          <w:szCs w:val="20"/>
        </w:rPr>
        <w:t>Maxim</w:t>
      </w:r>
      <w:r w:rsidRPr="002D2559">
        <w:rPr>
          <w:b/>
          <w:bCs/>
          <w:szCs w:val="20"/>
        </w:rPr>
        <w:t>izing B</w:t>
      </w:r>
      <w:r w:rsidRPr="00A55AB2">
        <w:rPr>
          <w:b/>
          <w:bCs/>
          <w:szCs w:val="20"/>
        </w:rPr>
        <w:t>enefit</w:t>
      </w:r>
      <w:r w:rsidRPr="002D2559">
        <w:rPr>
          <w:b/>
          <w:bCs/>
          <w:szCs w:val="20"/>
        </w:rPr>
        <w:t xml:space="preserve">s Through </w:t>
      </w:r>
      <w:r w:rsidRPr="00A55AB2">
        <w:rPr>
          <w:b/>
          <w:bCs/>
          <w:szCs w:val="20"/>
        </w:rPr>
        <w:t xml:space="preserve">Existing Approaches </w:t>
      </w:r>
    </w:p>
    <w:p w14:paraId="4C95638C" w14:textId="3E021769" w:rsidR="001B20D5" w:rsidRPr="00A55AB2" w:rsidRDefault="001B20D5" w:rsidP="001B20D5">
      <w:pPr>
        <w:jc w:val="both"/>
        <w:rPr>
          <w:szCs w:val="20"/>
        </w:rPr>
      </w:pPr>
      <w:r w:rsidRPr="002D2559">
        <w:rPr>
          <w:szCs w:val="20"/>
        </w:rPr>
        <w:t>While you can develop new evaluation criteria or processes for reliance purposes or apply your existing jurisdiction-specific approaches, you can maxim</w:t>
      </w:r>
      <w:r w:rsidR="00BC59C5">
        <w:rPr>
          <w:szCs w:val="20"/>
        </w:rPr>
        <w:t>ize</w:t>
      </w:r>
      <w:r w:rsidRPr="002D2559">
        <w:rPr>
          <w:szCs w:val="20"/>
        </w:rPr>
        <w:t xml:space="preserve"> your reliance program's benefits by leveraging existing approaches developed using consensus-based processes involving multiple regulatory jurisdictions (ideally involving both you and your reference RA). </w:t>
      </w:r>
      <w:r w:rsidRPr="00A55AB2">
        <w:rPr>
          <w:szCs w:val="20"/>
        </w:rPr>
        <w:t>This approach:</w:t>
      </w:r>
    </w:p>
    <w:p w14:paraId="1A18C76E" w14:textId="6A9371A8" w:rsidR="001B20D5" w:rsidRPr="002D2559" w:rsidRDefault="00684979" w:rsidP="00783DFA">
      <w:pPr>
        <w:pStyle w:val="NormalNumbered"/>
        <w:numPr>
          <w:ilvl w:val="0"/>
          <w:numId w:val="35"/>
        </w:numPr>
        <w:ind w:left="288" w:hanging="288"/>
        <w:jc w:val="both"/>
        <w:rPr>
          <w:szCs w:val="20"/>
        </w:rPr>
      </w:pPr>
      <w:r>
        <w:rPr>
          <w:szCs w:val="20"/>
        </w:rPr>
        <w:t>r</w:t>
      </w:r>
      <w:r w:rsidR="001B20D5" w:rsidRPr="002D2559">
        <w:rPr>
          <w:szCs w:val="20"/>
        </w:rPr>
        <w:t xml:space="preserve">educes ambiguity and differences across jurisdictions </w:t>
      </w:r>
    </w:p>
    <w:p w14:paraId="43A78B12" w14:textId="357C3AD5" w:rsidR="001B20D5" w:rsidRPr="002D2559" w:rsidRDefault="00684979" w:rsidP="00783DFA">
      <w:pPr>
        <w:pStyle w:val="NormalNumbered"/>
        <w:numPr>
          <w:ilvl w:val="0"/>
          <w:numId w:val="35"/>
        </w:numPr>
        <w:ind w:left="288" w:hanging="288"/>
        <w:jc w:val="both"/>
        <w:rPr>
          <w:szCs w:val="20"/>
        </w:rPr>
      </w:pPr>
      <w:r>
        <w:rPr>
          <w:szCs w:val="20"/>
        </w:rPr>
        <w:t>b</w:t>
      </w:r>
      <w:r w:rsidR="001B20D5" w:rsidRPr="002D2559">
        <w:rPr>
          <w:szCs w:val="20"/>
        </w:rPr>
        <w:t>uilds on confidence already established in these resources</w:t>
      </w:r>
    </w:p>
    <w:p w14:paraId="0D8F0FA7" w14:textId="79E9E06E" w:rsidR="001B20D5" w:rsidRPr="002D2559" w:rsidRDefault="00684979" w:rsidP="00783DFA">
      <w:pPr>
        <w:pStyle w:val="NormalNumbered"/>
        <w:numPr>
          <w:ilvl w:val="0"/>
          <w:numId w:val="35"/>
        </w:numPr>
        <w:ind w:left="288" w:hanging="288"/>
        <w:jc w:val="both"/>
        <w:rPr>
          <w:szCs w:val="20"/>
        </w:rPr>
      </w:pPr>
      <w:r>
        <w:rPr>
          <w:szCs w:val="20"/>
        </w:rPr>
        <w:t>i</w:t>
      </w:r>
      <w:r w:rsidR="001B20D5" w:rsidRPr="002D2559">
        <w:rPr>
          <w:szCs w:val="20"/>
        </w:rPr>
        <w:t>ncreases reliance-related efficiencies</w:t>
      </w:r>
    </w:p>
    <w:p w14:paraId="4458328A" w14:textId="5690EB7E" w:rsidR="001B20D5" w:rsidRPr="00A55AB2" w:rsidRDefault="001B20D5" w:rsidP="00422B80">
      <w:pPr>
        <w:jc w:val="both"/>
        <w:rPr>
          <w:szCs w:val="20"/>
        </w:rPr>
      </w:pPr>
      <w:r w:rsidRPr="00A55AB2">
        <w:rPr>
          <w:szCs w:val="20"/>
        </w:rPr>
        <w:t>Examples include using globally</w:t>
      </w:r>
      <w:r w:rsidR="00FC19A6">
        <w:rPr>
          <w:szCs w:val="20"/>
        </w:rPr>
        <w:t>-</w:t>
      </w:r>
      <w:r w:rsidRPr="002D2559">
        <w:rPr>
          <w:szCs w:val="20"/>
        </w:rPr>
        <w:t>adopted</w:t>
      </w:r>
      <w:r w:rsidRPr="00A55AB2">
        <w:rPr>
          <w:szCs w:val="20"/>
        </w:rPr>
        <w:t xml:space="preserve"> consensus standards for medical devices or relevant IMDRF guidance for your reliance-based activity. Ensur</w:t>
      </w:r>
      <w:r w:rsidR="00684979">
        <w:rPr>
          <w:szCs w:val="20"/>
        </w:rPr>
        <w:t>ing that</w:t>
      </w:r>
      <w:r w:rsidRPr="00A55AB2">
        <w:rPr>
          <w:szCs w:val="20"/>
        </w:rPr>
        <w:t xml:space="preserve"> your reliance program requirements align with established regulatory practices </w:t>
      </w:r>
      <w:r w:rsidR="00684979">
        <w:rPr>
          <w:szCs w:val="20"/>
        </w:rPr>
        <w:t>helps</w:t>
      </w:r>
      <w:r w:rsidRPr="00A55AB2">
        <w:rPr>
          <w:szCs w:val="20"/>
        </w:rPr>
        <w:t xml:space="preserve"> support regulatory convergence.</w:t>
      </w:r>
    </w:p>
    <w:p w14:paraId="03CD180E" w14:textId="4A83BE67" w:rsidR="001B20D5" w:rsidRPr="00471547" w:rsidRDefault="001B20D5" w:rsidP="001B20D5">
      <w:pPr>
        <w:jc w:val="both"/>
        <w:rPr>
          <w:szCs w:val="20"/>
          <w:lang w:val="en-GB"/>
        </w:rPr>
      </w:pPr>
      <w:r>
        <w:rPr>
          <w:szCs w:val="20"/>
          <w:lang w:val="en-GB"/>
        </w:rPr>
        <w:t xml:space="preserve">Below are </w:t>
      </w:r>
      <w:r w:rsidRPr="00471547">
        <w:rPr>
          <w:szCs w:val="20"/>
          <w:lang w:val="en-GB"/>
        </w:rPr>
        <w:t xml:space="preserve">examples of </w:t>
      </w:r>
      <w:r w:rsidR="002000B3">
        <w:rPr>
          <w:szCs w:val="20"/>
          <w:lang w:val="en-GB"/>
        </w:rPr>
        <w:t xml:space="preserve">supporting </w:t>
      </w:r>
      <w:r w:rsidRPr="00471547">
        <w:rPr>
          <w:szCs w:val="20"/>
          <w:lang w:val="en-GB"/>
        </w:rPr>
        <w:t xml:space="preserve">information </w:t>
      </w:r>
      <w:r>
        <w:rPr>
          <w:szCs w:val="20"/>
          <w:lang w:val="en-GB"/>
        </w:rPr>
        <w:t xml:space="preserve">types </w:t>
      </w:r>
      <w:r w:rsidRPr="00471547">
        <w:rPr>
          <w:szCs w:val="20"/>
          <w:lang w:val="en-GB"/>
        </w:rPr>
        <w:t>for certain reliance activities</w:t>
      </w:r>
      <w:r>
        <w:rPr>
          <w:szCs w:val="20"/>
          <w:lang w:val="en-GB"/>
        </w:rPr>
        <w:t xml:space="preserve">, along with </w:t>
      </w:r>
      <w:r w:rsidRPr="00471547">
        <w:rPr>
          <w:szCs w:val="20"/>
          <w:lang w:val="en-GB"/>
        </w:rPr>
        <w:t xml:space="preserve">approaches </w:t>
      </w:r>
      <w:r>
        <w:rPr>
          <w:szCs w:val="20"/>
          <w:lang w:val="en-GB"/>
        </w:rPr>
        <w:t>you</w:t>
      </w:r>
      <w:r w:rsidRPr="00471547">
        <w:rPr>
          <w:szCs w:val="20"/>
          <w:lang w:val="en-GB"/>
        </w:rPr>
        <w:t xml:space="preserve"> may consider </w:t>
      </w:r>
      <w:r>
        <w:rPr>
          <w:szCs w:val="20"/>
          <w:lang w:val="en-GB"/>
        </w:rPr>
        <w:t>in</w:t>
      </w:r>
      <w:r w:rsidRPr="00471547">
        <w:rPr>
          <w:szCs w:val="20"/>
          <w:lang w:val="en-GB"/>
        </w:rPr>
        <w:t xml:space="preserve"> optimiz</w:t>
      </w:r>
      <w:r>
        <w:rPr>
          <w:szCs w:val="20"/>
          <w:lang w:val="en-GB"/>
        </w:rPr>
        <w:t>ing</w:t>
      </w:r>
      <w:r w:rsidRPr="00471547">
        <w:rPr>
          <w:szCs w:val="20"/>
          <w:lang w:val="en-GB"/>
        </w:rPr>
        <w:t xml:space="preserve"> available and aligned regulatory resources:</w:t>
      </w:r>
    </w:p>
    <w:p w14:paraId="6E2093EB" w14:textId="77777777" w:rsidR="001B20D5" w:rsidRPr="00751B9E" w:rsidRDefault="001B20D5" w:rsidP="00783DFA">
      <w:pPr>
        <w:pStyle w:val="NormalNumbered"/>
        <w:numPr>
          <w:ilvl w:val="0"/>
          <w:numId w:val="35"/>
        </w:numPr>
        <w:ind w:left="288" w:hanging="288"/>
        <w:jc w:val="both"/>
        <w:rPr>
          <w:szCs w:val="20"/>
          <w:lang w:val="en-GB"/>
        </w:rPr>
      </w:pPr>
      <w:r w:rsidRPr="00751B9E">
        <w:rPr>
          <w:szCs w:val="20"/>
          <w:lang w:val="en-GB"/>
        </w:rPr>
        <w:t xml:space="preserve">For </w:t>
      </w:r>
      <w:r w:rsidRPr="00783DFA">
        <w:rPr>
          <w:szCs w:val="20"/>
        </w:rPr>
        <w:t>regulatory</w:t>
      </w:r>
      <w:r w:rsidRPr="00751B9E">
        <w:rPr>
          <w:szCs w:val="20"/>
          <w:lang w:val="en-GB"/>
        </w:rPr>
        <w:t xml:space="preserve"> submission-related processes, the criteria used to place the device on the market</w:t>
      </w:r>
    </w:p>
    <w:p w14:paraId="72D79F78" w14:textId="77777777" w:rsidR="001B20D5" w:rsidRPr="00751B9E" w:rsidRDefault="001B20D5" w:rsidP="001B20D5">
      <w:pPr>
        <w:pStyle w:val="ListParagraph"/>
        <w:keepLines w:val="0"/>
        <w:numPr>
          <w:ilvl w:val="1"/>
          <w:numId w:val="16"/>
        </w:numPr>
        <w:spacing w:before="0" w:after="160" w:line="278" w:lineRule="auto"/>
        <w:contextualSpacing/>
        <w:jc w:val="both"/>
        <w:rPr>
          <w:szCs w:val="20"/>
          <w:lang w:val="en-GB"/>
        </w:rPr>
      </w:pPr>
      <w:r w:rsidRPr="00751B9E">
        <w:rPr>
          <w:szCs w:val="20"/>
          <w:lang w:val="en-GB"/>
        </w:rPr>
        <w:t>IMDRF Good Regulatory Review Practices Working Group (GRRP WG) documents</w:t>
      </w:r>
    </w:p>
    <w:p w14:paraId="550DBD99" w14:textId="77777777" w:rsidR="001B20D5" w:rsidRPr="00751B9E" w:rsidRDefault="001B20D5" w:rsidP="001B20D5">
      <w:pPr>
        <w:pStyle w:val="ListParagraph"/>
        <w:keepLines w:val="0"/>
        <w:numPr>
          <w:ilvl w:val="1"/>
          <w:numId w:val="16"/>
        </w:numPr>
        <w:spacing w:before="0" w:after="160" w:line="278" w:lineRule="auto"/>
        <w:contextualSpacing/>
        <w:jc w:val="both"/>
        <w:rPr>
          <w:szCs w:val="20"/>
          <w:lang w:val="en-GB"/>
        </w:rPr>
      </w:pPr>
      <w:r w:rsidRPr="00751B9E">
        <w:rPr>
          <w:szCs w:val="20"/>
          <w:lang w:val="en-GB"/>
        </w:rPr>
        <w:t>IMDRF Regulated Product Submission Working Group (RPS WG) documents</w:t>
      </w:r>
    </w:p>
    <w:p w14:paraId="0B2F6BEE" w14:textId="77777777" w:rsidR="001B20D5" w:rsidRDefault="001B20D5" w:rsidP="001B20D5">
      <w:pPr>
        <w:pStyle w:val="ListParagraph"/>
        <w:keepLines w:val="0"/>
        <w:numPr>
          <w:ilvl w:val="1"/>
          <w:numId w:val="16"/>
        </w:numPr>
        <w:spacing w:before="0" w:after="160" w:line="278" w:lineRule="auto"/>
        <w:contextualSpacing/>
        <w:jc w:val="both"/>
        <w:rPr>
          <w:szCs w:val="20"/>
          <w:lang w:val="en-GB"/>
        </w:rPr>
      </w:pPr>
      <w:r w:rsidRPr="00751B9E">
        <w:rPr>
          <w:szCs w:val="20"/>
          <w:lang w:val="en-GB"/>
        </w:rPr>
        <w:t>Consensus standards for medical devices that facilitate the use of a common set of safety and performance evaluation criteria</w:t>
      </w:r>
    </w:p>
    <w:p w14:paraId="4857C02B" w14:textId="77777777" w:rsidR="00CB6F07" w:rsidRPr="00751B9E" w:rsidRDefault="00CB6F07" w:rsidP="00422B80">
      <w:pPr>
        <w:pStyle w:val="ListParagraph"/>
        <w:keepLines w:val="0"/>
        <w:spacing w:before="0" w:after="0" w:line="278" w:lineRule="auto"/>
        <w:ind w:left="644"/>
        <w:contextualSpacing/>
        <w:jc w:val="both"/>
        <w:rPr>
          <w:szCs w:val="20"/>
          <w:lang w:val="en-GB"/>
        </w:rPr>
      </w:pPr>
    </w:p>
    <w:p w14:paraId="354C38AB" w14:textId="77777777" w:rsidR="001B20D5" w:rsidRPr="00751B9E" w:rsidRDefault="001B20D5" w:rsidP="00783DFA">
      <w:pPr>
        <w:pStyle w:val="NormalNumbered"/>
        <w:numPr>
          <w:ilvl w:val="0"/>
          <w:numId w:val="35"/>
        </w:numPr>
        <w:ind w:left="288" w:hanging="288"/>
        <w:jc w:val="both"/>
        <w:rPr>
          <w:szCs w:val="20"/>
          <w:lang w:val="en-GB"/>
        </w:rPr>
      </w:pPr>
      <w:r w:rsidRPr="00751B9E">
        <w:rPr>
          <w:szCs w:val="20"/>
          <w:lang w:val="en-GB"/>
        </w:rPr>
        <w:t xml:space="preserve">For </w:t>
      </w:r>
      <w:r w:rsidRPr="00783DFA">
        <w:rPr>
          <w:szCs w:val="20"/>
        </w:rPr>
        <w:t>medical</w:t>
      </w:r>
      <w:r w:rsidRPr="00751B9E">
        <w:rPr>
          <w:szCs w:val="20"/>
          <w:lang w:val="en-GB"/>
        </w:rPr>
        <w:t xml:space="preserve"> device quality management systems (QMS), the QMS requirements the manufacturer needs to meet and the audit process</w:t>
      </w:r>
    </w:p>
    <w:p w14:paraId="4826BC3B" w14:textId="77777777" w:rsidR="001B20D5" w:rsidRPr="00AE0761" w:rsidRDefault="001B20D5" w:rsidP="001B20D5">
      <w:pPr>
        <w:pStyle w:val="ListParagraph"/>
        <w:keepLines w:val="0"/>
        <w:numPr>
          <w:ilvl w:val="1"/>
          <w:numId w:val="16"/>
        </w:numPr>
        <w:spacing w:before="0" w:after="160" w:line="278" w:lineRule="auto"/>
        <w:contextualSpacing/>
        <w:jc w:val="both"/>
        <w:rPr>
          <w:i/>
          <w:iCs/>
          <w:szCs w:val="20"/>
          <w:lang w:val="en-GB"/>
        </w:rPr>
      </w:pPr>
      <w:r w:rsidRPr="00751B9E">
        <w:rPr>
          <w:szCs w:val="20"/>
          <w:lang w:val="en-GB"/>
        </w:rPr>
        <w:t xml:space="preserve">ISO 13485 Medical devices – </w:t>
      </w:r>
      <w:r w:rsidRPr="00AE0761">
        <w:rPr>
          <w:i/>
          <w:iCs/>
          <w:szCs w:val="20"/>
          <w:lang w:val="en-GB"/>
        </w:rPr>
        <w:t>Quality management systems – Requirements for regulatory purposes</w:t>
      </w:r>
    </w:p>
    <w:p w14:paraId="1110018C" w14:textId="7A25E2C8" w:rsidR="00243C79" w:rsidRDefault="001B20D5" w:rsidP="00422B80">
      <w:pPr>
        <w:pStyle w:val="ListParagraph"/>
        <w:keepLines w:val="0"/>
        <w:numPr>
          <w:ilvl w:val="1"/>
          <w:numId w:val="16"/>
        </w:numPr>
        <w:spacing w:before="0" w:after="0" w:line="278" w:lineRule="auto"/>
        <w:contextualSpacing/>
        <w:jc w:val="both"/>
        <w:rPr>
          <w:szCs w:val="20"/>
          <w:lang w:val="en-GB"/>
        </w:rPr>
      </w:pPr>
      <w:r w:rsidRPr="00751B9E">
        <w:rPr>
          <w:szCs w:val="20"/>
          <w:lang w:val="en-GB"/>
        </w:rPr>
        <w:t xml:space="preserve">Regulatory participation in MDSAP, as mentioned in </w:t>
      </w:r>
      <w:hyperlink w:anchor="_Work-sharing_1" w:history="1">
        <w:r w:rsidRPr="0036701C">
          <w:rPr>
            <w:rStyle w:val="Hyperlink"/>
            <w:szCs w:val="20"/>
            <w:lang w:val="en-GB"/>
          </w:rPr>
          <w:t xml:space="preserve">Section </w:t>
        </w:r>
        <w:r w:rsidR="00FE2C5D" w:rsidRPr="0036701C">
          <w:rPr>
            <w:rStyle w:val="Hyperlink"/>
            <w:szCs w:val="20"/>
            <w:lang w:val="en-GB"/>
          </w:rPr>
          <w:t>4</w:t>
        </w:r>
        <w:r w:rsidR="002000B3" w:rsidRPr="0036701C">
          <w:rPr>
            <w:rStyle w:val="Hyperlink"/>
          </w:rPr>
          <w:t>.2</w:t>
        </w:r>
      </w:hyperlink>
      <w:r w:rsidRPr="00751B9E">
        <w:rPr>
          <w:szCs w:val="20"/>
          <w:lang w:val="en-GB"/>
        </w:rPr>
        <w:t xml:space="preserve"> as an example of work-sharing</w:t>
      </w:r>
    </w:p>
    <w:p w14:paraId="37DDF0CC" w14:textId="3D68B94B" w:rsidR="001B20D5" w:rsidRPr="00243C79" w:rsidRDefault="001B20D5" w:rsidP="00783DFA">
      <w:pPr>
        <w:keepLines w:val="0"/>
        <w:spacing w:before="0" w:after="0" w:line="240" w:lineRule="auto"/>
        <w:rPr>
          <w:szCs w:val="20"/>
          <w:lang w:val="en-GB"/>
        </w:rPr>
      </w:pPr>
    </w:p>
    <w:p w14:paraId="2E1810BB" w14:textId="77777777" w:rsidR="001B20D5" w:rsidRPr="00751B9E" w:rsidRDefault="001B20D5" w:rsidP="00783DFA">
      <w:pPr>
        <w:pStyle w:val="NormalNumbered"/>
        <w:numPr>
          <w:ilvl w:val="0"/>
          <w:numId w:val="35"/>
        </w:numPr>
        <w:ind w:left="288" w:hanging="288"/>
        <w:jc w:val="both"/>
        <w:rPr>
          <w:szCs w:val="20"/>
          <w:lang w:val="en-GB"/>
        </w:rPr>
      </w:pPr>
      <w:r w:rsidRPr="00751B9E">
        <w:rPr>
          <w:szCs w:val="20"/>
          <w:lang w:val="en-GB"/>
        </w:rPr>
        <w:t xml:space="preserve">For post-market surveillance of adverse events, </w:t>
      </w:r>
      <w:r w:rsidRPr="00783DFA">
        <w:rPr>
          <w:szCs w:val="20"/>
        </w:rPr>
        <w:t>the</w:t>
      </w:r>
      <w:r w:rsidRPr="00751B9E">
        <w:rPr>
          <w:szCs w:val="20"/>
          <w:lang w:val="en-GB"/>
        </w:rPr>
        <w:t xml:space="preserve"> classification and definition of adverse events and the reporting requirements</w:t>
      </w:r>
    </w:p>
    <w:p w14:paraId="6C46AA9A" w14:textId="3EBAB09F" w:rsidR="001B20D5" w:rsidRPr="00751B9E" w:rsidRDefault="001B20D5" w:rsidP="001B20D5">
      <w:pPr>
        <w:pStyle w:val="ListParagraph"/>
        <w:keepLines w:val="0"/>
        <w:numPr>
          <w:ilvl w:val="1"/>
          <w:numId w:val="16"/>
        </w:numPr>
        <w:spacing w:before="0" w:after="160" w:line="278" w:lineRule="auto"/>
        <w:contextualSpacing/>
        <w:jc w:val="both"/>
        <w:rPr>
          <w:szCs w:val="20"/>
          <w:lang w:val="en-GB"/>
        </w:rPr>
      </w:pPr>
      <w:r w:rsidRPr="00751B9E">
        <w:rPr>
          <w:szCs w:val="20"/>
          <w:lang w:val="en-GB"/>
        </w:rPr>
        <w:t>IMDRF Adverse Event Terminology Working Group (AE</w:t>
      </w:r>
      <w:r w:rsidR="00773B58">
        <w:rPr>
          <w:szCs w:val="20"/>
          <w:lang w:val="en-GB"/>
        </w:rPr>
        <w:t>T</w:t>
      </w:r>
      <w:r w:rsidRPr="00751B9E">
        <w:rPr>
          <w:szCs w:val="20"/>
          <w:lang w:val="en-GB"/>
        </w:rPr>
        <w:t xml:space="preserve"> WG) documents</w:t>
      </w:r>
    </w:p>
    <w:p w14:paraId="6F016375" w14:textId="77777777" w:rsidR="00C97484" w:rsidRPr="00783DFA" w:rsidRDefault="001B20D5" w:rsidP="001B20D5">
      <w:pPr>
        <w:pStyle w:val="ListParagraph"/>
        <w:keepLines w:val="0"/>
        <w:numPr>
          <w:ilvl w:val="1"/>
          <w:numId w:val="16"/>
        </w:numPr>
        <w:spacing w:before="0" w:after="160" w:line="278" w:lineRule="auto"/>
        <w:contextualSpacing/>
        <w:jc w:val="both"/>
        <w:rPr>
          <w:szCs w:val="20"/>
          <w:lang w:val="en-GB"/>
        </w:rPr>
      </w:pPr>
      <w:r w:rsidRPr="00751B9E">
        <w:rPr>
          <w:szCs w:val="20"/>
          <w:lang w:val="en-GB"/>
        </w:rPr>
        <w:t>GHTF/SG2/N54R8</w:t>
      </w:r>
      <w:r w:rsidR="00AE0761">
        <w:rPr>
          <w:szCs w:val="20"/>
          <w:lang w:val="en-GB"/>
        </w:rPr>
        <w:t xml:space="preserve"> -</w:t>
      </w:r>
      <w:r w:rsidRPr="00751B9E">
        <w:rPr>
          <w:szCs w:val="20"/>
          <w:lang w:val="en-GB"/>
        </w:rPr>
        <w:t xml:space="preserve"> </w:t>
      </w:r>
      <w:r w:rsidRPr="00AE0761">
        <w:rPr>
          <w:i/>
          <w:iCs/>
          <w:szCs w:val="20"/>
          <w:lang w:val="en-GB"/>
        </w:rPr>
        <w:t>Medical Devices Post Market Surveillance: Global Guidance for Adverse Event Reporting for Medical Devices</w:t>
      </w:r>
    </w:p>
    <w:p w14:paraId="6E0BB986" w14:textId="14968F3A" w:rsidR="001B20D5" w:rsidRPr="00751B9E" w:rsidRDefault="001B20D5" w:rsidP="00783DFA">
      <w:pPr>
        <w:pStyle w:val="ListParagraph"/>
        <w:keepLines w:val="0"/>
        <w:spacing w:before="0" w:after="160" w:line="278" w:lineRule="auto"/>
        <w:ind w:left="644"/>
        <w:contextualSpacing/>
        <w:jc w:val="both"/>
        <w:rPr>
          <w:szCs w:val="20"/>
          <w:lang w:val="en-GB"/>
        </w:rPr>
      </w:pPr>
      <w:r w:rsidRPr="00751B9E">
        <w:rPr>
          <w:szCs w:val="20"/>
          <w:lang w:val="en-GB"/>
        </w:rPr>
        <w:t xml:space="preserve"> </w:t>
      </w:r>
    </w:p>
    <w:p w14:paraId="71849C6B" w14:textId="191C38BC" w:rsidR="001B20D5" w:rsidRDefault="001B20D5" w:rsidP="00783DFA">
      <w:pPr>
        <w:pStyle w:val="NormalNumbered"/>
        <w:numPr>
          <w:ilvl w:val="0"/>
          <w:numId w:val="35"/>
        </w:numPr>
        <w:ind w:left="288" w:hanging="288"/>
        <w:jc w:val="both"/>
        <w:rPr>
          <w:szCs w:val="20"/>
          <w:lang w:val="en-GB"/>
        </w:rPr>
      </w:pPr>
      <w:r w:rsidRPr="00751B9E">
        <w:rPr>
          <w:szCs w:val="20"/>
          <w:lang w:val="en-GB"/>
        </w:rPr>
        <w:t xml:space="preserve">For </w:t>
      </w:r>
      <w:r w:rsidRPr="00783DFA">
        <w:rPr>
          <w:szCs w:val="20"/>
        </w:rPr>
        <w:t>recalls</w:t>
      </w:r>
      <w:r w:rsidRPr="00751B9E">
        <w:rPr>
          <w:szCs w:val="20"/>
          <w:lang w:val="en-GB"/>
        </w:rPr>
        <w:t xml:space="preserve"> and other enforcement activities, the classifications and consequences for these actions</w:t>
      </w:r>
    </w:p>
    <w:p w14:paraId="20892C36" w14:textId="77777777" w:rsidR="00243C79" w:rsidRPr="00513E20" w:rsidRDefault="00243C79" w:rsidP="00422B80">
      <w:pPr>
        <w:pStyle w:val="ListParagraph"/>
        <w:keepLines w:val="0"/>
        <w:spacing w:before="0" w:after="0" w:line="278" w:lineRule="auto"/>
        <w:ind w:left="360"/>
        <w:contextualSpacing/>
        <w:jc w:val="both"/>
        <w:rPr>
          <w:szCs w:val="20"/>
          <w:lang w:val="en-GB"/>
        </w:rPr>
      </w:pPr>
    </w:p>
    <w:tbl>
      <w:tblPr>
        <w:tblStyle w:val="TableGrid"/>
        <w:tblW w:w="0" w:type="auto"/>
        <w:tblLook w:val="04A0" w:firstRow="1" w:lastRow="0" w:firstColumn="1" w:lastColumn="0" w:noHBand="0" w:noVBand="1"/>
      </w:tblPr>
      <w:tblGrid>
        <w:gridCol w:w="7598"/>
      </w:tblGrid>
      <w:tr w:rsidR="001B20D5" w14:paraId="3078C8DC" w14:textId="77777777" w:rsidTr="00783DFA">
        <w:trPr>
          <w:trHeight w:val="2604"/>
        </w:trPr>
        <w:tc>
          <w:tcPr>
            <w:tcW w:w="7598" w:type="dxa"/>
          </w:tcPr>
          <w:p w14:paraId="0771B6A7" w14:textId="7230B1A2" w:rsidR="001B20D5" w:rsidRDefault="001B20D5" w:rsidP="00A8237A">
            <w:pPr>
              <w:jc w:val="both"/>
              <w:rPr>
                <w:szCs w:val="20"/>
                <w:lang w:val="en-GB"/>
              </w:rPr>
            </w:pPr>
            <w:r w:rsidRPr="00751B9E">
              <w:rPr>
                <w:b/>
                <w:bCs/>
                <w:szCs w:val="20"/>
                <w:lang w:val="en-GB"/>
              </w:rPr>
              <w:t>Example:</w:t>
            </w:r>
            <w:r w:rsidRPr="00751B9E">
              <w:rPr>
                <w:szCs w:val="20"/>
                <w:lang w:val="en-GB"/>
              </w:rPr>
              <w:t xml:space="preserve"> Regulator A and Regulator B develop a reliance program using a work-sharing model. Based on the assessment of each </w:t>
            </w:r>
            <w:r w:rsidR="008475A7">
              <w:rPr>
                <w:szCs w:val="20"/>
                <w:lang w:val="en-GB"/>
              </w:rPr>
              <w:t>RA</w:t>
            </w:r>
            <w:r w:rsidRPr="00751B9E">
              <w:rPr>
                <w:szCs w:val="20"/>
                <w:lang w:val="en-GB"/>
              </w:rPr>
              <w:t xml:space="preserve">’s regulatory system, they conclude that the scientific evidence needed to support pre-market regulatory decisions in each regulatory jurisdiction is consistent with the expectations described in IMDRF/GRRP WG/N47 </w:t>
            </w:r>
            <w:r w:rsidR="000A79F0">
              <w:rPr>
                <w:szCs w:val="20"/>
                <w:lang w:val="en-GB"/>
              </w:rPr>
              <w:t xml:space="preserve">- </w:t>
            </w:r>
            <w:r w:rsidRPr="000A79F0">
              <w:rPr>
                <w:i/>
                <w:iCs/>
                <w:szCs w:val="20"/>
                <w:lang w:val="en-GB"/>
              </w:rPr>
              <w:t>Essential Principles of Safety and Performance of Medical Devices and IVD Medical Devices</w:t>
            </w:r>
            <w:r w:rsidRPr="00751B9E">
              <w:rPr>
                <w:szCs w:val="20"/>
                <w:lang w:val="en-GB"/>
              </w:rPr>
              <w:t xml:space="preserve"> and IMDRF/GRRP WG/N52</w:t>
            </w:r>
            <w:r w:rsidR="00AE0761">
              <w:rPr>
                <w:szCs w:val="20"/>
                <w:lang w:val="en-GB"/>
              </w:rPr>
              <w:t xml:space="preserve"> - </w:t>
            </w:r>
            <w:r w:rsidR="000A79F0">
              <w:rPr>
                <w:szCs w:val="20"/>
                <w:lang w:val="en-GB"/>
              </w:rPr>
              <w:t xml:space="preserve"> </w:t>
            </w:r>
            <w:r w:rsidRPr="00751B9E">
              <w:rPr>
                <w:szCs w:val="20"/>
                <w:lang w:val="en-GB"/>
              </w:rPr>
              <w:t xml:space="preserve"> </w:t>
            </w:r>
            <w:r w:rsidRPr="00AE0761">
              <w:rPr>
                <w:i/>
                <w:iCs/>
                <w:szCs w:val="20"/>
                <w:lang w:val="en-GB"/>
              </w:rPr>
              <w:t>Principles of Labeling for Medical Devices and IVD Medical Devices</w:t>
            </w:r>
            <w:r w:rsidRPr="00751B9E">
              <w:rPr>
                <w:szCs w:val="20"/>
                <w:lang w:val="en-GB"/>
              </w:rPr>
              <w:t xml:space="preserve">. Therefore, they decide that the eligibility criteria for this program should include the requirement that the manufacturer demonstrate that the relevant Essential Principles </w:t>
            </w:r>
            <w:r w:rsidR="00773B58">
              <w:rPr>
                <w:szCs w:val="20"/>
                <w:lang w:val="en-GB"/>
              </w:rPr>
              <w:t>in</w:t>
            </w:r>
            <w:r w:rsidRPr="00751B9E">
              <w:rPr>
                <w:szCs w:val="20"/>
                <w:lang w:val="en-GB"/>
              </w:rPr>
              <w:t xml:space="preserve"> the IMDRF documents have been met for the candidate medical device.</w:t>
            </w:r>
          </w:p>
        </w:tc>
      </w:tr>
    </w:tbl>
    <w:p w14:paraId="24BE6F7F" w14:textId="77777777" w:rsidR="001B20D5" w:rsidRPr="00751B9E" w:rsidRDefault="001B20D5" w:rsidP="00422B80">
      <w:pPr>
        <w:spacing w:after="0"/>
        <w:jc w:val="both"/>
        <w:rPr>
          <w:szCs w:val="20"/>
          <w:lang w:val="en-GB"/>
        </w:rPr>
      </w:pPr>
      <w:r w:rsidRPr="00751B9E">
        <w:rPr>
          <w:szCs w:val="20"/>
          <w:lang w:val="en-GB"/>
        </w:rPr>
        <w:t xml:space="preserve">  </w:t>
      </w:r>
    </w:p>
    <w:p w14:paraId="38C8313B" w14:textId="77777777" w:rsidR="001B20D5" w:rsidRDefault="001B20D5" w:rsidP="001B20D5">
      <w:pPr>
        <w:jc w:val="both"/>
        <w:rPr>
          <w:b/>
          <w:bCs/>
          <w:i/>
          <w:iCs/>
          <w:szCs w:val="20"/>
          <w:lang w:val="en-GB"/>
        </w:rPr>
      </w:pPr>
      <w:r w:rsidRPr="00471547">
        <w:rPr>
          <w:szCs w:val="20"/>
          <w:lang w:val="en-GB"/>
        </w:rPr>
        <w:t xml:space="preserve">The approaches discussed in IMDRF/Standards WG/N51 - </w:t>
      </w:r>
      <w:r w:rsidRPr="00471547">
        <w:rPr>
          <w:i/>
          <w:iCs/>
          <w:szCs w:val="20"/>
          <w:lang w:val="en-GB"/>
        </w:rPr>
        <w:t>Optimizing Standards for Regulatory Use</w:t>
      </w:r>
      <w:r w:rsidRPr="00471547">
        <w:rPr>
          <w:szCs w:val="20"/>
          <w:lang w:val="en-GB"/>
        </w:rPr>
        <w:t xml:space="preserve"> may be helpful in adopting a reliance program that leverages consensus standards, as well as developing new standards that would be most suitable for such a program.</w:t>
      </w:r>
    </w:p>
    <w:p w14:paraId="036C66B5" w14:textId="59705030" w:rsidR="00532308" w:rsidRDefault="007B378B" w:rsidP="00422B80">
      <w:pPr>
        <w:spacing w:after="0"/>
        <w:jc w:val="both"/>
        <w:rPr>
          <w:szCs w:val="20"/>
          <w:lang w:val="en-GB"/>
        </w:rPr>
      </w:pPr>
      <w:r w:rsidRPr="00471547">
        <w:rPr>
          <w:szCs w:val="20"/>
          <w:lang w:val="en-GB"/>
        </w:rPr>
        <w:t xml:space="preserve">In addition, </w:t>
      </w:r>
      <w:r>
        <w:rPr>
          <w:szCs w:val="20"/>
          <w:lang w:val="en-GB"/>
        </w:rPr>
        <w:t>you</w:t>
      </w:r>
      <w:r w:rsidRPr="00471547">
        <w:rPr>
          <w:szCs w:val="20"/>
          <w:lang w:val="en-GB"/>
        </w:rPr>
        <w:t xml:space="preserve"> may wish to actively contribute to the development of resources like those listed above. This would allow </w:t>
      </w:r>
      <w:r>
        <w:rPr>
          <w:szCs w:val="20"/>
          <w:lang w:val="en-GB"/>
        </w:rPr>
        <w:t>you</w:t>
      </w:r>
      <w:r w:rsidRPr="00471547">
        <w:rPr>
          <w:szCs w:val="20"/>
          <w:lang w:val="en-GB"/>
        </w:rPr>
        <w:t xml:space="preserve"> to apply experience gained from implementing </w:t>
      </w:r>
      <w:r>
        <w:rPr>
          <w:szCs w:val="20"/>
          <w:lang w:val="en-GB"/>
        </w:rPr>
        <w:t>your</w:t>
      </w:r>
      <w:r w:rsidRPr="00471547">
        <w:rPr>
          <w:szCs w:val="20"/>
          <w:lang w:val="en-GB"/>
        </w:rPr>
        <w:t xml:space="preserve"> reliance programs and develop work products that could assist </w:t>
      </w:r>
      <w:r>
        <w:rPr>
          <w:szCs w:val="20"/>
          <w:lang w:val="en-GB"/>
        </w:rPr>
        <w:t>your</w:t>
      </w:r>
      <w:r w:rsidRPr="00471547">
        <w:rPr>
          <w:szCs w:val="20"/>
          <w:lang w:val="en-GB"/>
        </w:rPr>
        <w:t xml:space="preserve"> ongoing reliance work.</w:t>
      </w:r>
    </w:p>
    <w:p w14:paraId="4B1BDB39" w14:textId="77777777" w:rsidR="00243C79" w:rsidRPr="007B378B" w:rsidRDefault="00243C79" w:rsidP="00422B80">
      <w:pPr>
        <w:spacing w:before="0" w:after="0"/>
        <w:jc w:val="both"/>
        <w:rPr>
          <w:szCs w:val="20"/>
          <w:lang w:val="en-GB"/>
        </w:rPr>
      </w:pPr>
    </w:p>
    <w:p w14:paraId="34D61442" w14:textId="4B95F6B6" w:rsidR="00532308" w:rsidRDefault="00532308" w:rsidP="00532308">
      <w:pPr>
        <w:pStyle w:val="Heading2"/>
      </w:pPr>
      <w:bookmarkStart w:id="104" w:name="_Formalize_any_necessary"/>
      <w:bookmarkStart w:id="105" w:name="_Toc213265647"/>
      <w:bookmarkEnd w:id="104"/>
      <w:r>
        <w:t>Formalize any necessary agreements</w:t>
      </w:r>
      <w:bookmarkEnd w:id="105"/>
    </w:p>
    <w:p w14:paraId="615D7029" w14:textId="6294F3A4" w:rsidR="003A37AC" w:rsidRDefault="00513E20" w:rsidP="00422B80">
      <w:pPr>
        <w:spacing w:after="0"/>
        <w:jc w:val="both"/>
        <w:rPr>
          <w:szCs w:val="20"/>
        </w:rPr>
      </w:pPr>
      <w:r w:rsidRPr="00883921">
        <w:rPr>
          <w:szCs w:val="20"/>
        </w:rPr>
        <w:t xml:space="preserve">As part of identifying your reference </w:t>
      </w:r>
      <w:r>
        <w:rPr>
          <w:szCs w:val="20"/>
        </w:rPr>
        <w:t>RAs</w:t>
      </w:r>
      <w:r w:rsidRPr="00883921">
        <w:rPr>
          <w:szCs w:val="20"/>
        </w:rPr>
        <w:t xml:space="preserve"> and establishing work processes, you may need to create or revise agreements with your </w:t>
      </w:r>
      <w:r w:rsidRPr="0085425C">
        <w:rPr>
          <w:szCs w:val="20"/>
        </w:rPr>
        <w:t xml:space="preserve">reference RAs to implement your reliance program, as discussed in </w:t>
      </w:r>
      <w:hyperlink w:anchor="_Assessing_agreements_between_1" w:history="1">
        <w:r w:rsidRPr="00BB7A4E">
          <w:rPr>
            <w:rStyle w:val="Hyperlink"/>
            <w:szCs w:val="20"/>
          </w:rPr>
          <w:t xml:space="preserve">Section </w:t>
        </w:r>
        <w:r w:rsidR="00FE2C5D" w:rsidRPr="00BB7A4E">
          <w:rPr>
            <w:rStyle w:val="Hyperlink"/>
            <w:szCs w:val="20"/>
          </w:rPr>
          <w:t>5</w:t>
        </w:r>
        <w:r w:rsidRPr="00BB7A4E">
          <w:rPr>
            <w:rStyle w:val="Hyperlink"/>
            <w:szCs w:val="20"/>
          </w:rPr>
          <w:t>.5</w:t>
        </w:r>
      </w:hyperlink>
      <w:r w:rsidRPr="0085425C">
        <w:rPr>
          <w:szCs w:val="20"/>
        </w:rPr>
        <w:t xml:space="preserve">. </w:t>
      </w:r>
    </w:p>
    <w:p w14:paraId="3484CCEE" w14:textId="2F837648" w:rsidR="00513E20" w:rsidRDefault="00513E20" w:rsidP="00422B80">
      <w:pPr>
        <w:spacing w:after="0"/>
        <w:jc w:val="both"/>
        <w:rPr>
          <w:szCs w:val="20"/>
        </w:rPr>
      </w:pPr>
      <w:r w:rsidRPr="0085425C">
        <w:rPr>
          <w:szCs w:val="20"/>
        </w:rPr>
        <w:t>A key consideration in these agreements is how you will handle information-sharing. Keeping in mind that efficiency is one of the main benefits of reliance, you should minimize additional information requirements beyond what has already been submitted to and assessed by the other regulator, where possible. A risk-based</w:t>
      </w:r>
      <w:r w:rsidRPr="00883921">
        <w:rPr>
          <w:szCs w:val="20"/>
        </w:rPr>
        <w:t xml:space="preserve"> approach to additional information requirements and review allows you to appropriate</w:t>
      </w:r>
      <w:r>
        <w:rPr>
          <w:szCs w:val="20"/>
        </w:rPr>
        <w:t>ly set</w:t>
      </w:r>
      <w:r w:rsidRPr="00883921">
        <w:rPr>
          <w:szCs w:val="20"/>
        </w:rPr>
        <w:t xml:space="preserve"> regulatory requirements under </w:t>
      </w:r>
      <w:r>
        <w:rPr>
          <w:szCs w:val="20"/>
        </w:rPr>
        <w:t>a</w:t>
      </w:r>
      <w:r w:rsidRPr="00883921">
        <w:rPr>
          <w:szCs w:val="20"/>
        </w:rPr>
        <w:t xml:space="preserve"> reliance program and maximi</w:t>
      </w:r>
      <w:r>
        <w:rPr>
          <w:szCs w:val="20"/>
        </w:rPr>
        <w:t>z</w:t>
      </w:r>
      <w:r w:rsidRPr="00883921">
        <w:rPr>
          <w:szCs w:val="20"/>
        </w:rPr>
        <w:t>e its benefits.</w:t>
      </w:r>
    </w:p>
    <w:p w14:paraId="65B68FAA" w14:textId="77777777" w:rsidR="00513E20" w:rsidRDefault="00513E20" w:rsidP="00513E20">
      <w:pPr>
        <w:jc w:val="both"/>
        <w:rPr>
          <w:b/>
          <w:bCs/>
          <w:szCs w:val="20"/>
          <w:highlight w:val="green"/>
        </w:rPr>
      </w:pPr>
    </w:p>
    <w:tbl>
      <w:tblPr>
        <w:tblStyle w:val="TableGrid"/>
        <w:tblW w:w="0" w:type="auto"/>
        <w:tblLook w:val="04A0" w:firstRow="1" w:lastRow="0" w:firstColumn="1" w:lastColumn="0" w:noHBand="0" w:noVBand="1"/>
      </w:tblPr>
      <w:tblGrid>
        <w:gridCol w:w="7586"/>
      </w:tblGrid>
      <w:tr w:rsidR="00513E20" w14:paraId="7FF46E9A" w14:textId="77777777" w:rsidTr="00A40DDE">
        <w:trPr>
          <w:trHeight w:val="3534"/>
        </w:trPr>
        <w:tc>
          <w:tcPr>
            <w:tcW w:w="7586" w:type="dxa"/>
          </w:tcPr>
          <w:p w14:paraId="27B2585B" w14:textId="4F398D79" w:rsidR="00513E20" w:rsidRPr="00B56DF7" w:rsidRDefault="00513E20" w:rsidP="00A8237A">
            <w:pPr>
              <w:jc w:val="both"/>
              <w:rPr>
                <w:szCs w:val="20"/>
              </w:rPr>
            </w:pPr>
            <w:r w:rsidRPr="00B56DF7">
              <w:rPr>
                <w:b/>
                <w:bCs/>
                <w:szCs w:val="20"/>
              </w:rPr>
              <w:t>Example:</w:t>
            </w:r>
            <w:r w:rsidRPr="00B56DF7">
              <w:rPr>
                <w:szCs w:val="20"/>
              </w:rPr>
              <w:t xml:space="preserve"> Regulator A would like to recognize the regulatory decisions of Regulator B and is considering whether an information-sharing agreement is needed. Regulator A conducted an analysis of Regulator B’s regulatory controls and determined that they are sufficiently similar to those of Regulator A with the exception of post-market reporting requirements. While both Regulator A and Regulator B require manufacturers to establish a quality system, Regulator A requires manufacturers to report specific trend data on an annual basis and Regulator B only requires submission of trend data </w:t>
            </w:r>
            <w:r w:rsidR="00F032C8">
              <w:rPr>
                <w:szCs w:val="20"/>
              </w:rPr>
              <w:t>if</w:t>
            </w:r>
            <w:r w:rsidR="00F032C8" w:rsidRPr="00B56DF7">
              <w:rPr>
                <w:szCs w:val="20"/>
              </w:rPr>
              <w:t xml:space="preserve"> </w:t>
            </w:r>
            <w:r w:rsidRPr="00B56DF7">
              <w:rPr>
                <w:szCs w:val="20"/>
              </w:rPr>
              <w:t xml:space="preserve">an issue </w:t>
            </w:r>
            <w:r w:rsidR="00F032C8">
              <w:rPr>
                <w:szCs w:val="20"/>
              </w:rPr>
              <w:t>is</w:t>
            </w:r>
            <w:r w:rsidRPr="00B56DF7">
              <w:rPr>
                <w:szCs w:val="20"/>
              </w:rPr>
              <w:t xml:space="preserve"> identified. Based on the similarities between the two regulatory systems, Regulator A decides that it will recognize decisions of Regulator B with the condition that manufacturers must submit proof of marketing registration/placement by Regulator B and also annual trend data in order to meet the requirement of Regulator A that is not part of Regulator B’s requirements. As a result, Regulator A determines that an information-sharing agreement with Regulator B is not needed in order to implement this reliance program. </w:t>
            </w:r>
          </w:p>
        </w:tc>
      </w:tr>
    </w:tbl>
    <w:p w14:paraId="5F43F817" w14:textId="77777777" w:rsidR="00513E20" w:rsidRPr="00B56DF7" w:rsidRDefault="00513E20" w:rsidP="00513E20">
      <w:pPr>
        <w:jc w:val="both"/>
        <w:rPr>
          <w:b/>
          <w:bCs/>
          <w:szCs w:val="20"/>
        </w:rPr>
      </w:pPr>
    </w:p>
    <w:p w14:paraId="4D9164CB" w14:textId="77777777" w:rsidR="00513E20" w:rsidRPr="00883921" w:rsidRDefault="00513E20" w:rsidP="00513E20">
      <w:pPr>
        <w:jc w:val="both"/>
        <w:rPr>
          <w:szCs w:val="20"/>
        </w:rPr>
      </w:pPr>
      <w:r w:rsidRPr="00883921">
        <w:rPr>
          <w:szCs w:val="20"/>
        </w:rPr>
        <w:t>These agreements can also serve as a mechanism for achieving the following goals, if desired:</w:t>
      </w:r>
    </w:p>
    <w:p w14:paraId="5DD4A2CD" w14:textId="1EB97587" w:rsidR="00513E20" w:rsidRPr="00513E20" w:rsidRDefault="00513E20" w:rsidP="00783DFA">
      <w:pPr>
        <w:pStyle w:val="NormalNumbered"/>
        <w:numPr>
          <w:ilvl w:val="0"/>
          <w:numId w:val="35"/>
        </w:numPr>
        <w:ind w:left="288" w:hanging="288"/>
        <w:jc w:val="both"/>
        <w:rPr>
          <w:szCs w:val="20"/>
          <w:lang w:val="en-GB"/>
        </w:rPr>
      </w:pPr>
      <w:r w:rsidRPr="00783DFA">
        <w:rPr>
          <w:szCs w:val="20"/>
        </w:rPr>
        <w:t>Aligning</w:t>
      </w:r>
      <w:r w:rsidRPr="00513E20">
        <w:rPr>
          <w:szCs w:val="20"/>
          <w:lang w:val="en-GB"/>
        </w:rPr>
        <w:t xml:space="preserve"> regulatory approaches, such as by agreeing to the use of common evaluation criteria or definitions as discussed in </w:t>
      </w:r>
      <w:hyperlink w:anchor="_Toc213265645" w:history="1">
        <w:r w:rsidRPr="000800BE">
          <w:rPr>
            <w:rStyle w:val="Hyperlink"/>
            <w:szCs w:val="20"/>
            <w:lang w:val="en-GB"/>
          </w:rPr>
          <w:t xml:space="preserve">Section </w:t>
        </w:r>
        <w:r w:rsidR="007A204E" w:rsidRPr="000800BE">
          <w:rPr>
            <w:rStyle w:val="Hyperlink"/>
            <w:szCs w:val="20"/>
            <w:lang w:val="en-GB"/>
          </w:rPr>
          <w:t>6</w:t>
        </w:r>
        <w:r w:rsidRPr="000800BE">
          <w:rPr>
            <w:rStyle w:val="Hyperlink"/>
            <w:szCs w:val="20"/>
            <w:lang w:val="en-GB"/>
          </w:rPr>
          <w:t>.4</w:t>
        </w:r>
      </w:hyperlink>
    </w:p>
    <w:p w14:paraId="41767142" w14:textId="77777777" w:rsidR="00513E20" w:rsidRPr="00783DFA" w:rsidRDefault="00513E20" w:rsidP="00783DFA">
      <w:pPr>
        <w:pStyle w:val="NormalNumbered"/>
        <w:numPr>
          <w:ilvl w:val="0"/>
          <w:numId w:val="35"/>
        </w:numPr>
        <w:ind w:left="288" w:hanging="288"/>
        <w:jc w:val="both"/>
        <w:rPr>
          <w:szCs w:val="20"/>
        </w:rPr>
      </w:pPr>
      <w:r w:rsidRPr="00783DFA">
        <w:rPr>
          <w:szCs w:val="20"/>
        </w:rPr>
        <w:t xml:space="preserve">Establishing the details of a mutual recognition or work-sharing reliance program </w:t>
      </w:r>
    </w:p>
    <w:p w14:paraId="77E3C232" w14:textId="77777777" w:rsidR="00513E20" w:rsidRPr="00783DFA" w:rsidRDefault="00513E20" w:rsidP="00783DFA">
      <w:pPr>
        <w:pStyle w:val="NormalNumbered"/>
        <w:numPr>
          <w:ilvl w:val="0"/>
          <w:numId w:val="35"/>
        </w:numPr>
        <w:ind w:left="288" w:hanging="288"/>
        <w:jc w:val="both"/>
        <w:rPr>
          <w:szCs w:val="20"/>
        </w:rPr>
      </w:pPr>
      <w:r w:rsidRPr="00783DFA">
        <w:rPr>
          <w:szCs w:val="20"/>
        </w:rPr>
        <w:t>Clarifying how to communicate regarding any changes in either regulatory jurisdiction that could impact the reliance program</w:t>
      </w:r>
    </w:p>
    <w:p w14:paraId="779DF478" w14:textId="77777777" w:rsidR="00513E20" w:rsidRPr="00783DFA" w:rsidRDefault="00513E20" w:rsidP="00783DFA">
      <w:pPr>
        <w:pStyle w:val="NormalNumbered"/>
        <w:numPr>
          <w:ilvl w:val="0"/>
          <w:numId w:val="35"/>
        </w:numPr>
        <w:ind w:left="288" w:hanging="288"/>
        <w:jc w:val="both"/>
        <w:rPr>
          <w:szCs w:val="20"/>
        </w:rPr>
      </w:pPr>
      <w:r w:rsidRPr="00783DFA">
        <w:rPr>
          <w:szCs w:val="20"/>
        </w:rPr>
        <w:t>Facilitating the exchange of information related to post-market regulatory decisions, such as market withdrawals</w:t>
      </w:r>
    </w:p>
    <w:p w14:paraId="01B886A0" w14:textId="77777777" w:rsidR="00513E20" w:rsidRPr="00783DFA" w:rsidRDefault="00513E20" w:rsidP="00783DFA">
      <w:pPr>
        <w:pStyle w:val="NormalNumbered"/>
        <w:numPr>
          <w:ilvl w:val="0"/>
          <w:numId w:val="35"/>
        </w:numPr>
        <w:ind w:left="288" w:hanging="288"/>
        <w:jc w:val="both"/>
        <w:rPr>
          <w:szCs w:val="20"/>
        </w:rPr>
      </w:pPr>
      <w:r w:rsidRPr="00783DFA">
        <w:rPr>
          <w:szCs w:val="20"/>
        </w:rPr>
        <w:t>Creating a method for communicating to the public on reliance-based regulatory decisions</w:t>
      </w:r>
    </w:p>
    <w:p w14:paraId="50861859" w14:textId="036655FC" w:rsidR="006E5E96" w:rsidRPr="006E5E96" w:rsidRDefault="00AA79FE" w:rsidP="00783DFA">
      <w:pPr>
        <w:keepLines w:val="0"/>
        <w:spacing w:before="0" w:after="160" w:line="278" w:lineRule="auto"/>
        <w:contextualSpacing/>
        <w:jc w:val="both"/>
        <w:rPr>
          <w:szCs w:val="20"/>
          <w:lang w:val="en-GB"/>
        </w:rPr>
      </w:pPr>
      <w:r>
        <w:rPr>
          <w:szCs w:val="20"/>
          <w:lang w:val="en-GB"/>
        </w:rPr>
        <w:t xml:space="preserve">It is also important to </w:t>
      </w:r>
      <w:r w:rsidR="00E27C3E">
        <w:rPr>
          <w:szCs w:val="20"/>
          <w:lang w:val="en-GB"/>
        </w:rPr>
        <w:t>recognize</w:t>
      </w:r>
      <w:r>
        <w:rPr>
          <w:szCs w:val="20"/>
          <w:lang w:val="en-GB"/>
        </w:rPr>
        <w:t xml:space="preserve"> that </w:t>
      </w:r>
      <w:r w:rsidR="00B20342">
        <w:rPr>
          <w:szCs w:val="20"/>
          <w:lang w:val="en-GB"/>
        </w:rPr>
        <w:t xml:space="preserve">establishing an </w:t>
      </w:r>
      <w:r w:rsidR="00B8610E">
        <w:rPr>
          <w:szCs w:val="20"/>
          <w:lang w:val="en-GB"/>
        </w:rPr>
        <w:t xml:space="preserve">agreement </w:t>
      </w:r>
      <w:r w:rsidR="00B20342">
        <w:rPr>
          <w:szCs w:val="20"/>
          <w:lang w:val="en-GB"/>
        </w:rPr>
        <w:t xml:space="preserve">may not always be necessary or feasible, as discussed in </w:t>
      </w:r>
      <w:hyperlink w:anchor="_Assessing_agreements_between_1" w:history="1">
        <w:r w:rsidR="00B20342" w:rsidRPr="00B20342">
          <w:rPr>
            <w:rStyle w:val="Hyperlink"/>
            <w:szCs w:val="20"/>
            <w:lang w:val="en-GB"/>
          </w:rPr>
          <w:t>Section 5.5</w:t>
        </w:r>
      </w:hyperlink>
      <w:r w:rsidR="00E27C3E">
        <w:rPr>
          <w:szCs w:val="20"/>
          <w:lang w:val="en-GB"/>
        </w:rPr>
        <w:t>.</w:t>
      </w:r>
    </w:p>
    <w:p w14:paraId="5623646A" w14:textId="77777777" w:rsidR="00466324" w:rsidRDefault="00466324" w:rsidP="00466324">
      <w:pPr>
        <w:pStyle w:val="Heading2"/>
      </w:pPr>
      <w:bookmarkStart w:id="106" w:name="_Continue_stakeholder_engagement"/>
      <w:bookmarkStart w:id="107" w:name="_Toc213265648"/>
      <w:bookmarkEnd w:id="106"/>
      <w:r>
        <w:t>Continue stakeholder engagement</w:t>
      </w:r>
      <w:bookmarkEnd w:id="107"/>
    </w:p>
    <w:p w14:paraId="26D00868" w14:textId="326B142C" w:rsidR="00466324" w:rsidRDefault="00466324" w:rsidP="00466324">
      <w:pPr>
        <w:jc w:val="both"/>
        <w:rPr>
          <w:szCs w:val="20"/>
        </w:rPr>
      </w:pPr>
      <w:r>
        <w:rPr>
          <w:szCs w:val="20"/>
        </w:rPr>
        <w:t>Y</w:t>
      </w:r>
      <w:r w:rsidRPr="00883921">
        <w:rPr>
          <w:szCs w:val="20"/>
        </w:rPr>
        <w:t>ou should have a comprehensive plan for engaging with internal and external stakeholders</w:t>
      </w:r>
      <w:r>
        <w:rPr>
          <w:szCs w:val="20"/>
        </w:rPr>
        <w:t xml:space="preserve"> t</w:t>
      </w:r>
      <w:r w:rsidRPr="00883921">
        <w:rPr>
          <w:szCs w:val="20"/>
        </w:rPr>
        <w:t>hroughout your reliance program's lifecycle</w:t>
      </w:r>
      <w:r>
        <w:rPr>
          <w:szCs w:val="20"/>
        </w:rPr>
        <w:t>, including during</w:t>
      </w:r>
      <w:r w:rsidR="000800BE">
        <w:rPr>
          <w:szCs w:val="20"/>
        </w:rPr>
        <w:t>:</w:t>
      </w:r>
    </w:p>
    <w:p w14:paraId="15DF45B7" w14:textId="77777777" w:rsidR="00466324" w:rsidRPr="00783DFA" w:rsidRDefault="00466324" w:rsidP="00783DFA">
      <w:pPr>
        <w:pStyle w:val="NormalNumbered"/>
        <w:numPr>
          <w:ilvl w:val="0"/>
          <w:numId w:val="35"/>
        </w:numPr>
        <w:ind w:left="288" w:hanging="288"/>
        <w:jc w:val="both"/>
        <w:rPr>
          <w:szCs w:val="20"/>
        </w:rPr>
      </w:pPr>
      <w:r w:rsidRPr="00783DFA">
        <w:rPr>
          <w:szCs w:val="20"/>
        </w:rPr>
        <w:t>development</w:t>
      </w:r>
    </w:p>
    <w:p w14:paraId="31823F58" w14:textId="77777777" w:rsidR="00466324" w:rsidRPr="00783DFA" w:rsidRDefault="00466324" w:rsidP="00783DFA">
      <w:pPr>
        <w:pStyle w:val="NormalNumbered"/>
        <w:numPr>
          <w:ilvl w:val="0"/>
          <w:numId w:val="35"/>
        </w:numPr>
        <w:ind w:left="288" w:hanging="288"/>
        <w:jc w:val="both"/>
        <w:rPr>
          <w:szCs w:val="20"/>
        </w:rPr>
      </w:pPr>
      <w:r w:rsidRPr="00783DFA">
        <w:rPr>
          <w:szCs w:val="20"/>
        </w:rPr>
        <w:t xml:space="preserve">implementation, and </w:t>
      </w:r>
    </w:p>
    <w:p w14:paraId="6CC4DFD8" w14:textId="77777777" w:rsidR="00466324" w:rsidRPr="00783DFA" w:rsidRDefault="00466324" w:rsidP="00783DFA">
      <w:pPr>
        <w:pStyle w:val="NormalNumbered"/>
        <w:numPr>
          <w:ilvl w:val="0"/>
          <w:numId w:val="35"/>
        </w:numPr>
        <w:ind w:left="288" w:hanging="288"/>
        <w:jc w:val="both"/>
        <w:rPr>
          <w:szCs w:val="20"/>
        </w:rPr>
      </w:pPr>
      <w:r w:rsidRPr="00783DFA">
        <w:rPr>
          <w:szCs w:val="20"/>
        </w:rPr>
        <w:t>post-implementation</w:t>
      </w:r>
    </w:p>
    <w:p w14:paraId="57CC493E" w14:textId="48E2A939" w:rsidR="00466324" w:rsidRPr="00883921" w:rsidRDefault="00466324" w:rsidP="00466324">
      <w:pPr>
        <w:jc w:val="both"/>
        <w:rPr>
          <w:szCs w:val="20"/>
        </w:rPr>
      </w:pPr>
      <w:r w:rsidRPr="00883921">
        <w:rPr>
          <w:szCs w:val="20"/>
        </w:rPr>
        <w:t xml:space="preserve">These interactions should build on </w:t>
      </w:r>
      <w:r>
        <w:rPr>
          <w:szCs w:val="20"/>
        </w:rPr>
        <w:t xml:space="preserve">the </w:t>
      </w:r>
      <w:r w:rsidRPr="00883921">
        <w:rPr>
          <w:szCs w:val="20"/>
        </w:rPr>
        <w:t xml:space="preserve">initial engagement activities discussed in </w:t>
      </w:r>
      <w:hyperlink w:anchor="_Engaging_stakeholders" w:history="1">
        <w:r w:rsidRPr="00BB7A4E">
          <w:rPr>
            <w:rStyle w:val="Hyperlink"/>
            <w:szCs w:val="20"/>
          </w:rPr>
          <w:t xml:space="preserve">Section </w:t>
        </w:r>
        <w:r w:rsidR="007A204E" w:rsidRPr="00BB7A4E">
          <w:rPr>
            <w:rStyle w:val="Hyperlink"/>
            <w:szCs w:val="20"/>
          </w:rPr>
          <w:t>5</w:t>
        </w:r>
        <w:r w:rsidRPr="00BB7A4E">
          <w:rPr>
            <w:rStyle w:val="Hyperlink"/>
            <w:szCs w:val="20"/>
          </w:rPr>
          <w:t>.6</w:t>
        </w:r>
      </w:hyperlink>
      <w:r w:rsidRPr="00883921">
        <w:rPr>
          <w:szCs w:val="20"/>
        </w:rPr>
        <w:t xml:space="preserve"> and focus on maintaining your program's quality and utility.</w:t>
      </w:r>
    </w:p>
    <w:p w14:paraId="5322BF64" w14:textId="529E9F02" w:rsidR="00466324" w:rsidRPr="00883921" w:rsidRDefault="00466324" w:rsidP="00466324">
      <w:pPr>
        <w:jc w:val="both"/>
        <w:rPr>
          <w:szCs w:val="20"/>
        </w:rPr>
      </w:pPr>
      <w:r>
        <w:rPr>
          <w:szCs w:val="20"/>
        </w:rPr>
        <w:t xml:space="preserve">The following </w:t>
      </w:r>
      <w:r w:rsidRPr="00E0396B">
        <w:rPr>
          <w:szCs w:val="20"/>
        </w:rPr>
        <w:t>are suggested elements</w:t>
      </w:r>
      <w:r>
        <w:rPr>
          <w:szCs w:val="20"/>
        </w:rPr>
        <w:t xml:space="preserve"> you could </w:t>
      </w:r>
      <w:r w:rsidRPr="00EF1B39">
        <w:rPr>
          <w:szCs w:val="20"/>
        </w:rPr>
        <w:t>incorporat</w:t>
      </w:r>
      <w:r>
        <w:rPr>
          <w:szCs w:val="20"/>
        </w:rPr>
        <w:t xml:space="preserve">e in your </w:t>
      </w:r>
      <w:r w:rsidRPr="00EF1B39">
        <w:rPr>
          <w:szCs w:val="20"/>
        </w:rPr>
        <w:t>stakeholder engagement plan</w:t>
      </w:r>
      <w:r>
        <w:rPr>
          <w:szCs w:val="20"/>
        </w:rPr>
        <w:t xml:space="preserve">, </w:t>
      </w:r>
      <w:r w:rsidRPr="00EF1B39">
        <w:rPr>
          <w:szCs w:val="20"/>
        </w:rPr>
        <w:t xml:space="preserve">during and after </w:t>
      </w:r>
      <w:r w:rsidR="0088256E">
        <w:rPr>
          <w:szCs w:val="20"/>
        </w:rPr>
        <w:t xml:space="preserve">reliance program </w:t>
      </w:r>
      <w:r w:rsidRPr="00EF1B39">
        <w:rPr>
          <w:szCs w:val="20"/>
        </w:rPr>
        <w:t>development:</w:t>
      </w:r>
    </w:p>
    <w:p w14:paraId="7715406F" w14:textId="1FDE2263" w:rsidR="00466324" w:rsidRPr="003F7095" w:rsidRDefault="00466324" w:rsidP="00783DFA">
      <w:pPr>
        <w:pStyle w:val="NormalNumbered"/>
        <w:numPr>
          <w:ilvl w:val="0"/>
          <w:numId w:val="35"/>
        </w:numPr>
        <w:ind w:left="288" w:hanging="288"/>
        <w:jc w:val="both"/>
        <w:rPr>
          <w:szCs w:val="20"/>
        </w:rPr>
      </w:pPr>
      <w:r w:rsidRPr="003F7095">
        <w:rPr>
          <w:b/>
          <w:bCs/>
          <w:szCs w:val="20"/>
        </w:rPr>
        <w:t>Conduct training</w:t>
      </w:r>
      <w:r w:rsidRPr="003F7095">
        <w:rPr>
          <w:szCs w:val="20"/>
        </w:rPr>
        <w:t xml:space="preserve"> for both internal and external audiences, with </w:t>
      </w:r>
      <w:r w:rsidRPr="00BB7A4E">
        <w:rPr>
          <w:szCs w:val="20"/>
          <w:lang w:val="en-GB"/>
        </w:rPr>
        <w:t>potential</w:t>
      </w:r>
      <w:r w:rsidRPr="003F7095">
        <w:rPr>
          <w:szCs w:val="20"/>
        </w:rPr>
        <w:t xml:space="preserve"> differences in content for each. For example, internal training will likely focus on relevant regulatory review processes and building required competencies, while external training focus</w:t>
      </w:r>
      <w:r>
        <w:rPr>
          <w:szCs w:val="20"/>
        </w:rPr>
        <w:t>es</w:t>
      </w:r>
      <w:r w:rsidRPr="003F7095">
        <w:rPr>
          <w:szCs w:val="20"/>
        </w:rPr>
        <w:t xml:space="preserve"> on industry-related aspects such as participation pathways for manufacturers and </w:t>
      </w:r>
      <w:r w:rsidR="009A72C3">
        <w:rPr>
          <w:szCs w:val="20"/>
        </w:rPr>
        <w:t xml:space="preserve">the </w:t>
      </w:r>
      <w:r w:rsidRPr="003F7095">
        <w:rPr>
          <w:szCs w:val="20"/>
        </w:rPr>
        <w:t>impact on regulatory requirements</w:t>
      </w:r>
    </w:p>
    <w:p w14:paraId="0555CBC1" w14:textId="77777777" w:rsidR="00466324" w:rsidRDefault="00466324" w:rsidP="00783DFA">
      <w:pPr>
        <w:pStyle w:val="NormalNumbered"/>
        <w:numPr>
          <w:ilvl w:val="0"/>
          <w:numId w:val="35"/>
        </w:numPr>
        <w:ind w:left="288" w:hanging="288"/>
        <w:jc w:val="both"/>
        <w:rPr>
          <w:szCs w:val="20"/>
        </w:rPr>
      </w:pPr>
      <w:r w:rsidRPr="0014743E">
        <w:rPr>
          <w:b/>
          <w:bCs/>
          <w:szCs w:val="20"/>
        </w:rPr>
        <w:t>Publici</w:t>
      </w:r>
      <w:r>
        <w:rPr>
          <w:b/>
          <w:bCs/>
          <w:szCs w:val="20"/>
        </w:rPr>
        <w:t>z</w:t>
      </w:r>
      <w:r w:rsidRPr="0014743E">
        <w:rPr>
          <w:b/>
          <w:bCs/>
          <w:szCs w:val="20"/>
        </w:rPr>
        <w:t>e your program</w:t>
      </w:r>
      <w:r w:rsidRPr="0014743E">
        <w:rPr>
          <w:szCs w:val="20"/>
        </w:rPr>
        <w:t xml:space="preserve"> to ensure the medical device industry</w:t>
      </w:r>
      <w:r w:rsidRPr="006A6859">
        <w:rPr>
          <w:szCs w:val="20"/>
        </w:rPr>
        <w:t>, both domestic and global,</w:t>
      </w:r>
      <w:r w:rsidRPr="0014743E">
        <w:rPr>
          <w:szCs w:val="20"/>
        </w:rPr>
        <w:t xml:space="preserve"> understands the p</w:t>
      </w:r>
      <w:r>
        <w:rPr>
          <w:szCs w:val="20"/>
        </w:rPr>
        <w:t>otential</w:t>
      </w:r>
      <w:r w:rsidRPr="0014743E">
        <w:rPr>
          <w:szCs w:val="20"/>
        </w:rPr>
        <w:t xml:space="preserve"> benefits</w:t>
      </w:r>
      <w:r>
        <w:rPr>
          <w:szCs w:val="20"/>
        </w:rPr>
        <w:t xml:space="preserve">. </w:t>
      </w:r>
      <w:r w:rsidRPr="006A6859">
        <w:rPr>
          <w:szCs w:val="20"/>
        </w:rPr>
        <w:t>Extend similar outreach to relevant public sectors such as patient advocacy groups, including discussion of any expected impact on patient safety and medical device access</w:t>
      </w:r>
    </w:p>
    <w:p w14:paraId="47764E1B" w14:textId="27D9F919" w:rsidR="00466324" w:rsidRPr="0014743E" w:rsidRDefault="00466324" w:rsidP="00783DFA">
      <w:pPr>
        <w:pStyle w:val="NormalNumbered"/>
        <w:numPr>
          <w:ilvl w:val="0"/>
          <w:numId w:val="35"/>
        </w:numPr>
        <w:ind w:left="288" w:hanging="288"/>
        <w:jc w:val="both"/>
        <w:rPr>
          <w:szCs w:val="20"/>
        </w:rPr>
      </w:pPr>
      <w:r w:rsidRPr="0014743E">
        <w:rPr>
          <w:b/>
          <w:bCs/>
          <w:szCs w:val="20"/>
        </w:rPr>
        <w:t>Allow for ongoing feedback</w:t>
      </w:r>
      <w:r w:rsidRPr="0014743E">
        <w:rPr>
          <w:szCs w:val="20"/>
        </w:rPr>
        <w:t xml:space="preserve"> throughout your program's lifecycle</w:t>
      </w:r>
      <w:r>
        <w:rPr>
          <w:szCs w:val="20"/>
        </w:rPr>
        <w:t>,</w:t>
      </w:r>
      <w:r w:rsidR="00BB7A4E">
        <w:rPr>
          <w:szCs w:val="20"/>
        </w:rPr>
        <w:t xml:space="preserve"> </w:t>
      </w:r>
      <w:r>
        <w:rPr>
          <w:szCs w:val="20"/>
        </w:rPr>
        <w:t xml:space="preserve">and use it </w:t>
      </w:r>
      <w:r w:rsidRPr="0014743E">
        <w:rPr>
          <w:szCs w:val="20"/>
        </w:rPr>
        <w:t xml:space="preserve">to inform potential changes through your management system as discussed in </w:t>
      </w:r>
      <w:hyperlink w:anchor="_Establish_a_management" w:history="1">
        <w:r w:rsidRPr="00BB7A4E">
          <w:rPr>
            <w:rStyle w:val="Hyperlink"/>
            <w:szCs w:val="20"/>
          </w:rPr>
          <w:t xml:space="preserve">Section </w:t>
        </w:r>
        <w:r w:rsidR="007A204E" w:rsidRPr="00783DFA">
          <w:rPr>
            <w:rStyle w:val="Hyperlink"/>
          </w:rPr>
          <w:t>6</w:t>
        </w:r>
        <w:r w:rsidRPr="00783DFA">
          <w:rPr>
            <w:rStyle w:val="Hyperlink"/>
          </w:rPr>
          <w:t>.7</w:t>
        </w:r>
      </w:hyperlink>
    </w:p>
    <w:p w14:paraId="209F34FB" w14:textId="0867ECE0" w:rsidR="00466324" w:rsidRDefault="00466324" w:rsidP="00783DFA">
      <w:pPr>
        <w:pStyle w:val="NormalNumbered"/>
        <w:numPr>
          <w:ilvl w:val="0"/>
          <w:numId w:val="35"/>
        </w:numPr>
        <w:ind w:left="288" w:hanging="288"/>
        <w:jc w:val="both"/>
        <w:rPr>
          <w:szCs w:val="20"/>
        </w:rPr>
      </w:pPr>
      <w:r w:rsidRPr="001362D4">
        <w:rPr>
          <w:b/>
          <w:bCs/>
          <w:szCs w:val="20"/>
        </w:rPr>
        <w:t>Keep reference RAs informed</w:t>
      </w:r>
      <w:r w:rsidRPr="001362D4">
        <w:rPr>
          <w:szCs w:val="20"/>
        </w:rPr>
        <w:t xml:space="preserve"> of changes in your regulatory system. This communication may be part of agreements you establish (see </w:t>
      </w:r>
      <w:hyperlink w:anchor="_Formalize_any_necessary" w:history="1">
        <w:r w:rsidRPr="00BB7A4E">
          <w:rPr>
            <w:rStyle w:val="Hyperlink"/>
            <w:szCs w:val="20"/>
          </w:rPr>
          <w:t xml:space="preserve">Section </w:t>
        </w:r>
        <w:r w:rsidR="007A204E" w:rsidRPr="00783DFA">
          <w:rPr>
            <w:rStyle w:val="Hyperlink"/>
          </w:rPr>
          <w:t>6</w:t>
        </w:r>
        <w:r w:rsidRPr="00783DFA">
          <w:rPr>
            <w:rStyle w:val="Hyperlink"/>
          </w:rPr>
          <w:t>.5</w:t>
        </w:r>
      </w:hyperlink>
      <w:r w:rsidRPr="001362D4">
        <w:rPr>
          <w:szCs w:val="20"/>
        </w:rPr>
        <w:t>). Even without formal agreements, discussing your respective regulatory systems' status and planned changes can establish trust and potentially create more collaboration opportunities</w:t>
      </w:r>
    </w:p>
    <w:p w14:paraId="16C04C7D" w14:textId="572D8584" w:rsidR="00466324" w:rsidRPr="006A6859" w:rsidRDefault="00466324" w:rsidP="00783DFA">
      <w:pPr>
        <w:pStyle w:val="NormalNumbered"/>
        <w:numPr>
          <w:ilvl w:val="0"/>
          <w:numId w:val="35"/>
        </w:numPr>
        <w:ind w:left="288" w:hanging="288"/>
        <w:jc w:val="both"/>
        <w:rPr>
          <w:szCs w:val="20"/>
        </w:rPr>
      </w:pPr>
      <w:r w:rsidRPr="006A6859">
        <w:rPr>
          <w:b/>
          <w:bCs/>
          <w:szCs w:val="20"/>
        </w:rPr>
        <w:t>Engage in appropriate forums</w:t>
      </w:r>
      <w:r w:rsidRPr="006A6859">
        <w:rPr>
          <w:szCs w:val="20"/>
        </w:rPr>
        <w:t xml:space="preserve"> such as IMDRF and other knowledge-sharing and mutual learning initiatives (e.g. </w:t>
      </w:r>
      <w:hyperlink r:id="rId9" w:history="1">
        <w:r w:rsidRPr="00783DFA">
          <w:rPr>
            <w:rStyle w:val="Hyperlink"/>
            <w:szCs w:val="20"/>
          </w:rPr>
          <w:t>WHO Collaborative Registration Procedure</w:t>
        </w:r>
      </w:hyperlink>
      <w:r w:rsidRPr="006A6859">
        <w:rPr>
          <w:szCs w:val="20"/>
        </w:rPr>
        <w:t>), to share successes</w:t>
      </w:r>
      <w:r w:rsidR="009A72C3">
        <w:rPr>
          <w:szCs w:val="20"/>
        </w:rPr>
        <w:t xml:space="preserve"> and</w:t>
      </w:r>
      <w:r w:rsidRPr="006A6859">
        <w:rPr>
          <w:szCs w:val="20"/>
        </w:rPr>
        <w:t xml:space="preserve"> lessons learned</w:t>
      </w:r>
      <w:r w:rsidR="009A72C3">
        <w:rPr>
          <w:szCs w:val="20"/>
        </w:rPr>
        <w:t>,</w:t>
      </w:r>
      <w:r w:rsidRPr="006A6859">
        <w:rPr>
          <w:szCs w:val="20"/>
        </w:rPr>
        <w:t xml:space="preserve"> and learn from others with similar experiences. Such discussions can help improve your reliance </w:t>
      </w:r>
      <w:r w:rsidRPr="004F060C">
        <w:rPr>
          <w:szCs w:val="20"/>
        </w:rPr>
        <w:t>program or</w:t>
      </w:r>
      <w:r w:rsidRPr="006A6859">
        <w:rPr>
          <w:szCs w:val="20"/>
        </w:rPr>
        <w:t xml:space="preserve"> lead to expanded activities</w:t>
      </w:r>
    </w:p>
    <w:p w14:paraId="6A431FF0" w14:textId="77777777" w:rsidR="00466324" w:rsidRDefault="00466324" w:rsidP="00783DFA">
      <w:pPr>
        <w:pStyle w:val="NormalNumbered"/>
        <w:numPr>
          <w:ilvl w:val="0"/>
          <w:numId w:val="35"/>
        </w:numPr>
        <w:ind w:left="288" w:hanging="288"/>
        <w:jc w:val="both"/>
        <w:rPr>
          <w:szCs w:val="20"/>
        </w:rPr>
      </w:pPr>
      <w:r w:rsidRPr="0014743E">
        <w:rPr>
          <w:b/>
          <w:bCs/>
          <w:szCs w:val="20"/>
        </w:rPr>
        <w:t xml:space="preserve">Conduct a pilot </w:t>
      </w:r>
      <w:r w:rsidRPr="0014743E">
        <w:rPr>
          <w:szCs w:val="20"/>
        </w:rPr>
        <w:t>to evaluate your reliance program and collect feedback from internal and external participants</w:t>
      </w:r>
    </w:p>
    <w:p w14:paraId="00D0093C" w14:textId="77777777" w:rsidR="006E5E96" w:rsidRPr="006E5E96" w:rsidRDefault="006E5E96" w:rsidP="00783DFA">
      <w:pPr>
        <w:keepLines w:val="0"/>
        <w:spacing w:before="0" w:after="160" w:line="278" w:lineRule="auto"/>
        <w:contextualSpacing/>
        <w:jc w:val="both"/>
        <w:rPr>
          <w:szCs w:val="20"/>
        </w:rPr>
      </w:pPr>
    </w:p>
    <w:tbl>
      <w:tblPr>
        <w:tblStyle w:val="TableGrid"/>
        <w:tblW w:w="0" w:type="auto"/>
        <w:tblLook w:val="04A0" w:firstRow="1" w:lastRow="0" w:firstColumn="1" w:lastColumn="0" w:noHBand="0" w:noVBand="1"/>
      </w:tblPr>
      <w:tblGrid>
        <w:gridCol w:w="7610"/>
      </w:tblGrid>
      <w:tr w:rsidR="00466324" w14:paraId="05DAD304" w14:textId="77777777" w:rsidTr="00BC5B64">
        <w:trPr>
          <w:trHeight w:val="2415"/>
        </w:trPr>
        <w:tc>
          <w:tcPr>
            <w:tcW w:w="7610" w:type="dxa"/>
          </w:tcPr>
          <w:p w14:paraId="5D28EB61" w14:textId="77777777" w:rsidR="00466324" w:rsidRDefault="00466324" w:rsidP="00A8237A">
            <w:pPr>
              <w:jc w:val="both"/>
              <w:rPr>
                <w:szCs w:val="20"/>
              </w:rPr>
            </w:pPr>
            <w:r w:rsidRPr="00E0396B">
              <w:rPr>
                <w:b/>
                <w:bCs/>
                <w:szCs w:val="20"/>
              </w:rPr>
              <w:t>Example:</w:t>
            </w:r>
            <w:r w:rsidRPr="00E0396B">
              <w:rPr>
                <w:szCs w:val="20"/>
              </w:rPr>
              <w:t xml:space="preserve"> After MDSAP’s foundational documents were established, a pilot program was conducted from 2014 - 2016 with the goal of gathering objective data to establish the “proof-of-concept” that a regulatory audit of a medical device manufacturer conducted by an MDSAP-recognized Auditing Organization could fulfil the needs of multiple regulatory jurisdictions. The pilot also helped refine the infrastructure, policies, and procedures of the operational program. In 2017, a final pilot report was published, determining that the MDSAP pilot had satisfactorily demonstrated the viability of MDSAP. Results of the report were used to support final approval of the program, as well as identify potential weaknesses and changes to the program. </w:t>
            </w:r>
          </w:p>
        </w:tc>
      </w:tr>
    </w:tbl>
    <w:p w14:paraId="3EBC4279" w14:textId="77777777" w:rsidR="00466324" w:rsidRPr="00466324" w:rsidRDefault="00466324" w:rsidP="00466324">
      <w:pPr>
        <w:keepLines w:val="0"/>
        <w:spacing w:before="0" w:after="160" w:line="278" w:lineRule="auto"/>
        <w:contextualSpacing/>
        <w:jc w:val="both"/>
        <w:rPr>
          <w:szCs w:val="20"/>
        </w:rPr>
      </w:pPr>
    </w:p>
    <w:p w14:paraId="6988902A" w14:textId="77777777" w:rsidR="00532308" w:rsidRDefault="00532308" w:rsidP="00532308">
      <w:pPr>
        <w:pStyle w:val="Heading2"/>
      </w:pPr>
      <w:bookmarkStart w:id="108" w:name="_Establish_a_management"/>
      <w:bookmarkStart w:id="109" w:name="_Toc213265649"/>
      <w:bookmarkEnd w:id="108"/>
      <w:r>
        <w:t>Establish a management system for the reliance program</w:t>
      </w:r>
      <w:bookmarkEnd w:id="109"/>
    </w:p>
    <w:p w14:paraId="5CD98178" w14:textId="77777777" w:rsidR="00C10CAA" w:rsidRPr="0076471E" w:rsidRDefault="00C10CAA" w:rsidP="00C10CAA">
      <w:pPr>
        <w:jc w:val="both"/>
        <w:rPr>
          <w:szCs w:val="20"/>
          <w:lang w:val="en-GB"/>
        </w:rPr>
      </w:pPr>
      <w:r w:rsidRPr="0076471E">
        <w:rPr>
          <w:szCs w:val="20"/>
          <w:lang w:val="en-GB"/>
        </w:rPr>
        <w:t>Establishing a management system ensures your reliance program meets:</w:t>
      </w:r>
    </w:p>
    <w:p w14:paraId="1F48D307" w14:textId="77777777" w:rsidR="00C10CAA" w:rsidRPr="00BB7A4E" w:rsidRDefault="00C10CAA" w:rsidP="00783DFA">
      <w:pPr>
        <w:pStyle w:val="NormalNumbered"/>
        <w:numPr>
          <w:ilvl w:val="0"/>
          <w:numId w:val="35"/>
        </w:numPr>
        <w:ind w:left="288" w:hanging="288"/>
        <w:jc w:val="both"/>
        <w:rPr>
          <w:szCs w:val="20"/>
        </w:rPr>
      </w:pPr>
      <w:r w:rsidRPr="00BB7A4E">
        <w:rPr>
          <w:szCs w:val="20"/>
        </w:rPr>
        <w:t>its intended goals</w:t>
      </w:r>
    </w:p>
    <w:p w14:paraId="47D485BD" w14:textId="77777777" w:rsidR="00C10CAA" w:rsidRPr="00BB7A4E" w:rsidRDefault="00C10CAA" w:rsidP="00783DFA">
      <w:pPr>
        <w:pStyle w:val="NormalNumbered"/>
        <w:numPr>
          <w:ilvl w:val="0"/>
          <w:numId w:val="35"/>
        </w:numPr>
        <w:ind w:left="288" w:hanging="288"/>
        <w:jc w:val="both"/>
        <w:rPr>
          <w:szCs w:val="20"/>
        </w:rPr>
      </w:pPr>
      <w:r w:rsidRPr="00BB7A4E">
        <w:rPr>
          <w:szCs w:val="20"/>
        </w:rPr>
        <w:t xml:space="preserve">your stakeholder needs </w:t>
      </w:r>
    </w:p>
    <w:p w14:paraId="3F1B8777" w14:textId="52687F8E" w:rsidR="00C10CAA" w:rsidRPr="0076471E" w:rsidRDefault="00C10CAA" w:rsidP="00C10CAA">
      <w:pPr>
        <w:jc w:val="both"/>
        <w:rPr>
          <w:szCs w:val="20"/>
        </w:rPr>
      </w:pPr>
      <w:r w:rsidRPr="0076471E">
        <w:rPr>
          <w:szCs w:val="20"/>
          <w:lang w:val="en-GB"/>
        </w:rPr>
        <w:t>Management systems are valuable for any regulatory process but are especially important for reliance programs due to their broader impact and potential for s</w:t>
      </w:r>
      <w:r w:rsidR="004D1C52">
        <w:rPr>
          <w:szCs w:val="20"/>
          <w:lang w:val="en-GB"/>
        </w:rPr>
        <w:t>ubstantial</w:t>
      </w:r>
      <w:r w:rsidRPr="0076471E">
        <w:rPr>
          <w:szCs w:val="20"/>
          <w:lang w:val="en-GB"/>
        </w:rPr>
        <w:t xml:space="preserve"> change. </w:t>
      </w:r>
      <w:r w:rsidRPr="0076471E">
        <w:rPr>
          <w:szCs w:val="20"/>
        </w:rPr>
        <w:t>Starting your reliance program with a management system in place provides the best conditions for long-term success.</w:t>
      </w:r>
    </w:p>
    <w:p w14:paraId="1B2699D6" w14:textId="77777777" w:rsidR="00C10CAA" w:rsidRPr="0014743E" w:rsidRDefault="00C10CAA" w:rsidP="00C10CAA">
      <w:pPr>
        <w:jc w:val="both"/>
        <w:rPr>
          <w:szCs w:val="20"/>
        </w:rPr>
      </w:pPr>
      <w:r w:rsidRPr="0014743E">
        <w:rPr>
          <w:szCs w:val="20"/>
        </w:rPr>
        <w:t xml:space="preserve">At a minimum, your management system should allow </w:t>
      </w:r>
      <w:r>
        <w:rPr>
          <w:szCs w:val="20"/>
        </w:rPr>
        <w:t>for</w:t>
      </w:r>
      <w:r w:rsidRPr="0014743E">
        <w:rPr>
          <w:szCs w:val="20"/>
        </w:rPr>
        <w:t>:</w:t>
      </w:r>
    </w:p>
    <w:p w14:paraId="32E85A12" w14:textId="77777777" w:rsidR="00C10CAA" w:rsidRPr="0001420D" w:rsidRDefault="00C10CAA" w:rsidP="00783DFA">
      <w:pPr>
        <w:pStyle w:val="NormalNumbered"/>
        <w:numPr>
          <w:ilvl w:val="0"/>
          <w:numId w:val="35"/>
        </w:numPr>
        <w:ind w:left="288" w:hanging="288"/>
        <w:jc w:val="both"/>
        <w:rPr>
          <w:szCs w:val="20"/>
        </w:rPr>
      </w:pPr>
      <w:r>
        <w:rPr>
          <w:b/>
          <w:bCs/>
          <w:szCs w:val="20"/>
        </w:rPr>
        <w:t xml:space="preserve">Process </w:t>
      </w:r>
      <w:r w:rsidRPr="0001420D">
        <w:rPr>
          <w:b/>
          <w:bCs/>
          <w:szCs w:val="20"/>
        </w:rPr>
        <w:t xml:space="preserve">monitoring </w:t>
      </w:r>
      <w:r w:rsidRPr="0001420D">
        <w:rPr>
          <w:szCs w:val="20"/>
        </w:rPr>
        <w:t>to determine if processes meet program needs, whether any training is required, and whether any corrective or preventive actions are warranted</w:t>
      </w:r>
    </w:p>
    <w:p w14:paraId="16D42847" w14:textId="77777777" w:rsidR="00C10CAA" w:rsidRPr="0001420D" w:rsidRDefault="00C10CAA" w:rsidP="00783DFA">
      <w:pPr>
        <w:pStyle w:val="NormalNumbered"/>
        <w:numPr>
          <w:ilvl w:val="0"/>
          <w:numId w:val="35"/>
        </w:numPr>
        <w:ind w:left="288" w:hanging="288"/>
        <w:jc w:val="both"/>
        <w:rPr>
          <w:szCs w:val="20"/>
        </w:rPr>
      </w:pPr>
      <w:r w:rsidRPr="0001420D">
        <w:rPr>
          <w:b/>
          <w:bCs/>
          <w:szCs w:val="20"/>
        </w:rPr>
        <w:t xml:space="preserve">Performance measurement. </w:t>
      </w:r>
      <w:r w:rsidRPr="0001420D">
        <w:rPr>
          <w:szCs w:val="20"/>
        </w:rPr>
        <w:t>Establish and monitor key performance indicators that align with your reliance program’s specific aims and expected benefits</w:t>
      </w:r>
    </w:p>
    <w:p w14:paraId="6419E70F" w14:textId="77777777" w:rsidR="00C10CAA" w:rsidRPr="0001420D" w:rsidRDefault="00C10CAA" w:rsidP="00783DFA">
      <w:pPr>
        <w:pStyle w:val="NormalNumbered"/>
        <w:numPr>
          <w:ilvl w:val="0"/>
          <w:numId w:val="35"/>
        </w:numPr>
        <w:ind w:left="288" w:hanging="288"/>
        <w:jc w:val="both"/>
        <w:rPr>
          <w:b/>
          <w:bCs/>
          <w:szCs w:val="20"/>
        </w:rPr>
      </w:pPr>
      <w:r w:rsidRPr="0001420D">
        <w:rPr>
          <w:b/>
          <w:bCs/>
          <w:szCs w:val="20"/>
        </w:rPr>
        <w:t>Feedback collection</w:t>
      </w:r>
      <w:r w:rsidRPr="0001420D">
        <w:rPr>
          <w:szCs w:val="20"/>
        </w:rPr>
        <w:t xml:space="preserve"> from both internal and external stakeholders on your reliance program's performance</w:t>
      </w:r>
    </w:p>
    <w:p w14:paraId="50C21E4A" w14:textId="77777777" w:rsidR="00C10CAA" w:rsidRPr="0001420D" w:rsidRDefault="00C10CAA" w:rsidP="00783DFA">
      <w:pPr>
        <w:pStyle w:val="NormalNumbered"/>
        <w:numPr>
          <w:ilvl w:val="0"/>
          <w:numId w:val="35"/>
        </w:numPr>
        <w:ind w:left="288" w:hanging="288"/>
        <w:jc w:val="both"/>
        <w:rPr>
          <w:szCs w:val="20"/>
        </w:rPr>
      </w:pPr>
      <w:r w:rsidRPr="0001420D">
        <w:rPr>
          <w:b/>
          <w:bCs/>
          <w:szCs w:val="20"/>
        </w:rPr>
        <w:t xml:space="preserve">Change management. </w:t>
      </w:r>
      <w:r w:rsidRPr="0001420D">
        <w:rPr>
          <w:szCs w:val="20"/>
        </w:rPr>
        <w:t xml:space="preserve">Establish processes for making changes to your reliance </w:t>
      </w:r>
      <w:r>
        <w:rPr>
          <w:szCs w:val="20"/>
        </w:rPr>
        <w:t>program</w:t>
      </w:r>
      <w:r w:rsidRPr="0001420D">
        <w:rPr>
          <w:szCs w:val="20"/>
        </w:rPr>
        <w:t xml:space="preserve"> when needed</w:t>
      </w:r>
    </w:p>
    <w:p w14:paraId="4210CFAE" w14:textId="77777777" w:rsidR="00C10CAA" w:rsidRPr="0001420D" w:rsidRDefault="00C10CAA" w:rsidP="00783DFA">
      <w:pPr>
        <w:pStyle w:val="NormalNumbered"/>
        <w:numPr>
          <w:ilvl w:val="0"/>
          <w:numId w:val="35"/>
        </w:numPr>
        <w:ind w:left="288" w:hanging="288"/>
        <w:jc w:val="both"/>
        <w:rPr>
          <w:szCs w:val="20"/>
        </w:rPr>
      </w:pPr>
      <w:r w:rsidRPr="0001420D">
        <w:rPr>
          <w:b/>
          <w:bCs/>
          <w:szCs w:val="20"/>
        </w:rPr>
        <w:t>Assessment of decision-making differences</w:t>
      </w:r>
      <w:r w:rsidRPr="0001420D">
        <w:rPr>
          <w:szCs w:val="20"/>
        </w:rPr>
        <w:t xml:space="preserve"> between you and your reference RAs, along with the reasons for these differences</w:t>
      </w:r>
    </w:p>
    <w:p w14:paraId="19FC150A" w14:textId="0186121B" w:rsidR="00C10CAA" w:rsidRPr="00422B80" w:rsidRDefault="00C10CAA" w:rsidP="00783DFA">
      <w:pPr>
        <w:pStyle w:val="NormalNumbered"/>
        <w:numPr>
          <w:ilvl w:val="0"/>
          <w:numId w:val="35"/>
        </w:numPr>
        <w:ind w:left="288" w:hanging="288"/>
        <w:jc w:val="both"/>
        <w:rPr>
          <w:b/>
          <w:bCs/>
          <w:szCs w:val="20"/>
          <w:lang w:val="en-GB"/>
        </w:rPr>
      </w:pPr>
      <w:r w:rsidRPr="0001420D">
        <w:rPr>
          <w:b/>
          <w:bCs/>
          <w:szCs w:val="20"/>
        </w:rPr>
        <w:t>Ensuring continued suitability</w:t>
      </w:r>
      <w:r w:rsidRPr="0001420D">
        <w:rPr>
          <w:szCs w:val="20"/>
        </w:rPr>
        <w:t xml:space="preserve"> of your reference RAs, including maintaining awareness of relevant changes in their regulatory systems </w:t>
      </w:r>
      <w:r w:rsidRPr="0001420D">
        <w:rPr>
          <w:szCs w:val="20"/>
          <w:lang w:val="en-GB"/>
        </w:rPr>
        <w:t xml:space="preserve">(see </w:t>
      </w:r>
      <w:hyperlink w:anchor="_Formalize_any_necessary" w:history="1">
        <w:r w:rsidRPr="002D0FFD">
          <w:rPr>
            <w:rStyle w:val="Hyperlink"/>
            <w:szCs w:val="20"/>
            <w:lang w:val="en-GB"/>
          </w:rPr>
          <w:t xml:space="preserve">Section </w:t>
        </w:r>
        <w:r w:rsidR="0045440B" w:rsidRPr="002D0FFD">
          <w:rPr>
            <w:rStyle w:val="Hyperlink"/>
            <w:szCs w:val="20"/>
            <w:lang w:val="en-GB"/>
          </w:rPr>
          <w:t>6</w:t>
        </w:r>
        <w:r w:rsidRPr="002D0FFD">
          <w:rPr>
            <w:rStyle w:val="Hyperlink"/>
            <w:szCs w:val="20"/>
            <w:lang w:val="en-GB"/>
          </w:rPr>
          <w:t>.5</w:t>
        </w:r>
      </w:hyperlink>
      <w:r w:rsidRPr="0045440B">
        <w:rPr>
          <w:szCs w:val="20"/>
          <w:lang w:val="en-GB"/>
        </w:rPr>
        <w:t xml:space="preserve"> for</w:t>
      </w:r>
      <w:r w:rsidRPr="0001420D">
        <w:rPr>
          <w:szCs w:val="20"/>
          <w:lang w:val="en-GB"/>
        </w:rPr>
        <w:t xml:space="preserve"> how this could be achieved via external agreements)</w:t>
      </w:r>
    </w:p>
    <w:p w14:paraId="55FDBF5A" w14:textId="77777777" w:rsidR="00422B80" w:rsidRPr="0001420D" w:rsidRDefault="00422B80" w:rsidP="00422B80">
      <w:pPr>
        <w:pStyle w:val="NormalNumbered"/>
        <w:ind w:left="288"/>
        <w:jc w:val="both"/>
        <w:rPr>
          <w:b/>
          <w:bCs/>
          <w:szCs w:val="20"/>
          <w:lang w:val="en-GB"/>
        </w:rPr>
      </w:pPr>
    </w:p>
    <w:tbl>
      <w:tblPr>
        <w:tblStyle w:val="TableGrid"/>
        <w:tblW w:w="0" w:type="auto"/>
        <w:tblLook w:val="04A0" w:firstRow="1" w:lastRow="0" w:firstColumn="1" w:lastColumn="0" w:noHBand="0" w:noVBand="1"/>
      </w:tblPr>
      <w:tblGrid>
        <w:gridCol w:w="7518"/>
      </w:tblGrid>
      <w:tr w:rsidR="00C10CAA" w14:paraId="72F995B9" w14:textId="77777777" w:rsidTr="00783DFA">
        <w:trPr>
          <w:trHeight w:val="4418"/>
        </w:trPr>
        <w:tc>
          <w:tcPr>
            <w:tcW w:w="7518" w:type="dxa"/>
          </w:tcPr>
          <w:p w14:paraId="38B78227" w14:textId="24E6DC5D" w:rsidR="00C10CAA" w:rsidRDefault="00C10CAA" w:rsidP="00A8237A">
            <w:pPr>
              <w:jc w:val="both"/>
              <w:rPr>
                <w:szCs w:val="20"/>
                <w:lang w:val="en-GB"/>
              </w:rPr>
            </w:pPr>
            <w:r w:rsidRPr="007F2CB6">
              <w:rPr>
                <w:b/>
                <w:bCs/>
                <w:szCs w:val="20"/>
                <w:lang w:val="en-GB"/>
              </w:rPr>
              <w:t>Example:</w:t>
            </w:r>
            <w:r w:rsidRPr="007F2CB6">
              <w:rPr>
                <w:szCs w:val="20"/>
                <w:lang w:val="en-GB"/>
              </w:rPr>
              <w:t xml:space="preserve"> Regulator A has established a reliance program for emergency use authorizations </w:t>
            </w:r>
            <w:r w:rsidR="00262DBF">
              <w:rPr>
                <w:szCs w:val="20"/>
                <w:lang w:val="en-GB"/>
              </w:rPr>
              <w:t>by</w:t>
            </w:r>
            <w:r w:rsidR="00262DBF" w:rsidRPr="007F2CB6">
              <w:rPr>
                <w:szCs w:val="20"/>
                <w:lang w:val="en-GB"/>
              </w:rPr>
              <w:t xml:space="preserve"> </w:t>
            </w:r>
            <w:r w:rsidRPr="007F2CB6">
              <w:rPr>
                <w:szCs w:val="20"/>
                <w:lang w:val="en-GB"/>
              </w:rPr>
              <w:t>which they can rely on emergency use decisions from Regulator B in case of device shortages. Because Regulator A requires information on the manufacturing of the device for any emergency use authorization and Regulator B does not, as part of this reliance program manufacturers are required to submit this manufacturing information to Regulator A so that this information can be considered together with Regulator B’s decision. The management system that was established for this reliance program includes a mechanism for both regulators to share information regarding changes to their emergency use authorization process.</w:t>
            </w:r>
          </w:p>
          <w:p w14:paraId="39D9C8D0" w14:textId="2225D29E" w:rsidR="00C10CAA" w:rsidRDefault="00C10CAA" w:rsidP="00A8237A">
            <w:pPr>
              <w:jc w:val="both"/>
              <w:rPr>
                <w:szCs w:val="20"/>
                <w:lang w:val="en-GB"/>
              </w:rPr>
            </w:pPr>
            <w:r w:rsidRPr="007F2CB6">
              <w:rPr>
                <w:szCs w:val="20"/>
                <w:lang w:val="en-GB"/>
              </w:rPr>
              <w:t xml:space="preserve">Two years after implementation of this reliance program, Regulator B changes their emergency use authorization process so that manufacturers are now required to submit additional manufacturing information. Regulator A is informed of this change through their management system, conducts a new assessment of the emergency use authorization requirements for Regulators A and B, and concludes that their requirements for manufacturing information are </w:t>
            </w:r>
            <w:r w:rsidR="00A711E2">
              <w:rPr>
                <w:szCs w:val="20"/>
                <w:lang w:val="en-GB"/>
              </w:rPr>
              <w:t xml:space="preserve">now </w:t>
            </w:r>
            <w:r w:rsidRPr="007F2CB6">
              <w:rPr>
                <w:szCs w:val="20"/>
                <w:lang w:val="en-GB"/>
              </w:rPr>
              <w:t xml:space="preserve">sufficiently similar. As a result, Regulator A modifies their reliance program per their management system so that submission of additional manufacturing information is no longer required.  </w:t>
            </w:r>
          </w:p>
        </w:tc>
      </w:tr>
    </w:tbl>
    <w:p w14:paraId="78D4E03D" w14:textId="68797FF6" w:rsidR="00436CC0" w:rsidRDefault="00436CC0" w:rsidP="00BB7A4E">
      <w:pPr>
        <w:rPr>
          <w:b/>
          <w:bCs/>
          <w:noProof/>
          <w:sz w:val="24"/>
        </w:rPr>
      </w:pPr>
      <w:r>
        <w:rPr>
          <w:b/>
          <w:bCs/>
          <w:noProof/>
          <w:sz w:val="24"/>
        </w:rPr>
        <w:br w:type="page"/>
      </w:r>
    </w:p>
    <w:p w14:paraId="21E44983" w14:textId="77777777" w:rsidR="00593DFC" w:rsidRDefault="00593DFC" w:rsidP="00593DFC">
      <w:pPr>
        <w:pStyle w:val="Heading1"/>
        <w:rPr>
          <w:noProof/>
          <w:lang w:val="en-US"/>
        </w:rPr>
      </w:pPr>
      <w:bookmarkStart w:id="110" w:name="_References"/>
      <w:bookmarkStart w:id="111" w:name="_Toc213265650"/>
      <w:bookmarkEnd w:id="110"/>
      <w:r>
        <w:rPr>
          <w:noProof/>
          <w:lang w:val="en-US"/>
        </w:rPr>
        <w:t>References</w:t>
      </w:r>
      <w:bookmarkEnd w:id="111"/>
    </w:p>
    <w:p w14:paraId="4DE4EB99" w14:textId="77777777" w:rsidR="00593DFC" w:rsidRDefault="00593DFC" w:rsidP="00593DFC">
      <w:pPr>
        <w:pStyle w:val="Heading2"/>
      </w:pPr>
      <w:bookmarkStart w:id="112" w:name="_Referenced_in_text"/>
      <w:bookmarkStart w:id="113" w:name="_Toc213265651"/>
      <w:bookmarkEnd w:id="112"/>
      <w:r>
        <w:t>Referenced in text</w:t>
      </w:r>
      <w:bookmarkEnd w:id="113"/>
    </w:p>
    <w:p w14:paraId="622F3195" w14:textId="77777777" w:rsidR="00593DFC" w:rsidRDefault="00593DFC" w:rsidP="00593DFC">
      <w:r>
        <w:t>The following resources were used in the development of this playbook and are referenced in the text:</w:t>
      </w:r>
    </w:p>
    <w:p w14:paraId="478E1BA3" w14:textId="77777777" w:rsidR="00593DFC" w:rsidRPr="008800D0" w:rsidRDefault="00593DFC" w:rsidP="00593DFC">
      <w:pPr>
        <w:pStyle w:val="ListParagraph"/>
        <w:numPr>
          <w:ilvl w:val="0"/>
          <w:numId w:val="7"/>
        </w:numPr>
      </w:pPr>
      <w:r w:rsidRPr="008800D0">
        <w:t>ANVISA Normative Instruction No. 290, April 4, 2024</w:t>
      </w:r>
    </w:p>
    <w:p w14:paraId="31C71561" w14:textId="77777777" w:rsidR="00593DFC" w:rsidRPr="008800D0" w:rsidRDefault="00593DFC" w:rsidP="00593DFC">
      <w:pPr>
        <w:pStyle w:val="ListParagraph"/>
        <w:numPr>
          <w:ilvl w:val="0"/>
          <w:numId w:val="7"/>
        </w:numPr>
        <w:rPr>
          <w:lang w:val="en-GB"/>
        </w:rPr>
      </w:pPr>
      <w:r>
        <w:rPr>
          <w:lang w:val="en-GB"/>
        </w:rPr>
        <w:t xml:space="preserve">GHTF/SG1/N77 – </w:t>
      </w:r>
      <w:r>
        <w:rPr>
          <w:i/>
          <w:iCs/>
          <w:lang w:val="en-GB"/>
        </w:rPr>
        <w:t>Principles of Medical Devices Classification</w:t>
      </w:r>
    </w:p>
    <w:p w14:paraId="3D8C09EC" w14:textId="77777777" w:rsidR="00593DFC" w:rsidRPr="00EA75E2" w:rsidRDefault="00593DFC" w:rsidP="00593DFC">
      <w:pPr>
        <w:pStyle w:val="ListParagraph"/>
        <w:numPr>
          <w:ilvl w:val="0"/>
          <w:numId w:val="7"/>
        </w:numPr>
        <w:rPr>
          <w:lang w:val="en-GB"/>
        </w:rPr>
      </w:pPr>
      <w:r w:rsidRPr="00770EF6">
        <w:rPr>
          <w:lang w:val="en-GB"/>
        </w:rPr>
        <w:t>GHTF/SG2/N54R8 </w:t>
      </w:r>
      <w:r>
        <w:rPr>
          <w:lang w:val="en-GB"/>
        </w:rPr>
        <w:t xml:space="preserve">- </w:t>
      </w:r>
      <w:r w:rsidRPr="00220BFB">
        <w:rPr>
          <w:i/>
          <w:iCs/>
          <w:lang w:val="en-GB"/>
        </w:rPr>
        <w:t>Medical Devices Post Market Surveillance: Global Guidance for Adverse Event Reporting for Medical Devices</w:t>
      </w:r>
      <w:r w:rsidRPr="00770EF6">
        <w:rPr>
          <w:lang w:val="en-GB"/>
        </w:rPr>
        <w:t xml:space="preserve"> </w:t>
      </w:r>
    </w:p>
    <w:p w14:paraId="40657ADA" w14:textId="77777777" w:rsidR="00593DFC" w:rsidRPr="00D17416" w:rsidRDefault="00593DFC" w:rsidP="00593DFC">
      <w:pPr>
        <w:pStyle w:val="ListParagraph"/>
        <w:numPr>
          <w:ilvl w:val="0"/>
          <w:numId w:val="7"/>
        </w:numPr>
        <w:rPr>
          <w:lang w:val="en-GB"/>
        </w:rPr>
      </w:pPr>
      <w:r>
        <w:rPr>
          <w:lang w:val="en-GB"/>
        </w:rPr>
        <w:t xml:space="preserve">IMDRF/AE WG/N43 - </w:t>
      </w:r>
      <w:r w:rsidRPr="00EA75E2">
        <w:rPr>
          <w:i/>
          <w:iCs/>
          <w:lang w:val="en-GB"/>
        </w:rPr>
        <w:t>Terminologies for Categorized Adverse Event Reporting (AER): terms, terminology and codes</w:t>
      </w:r>
    </w:p>
    <w:p w14:paraId="1026C80D" w14:textId="77777777" w:rsidR="00593DFC" w:rsidRPr="008800D0" w:rsidRDefault="00593DFC" w:rsidP="00593DFC">
      <w:pPr>
        <w:pStyle w:val="ListParagraph"/>
        <w:numPr>
          <w:ilvl w:val="0"/>
          <w:numId w:val="7"/>
        </w:numPr>
        <w:rPr>
          <w:i/>
          <w:iCs/>
          <w:lang w:val="en-GB"/>
        </w:rPr>
      </w:pPr>
      <w:r w:rsidRPr="00F45416">
        <w:rPr>
          <w:lang w:val="en-GB"/>
        </w:rPr>
        <w:t xml:space="preserve">IMDRF/GRRP WG/N40 - </w:t>
      </w:r>
      <w:r w:rsidRPr="00D25F39">
        <w:rPr>
          <w:i/>
          <w:iCs/>
          <w:lang w:val="en-GB"/>
        </w:rPr>
        <w:t>Competence, Training, and Conduct Requirements for Regulatory Reviewers</w:t>
      </w:r>
    </w:p>
    <w:p w14:paraId="3AD55FCF" w14:textId="77777777" w:rsidR="00593DFC" w:rsidRPr="008800D0" w:rsidRDefault="00593DFC" w:rsidP="00593DFC">
      <w:pPr>
        <w:pStyle w:val="ListParagraph"/>
        <w:numPr>
          <w:ilvl w:val="0"/>
          <w:numId w:val="7"/>
        </w:numPr>
        <w:rPr>
          <w:lang w:val="en-GB"/>
        </w:rPr>
      </w:pPr>
      <w:r w:rsidRPr="0036231F">
        <w:rPr>
          <w:lang w:val="en-GB"/>
        </w:rPr>
        <w:t xml:space="preserve">IMDRF/GRRP WG/N47 - </w:t>
      </w:r>
      <w:r w:rsidRPr="00EA75E2">
        <w:rPr>
          <w:i/>
          <w:iCs/>
          <w:lang w:val="en-GB"/>
        </w:rPr>
        <w:t>Essential Principles of Safety and Performance of Medical Devices and IVD Medical Devices</w:t>
      </w:r>
    </w:p>
    <w:p w14:paraId="26C94DCF" w14:textId="77777777" w:rsidR="00593DFC" w:rsidRPr="00783DFA" w:rsidRDefault="00593DFC" w:rsidP="00593DFC">
      <w:pPr>
        <w:pStyle w:val="ListParagraph"/>
        <w:numPr>
          <w:ilvl w:val="0"/>
          <w:numId w:val="7"/>
        </w:numPr>
        <w:rPr>
          <w:lang w:val="en-GB"/>
        </w:rPr>
      </w:pPr>
      <w:r w:rsidRPr="00057683">
        <w:rPr>
          <w:lang w:val="en-GB"/>
        </w:rPr>
        <w:t xml:space="preserve">IMDRF/GRRP WG/N52 - </w:t>
      </w:r>
      <w:r w:rsidRPr="00D25F39">
        <w:rPr>
          <w:i/>
          <w:iCs/>
          <w:lang w:val="en-GB"/>
        </w:rPr>
        <w:t>Principles of Labeling for Medical Devices and IVD Medical Devices</w:t>
      </w:r>
    </w:p>
    <w:p w14:paraId="13BACE3A" w14:textId="77777777" w:rsidR="00593DFC" w:rsidRPr="00057683" w:rsidRDefault="00593DFC" w:rsidP="00593DFC">
      <w:pPr>
        <w:pStyle w:val="ListParagraph"/>
        <w:numPr>
          <w:ilvl w:val="0"/>
          <w:numId w:val="7"/>
        </w:numPr>
        <w:rPr>
          <w:lang w:val="en-GB"/>
        </w:rPr>
      </w:pPr>
      <w:r w:rsidRPr="00572331">
        <w:rPr>
          <w:lang w:val="en-GB"/>
        </w:rPr>
        <w:t>IMDRF/GRRP WG/N59 -</w:t>
      </w:r>
      <w:r>
        <w:rPr>
          <w:lang w:val="en-GB"/>
        </w:rPr>
        <w:t xml:space="preserve"> Re</w:t>
      </w:r>
      <w:r w:rsidRPr="00783DFA">
        <w:rPr>
          <w:i/>
          <w:iCs/>
          <w:lang w:val="en-GB"/>
        </w:rPr>
        <w:t>quirements for Regulatory Authority Recognition of</w:t>
      </w:r>
      <w:r>
        <w:rPr>
          <w:i/>
          <w:iCs/>
          <w:lang w:val="en-GB"/>
        </w:rPr>
        <w:t xml:space="preserve"> </w:t>
      </w:r>
      <w:r w:rsidRPr="00783DFA">
        <w:rPr>
          <w:i/>
          <w:iCs/>
          <w:lang w:val="en-GB"/>
        </w:rPr>
        <w:t>Conformity Assessment Bodies Conducting Medical Device Regulatory Reviews</w:t>
      </w:r>
    </w:p>
    <w:p w14:paraId="00863A40" w14:textId="77777777" w:rsidR="00593DFC" w:rsidRPr="00D57E00" w:rsidRDefault="00593DFC" w:rsidP="00593DFC">
      <w:pPr>
        <w:pStyle w:val="ListParagraph"/>
        <w:numPr>
          <w:ilvl w:val="0"/>
          <w:numId w:val="7"/>
        </w:numPr>
        <w:rPr>
          <w:lang w:val="en-GB"/>
        </w:rPr>
      </w:pPr>
      <w:r w:rsidRPr="00D57E00">
        <w:rPr>
          <w:lang w:val="en-GB"/>
        </w:rPr>
        <w:t xml:space="preserve">IMDRF/IVD WG/N64 - </w:t>
      </w:r>
      <w:r w:rsidRPr="00F40DF6">
        <w:rPr>
          <w:i/>
          <w:iCs/>
          <w:lang w:val="en-GB"/>
        </w:rPr>
        <w:t>Principles of In Vitro Diagnostic (IVD) Medical Devices Classification</w:t>
      </w:r>
    </w:p>
    <w:p w14:paraId="38755F0D" w14:textId="77777777" w:rsidR="00593DFC" w:rsidRPr="00A544FC" w:rsidRDefault="00593DFC" w:rsidP="00593DFC">
      <w:pPr>
        <w:pStyle w:val="ListParagraph"/>
        <w:numPr>
          <w:ilvl w:val="0"/>
          <w:numId w:val="7"/>
        </w:numPr>
        <w:rPr>
          <w:lang w:val="en-GB"/>
        </w:rPr>
      </w:pPr>
      <w:r w:rsidRPr="003867C1">
        <w:rPr>
          <w:lang w:val="en-GB"/>
        </w:rPr>
        <w:t xml:space="preserve">IMDRF/GRRP WG/N71 - </w:t>
      </w:r>
      <w:r w:rsidRPr="00D25F39">
        <w:rPr>
          <w:i/>
          <w:iCs/>
          <w:lang w:val="en-GB"/>
        </w:rPr>
        <w:t>Medical Device Regulatory Review Report: Guidance Regarding Information to be Included</w:t>
      </w:r>
    </w:p>
    <w:p w14:paraId="09CC393D" w14:textId="77777777" w:rsidR="00593DFC" w:rsidRPr="00D25F39" w:rsidRDefault="00593DFC" w:rsidP="00593DFC">
      <w:pPr>
        <w:pStyle w:val="ListParagraph"/>
        <w:numPr>
          <w:ilvl w:val="0"/>
          <w:numId w:val="7"/>
        </w:numPr>
        <w:rPr>
          <w:lang w:val="en-GB"/>
        </w:rPr>
      </w:pPr>
      <w:r>
        <w:rPr>
          <w:lang w:val="en-GB"/>
        </w:rPr>
        <w:t xml:space="preserve">IMDRF/RPS WG/N9 - </w:t>
      </w:r>
      <w:r w:rsidRPr="00D25F39">
        <w:rPr>
          <w:i/>
          <w:iCs/>
          <w:lang w:val="en-GB"/>
        </w:rPr>
        <w:t>Non-In Vitro Diagnostic Device Regulatory Submission Table of Contents (nIVD ToC)</w:t>
      </w:r>
    </w:p>
    <w:p w14:paraId="7ABC8AFC" w14:textId="77777777" w:rsidR="00593DFC" w:rsidRDefault="00593DFC" w:rsidP="00593DFC">
      <w:pPr>
        <w:pStyle w:val="ListParagraph"/>
        <w:numPr>
          <w:ilvl w:val="0"/>
          <w:numId w:val="7"/>
        </w:numPr>
        <w:rPr>
          <w:lang w:val="en-GB"/>
        </w:rPr>
      </w:pPr>
      <w:r>
        <w:rPr>
          <w:lang w:val="en-GB"/>
        </w:rPr>
        <w:t xml:space="preserve">IMDRF/RPS WG/N13 - </w:t>
      </w:r>
      <w:r w:rsidRPr="00D25F39">
        <w:rPr>
          <w:i/>
          <w:iCs/>
          <w:lang w:val="en-GB"/>
        </w:rPr>
        <w:t>In Vitro Diagnostic Medical Device Regulatory Submission Table of Contents (IVD ToC)</w:t>
      </w:r>
    </w:p>
    <w:p w14:paraId="2E2CDDBC" w14:textId="77777777" w:rsidR="00593DFC" w:rsidRPr="008800D0" w:rsidRDefault="00593DFC" w:rsidP="00593DFC">
      <w:pPr>
        <w:pStyle w:val="ListParagraph"/>
        <w:numPr>
          <w:ilvl w:val="0"/>
          <w:numId w:val="7"/>
        </w:numPr>
      </w:pPr>
      <w:r>
        <w:t xml:space="preserve">IMDRF/Standards WG/N51 – </w:t>
      </w:r>
      <w:r w:rsidRPr="006B6E82">
        <w:rPr>
          <w:i/>
          <w:iCs/>
        </w:rPr>
        <w:t>Optimi</w:t>
      </w:r>
      <w:r>
        <w:rPr>
          <w:i/>
          <w:iCs/>
        </w:rPr>
        <w:t>z</w:t>
      </w:r>
      <w:r w:rsidRPr="006B6E82">
        <w:rPr>
          <w:i/>
          <w:iCs/>
        </w:rPr>
        <w:t>ing Standards for Regulatory Use</w:t>
      </w:r>
    </w:p>
    <w:p w14:paraId="0A433643" w14:textId="77777777" w:rsidR="00593DFC" w:rsidRPr="008800D0" w:rsidRDefault="00593DFC" w:rsidP="00593DFC">
      <w:pPr>
        <w:pStyle w:val="ListParagraph"/>
        <w:numPr>
          <w:ilvl w:val="0"/>
          <w:numId w:val="7"/>
        </w:numPr>
        <w:rPr>
          <w:lang w:val="en-GB"/>
        </w:rPr>
      </w:pPr>
      <w:r w:rsidRPr="003B6ECA">
        <w:rPr>
          <w:lang w:val="en-GB"/>
        </w:rPr>
        <w:t>ISO 9001</w:t>
      </w:r>
      <w:r>
        <w:rPr>
          <w:lang w:val="en-GB"/>
        </w:rPr>
        <w:t xml:space="preserve"> - </w:t>
      </w:r>
      <w:r w:rsidRPr="00EA75E2">
        <w:rPr>
          <w:i/>
          <w:iCs/>
          <w:lang w:val="en-GB"/>
        </w:rPr>
        <w:t>Quality management systems — Requirements</w:t>
      </w:r>
    </w:p>
    <w:p w14:paraId="4F856E52" w14:textId="77777777" w:rsidR="00593DFC" w:rsidRPr="00A544FC" w:rsidRDefault="00593DFC" w:rsidP="00593DFC">
      <w:pPr>
        <w:pStyle w:val="ListParagraph"/>
        <w:numPr>
          <w:ilvl w:val="0"/>
          <w:numId w:val="7"/>
        </w:numPr>
        <w:rPr>
          <w:lang w:val="en-GB"/>
        </w:rPr>
      </w:pPr>
      <w:r>
        <w:rPr>
          <w:lang w:val="en-GB"/>
        </w:rPr>
        <w:t xml:space="preserve">ISO 13485 - </w:t>
      </w:r>
      <w:r w:rsidRPr="00EA75E2">
        <w:rPr>
          <w:i/>
          <w:iCs/>
          <w:lang w:val="en-GB"/>
        </w:rPr>
        <w:t>Medical devices — Quality management systems — Requirements for regulatory purposes</w:t>
      </w:r>
    </w:p>
    <w:p w14:paraId="36321BF7" w14:textId="77777777" w:rsidR="00593DFC" w:rsidRPr="00A97ACA" w:rsidRDefault="00593DFC" w:rsidP="00593DFC">
      <w:pPr>
        <w:pStyle w:val="ListParagraph"/>
        <w:numPr>
          <w:ilvl w:val="0"/>
          <w:numId w:val="7"/>
        </w:numPr>
      </w:pPr>
      <w:r w:rsidRPr="00E96A8A">
        <w:rPr>
          <w:noProof/>
          <w:lang w:val="en-US"/>
        </w:rPr>
        <w:t>WHO Expert Committee on Specifications for Pharmaceutical Preparations, Fifty-fifth Report</w:t>
      </w:r>
      <w:r>
        <w:rPr>
          <w:noProof/>
          <w:lang w:val="en-US"/>
        </w:rPr>
        <w:t xml:space="preserve"> (TRS 1033) </w:t>
      </w:r>
      <w:r w:rsidRPr="00E96A8A">
        <w:rPr>
          <w:noProof/>
          <w:lang w:val="en-US"/>
        </w:rPr>
        <w:t>, Annex 10:</w:t>
      </w:r>
      <w:r>
        <w:rPr>
          <w:i/>
          <w:iCs/>
          <w:noProof/>
          <w:lang w:val="en-US"/>
        </w:rPr>
        <w:t xml:space="preserve"> </w:t>
      </w:r>
      <w:r w:rsidRPr="004E7CCC">
        <w:rPr>
          <w:i/>
          <w:iCs/>
          <w:noProof/>
          <w:lang w:val="en-US"/>
        </w:rPr>
        <w:t xml:space="preserve">Good Reliance Practices in the </w:t>
      </w:r>
      <w:r>
        <w:rPr>
          <w:i/>
          <w:iCs/>
          <w:noProof/>
          <w:lang w:val="en-US"/>
        </w:rPr>
        <w:t>r</w:t>
      </w:r>
      <w:r w:rsidRPr="004E7CCC">
        <w:rPr>
          <w:i/>
          <w:iCs/>
          <w:noProof/>
          <w:lang w:val="en-US"/>
        </w:rPr>
        <w:t xml:space="preserve">egulation of </w:t>
      </w:r>
      <w:r>
        <w:rPr>
          <w:i/>
          <w:iCs/>
          <w:noProof/>
          <w:lang w:val="en-US"/>
        </w:rPr>
        <w:t>m</w:t>
      </w:r>
      <w:r w:rsidRPr="004E7CCC">
        <w:rPr>
          <w:i/>
          <w:iCs/>
          <w:noProof/>
          <w:lang w:val="en-US"/>
        </w:rPr>
        <w:t xml:space="preserve">edical </w:t>
      </w:r>
      <w:r>
        <w:rPr>
          <w:i/>
          <w:iCs/>
          <w:noProof/>
          <w:lang w:val="en-US"/>
        </w:rPr>
        <w:t>p</w:t>
      </w:r>
      <w:r w:rsidRPr="004E7CCC">
        <w:rPr>
          <w:i/>
          <w:iCs/>
          <w:noProof/>
          <w:lang w:val="en-US"/>
        </w:rPr>
        <w:t xml:space="preserve">roducts: </w:t>
      </w:r>
      <w:r>
        <w:rPr>
          <w:i/>
          <w:iCs/>
          <w:noProof/>
          <w:lang w:val="en-US"/>
        </w:rPr>
        <w:t>h</w:t>
      </w:r>
      <w:r w:rsidRPr="004E7CCC">
        <w:rPr>
          <w:i/>
          <w:iCs/>
          <w:noProof/>
          <w:lang w:val="en-US"/>
        </w:rPr>
        <w:t xml:space="preserve">igh </w:t>
      </w:r>
      <w:r>
        <w:rPr>
          <w:i/>
          <w:iCs/>
          <w:noProof/>
          <w:lang w:val="en-US"/>
        </w:rPr>
        <w:t>l</w:t>
      </w:r>
      <w:r w:rsidRPr="004E7CCC">
        <w:rPr>
          <w:i/>
          <w:iCs/>
          <w:noProof/>
          <w:lang w:val="en-US"/>
        </w:rPr>
        <w:t xml:space="preserve">evel </w:t>
      </w:r>
      <w:r>
        <w:rPr>
          <w:i/>
          <w:iCs/>
          <w:noProof/>
          <w:lang w:val="en-US"/>
        </w:rPr>
        <w:t>p</w:t>
      </w:r>
      <w:r w:rsidRPr="004E7CCC">
        <w:rPr>
          <w:i/>
          <w:iCs/>
          <w:noProof/>
          <w:lang w:val="en-US"/>
        </w:rPr>
        <w:t xml:space="preserve">rinciples and </w:t>
      </w:r>
      <w:r>
        <w:rPr>
          <w:i/>
          <w:iCs/>
          <w:noProof/>
          <w:lang w:val="en-US"/>
        </w:rPr>
        <w:t>c</w:t>
      </w:r>
      <w:r w:rsidRPr="004E7CCC">
        <w:rPr>
          <w:i/>
          <w:iCs/>
          <w:noProof/>
          <w:lang w:val="en-US"/>
        </w:rPr>
        <w:t>onsiderations</w:t>
      </w:r>
    </w:p>
    <w:p w14:paraId="3B67B0C4" w14:textId="77777777" w:rsidR="00593DFC" w:rsidRPr="006A7348" w:rsidRDefault="00593DFC" w:rsidP="00593DFC">
      <w:pPr>
        <w:pStyle w:val="ListParagraph"/>
        <w:numPr>
          <w:ilvl w:val="0"/>
          <w:numId w:val="7"/>
        </w:numPr>
      </w:pPr>
      <w:r w:rsidRPr="00E96A8A">
        <w:rPr>
          <w:noProof/>
          <w:lang w:val="en-US"/>
        </w:rPr>
        <w:t>WHO Expert Committee on Specifications for Pharmaceutical Preparations, Fifty-fifth Report</w:t>
      </w:r>
      <w:r>
        <w:rPr>
          <w:noProof/>
          <w:lang w:val="en-US"/>
        </w:rPr>
        <w:t xml:space="preserve"> (TRS 1033)</w:t>
      </w:r>
      <w:r w:rsidRPr="00E96A8A">
        <w:rPr>
          <w:noProof/>
          <w:lang w:val="en-US"/>
        </w:rPr>
        <w:t>, Annex 1</w:t>
      </w:r>
      <w:r>
        <w:rPr>
          <w:noProof/>
          <w:lang w:val="en-US"/>
        </w:rPr>
        <w:t>1</w:t>
      </w:r>
      <w:r w:rsidRPr="00E96A8A">
        <w:rPr>
          <w:noProof/>
          <w:lang w:val="en-US"/>
        </w:rPr>
        <w:t>:</w:t>
      </w:r>
      <w:r>
        <w:rPr>
          <w:i/>
          <w:iCs/>
          <w:noProof/>
          <w:lang w:val="en-US"/>
        </w:rPr>
        <w:t xml:space="preserve"> </w:t>
      </w:r>
      <w:r w:rsidRPr="004E7CCC">
        <w:rPr>
          <w:i/>
          <w:iCs/>
          <w:noProof/>
          <w:lang w:val="en-US"/>
        </w:rPr>
        <w:t xml:space="preserve">Good </w:t>
      </w:r>
      <w:r>
        <w:rPr>
          <w:i/>
          <w:iCs/>
          <w:noProof/>
          <w:lang w:val="en-US"/>
        </w:rPr>
        <w:t>Regulatory</w:t>
      </w:r>
      <w:r w:rsidRPr="004E7CCC">
        <w:rPr>
          <w:i/>
          <w:iCs/>
          <w:noProof/>
          <w:lang w:val="en-US"/>
        </w:rPr>
        <w:t xml:space="preserve"> Practices in the </w:t>
      </w:r>
      <w:r>
        <w:rPr>
          <w:i/>
          <w:iCs/>
          <w:noProof/>
          <w:lang w:val="en-US"/>
        </w:rPr>
        <w:t>r</w:t>
      </w:r>
      <w:r w:rsidRPr="004E7CCC">
        <w:rPr>
          <w:i/>
          <w:iCs/>
          <w:noProof/>
          <w:lang w:val="en-US"/>
        </w:rPr>
        <w:t xml:space="preserve">egulation of </w:t>
      </w:r>
      <w:r>
        <w:rPr>
          <w:i/>
          <w:iCs/>
          <w:noProof/>
          <w:lang w:val="en-US"/>
        </w:rPr>
        <w:t>m</w:t>
      </w:r>
      <w:r w:rsidRPr="004E7CCC">
        <w:rPr>
          <w:i/>
          <w:iCs/>
          <w:noProof/>
          <w:lang w:val="en-US"/>
        </w:rPr>
        <w:t xml:space="preserve">edical </w:t>
      </w:r>
      <w:r>
        <w:rPr>
          <w:i/>
          <w:iCs/>
          <w:noProof/>
          <w:lang w:val="en-US"/>
        </w:rPr>
        <w:t>p</w:t>
      </w:r>
      <w:r w:rsidRPr="004E7CCC">
        <w:rPr>
          <w:i/>
          <w:iCs/>
          <w:noProof/>
          <w:lang w:val="en-US"/>
        </w:rPr>
        <w:t>roducts</w:t>
      </w:r>
    </w:p>
    <w:p w14:paraId="13F52779" w14:textId="77777777" w:rsidR="00593DFC" w:rsidRPr="00D97FB9" w:rsidRDefault="00593DFC" w:rsidP="00593DFC">
      <w:pPr>
        <w:pStyle w:val="ListParagraph"/>
        <w:numPr>
          <w:ilvl w:val="0"/>
          <w:numId w:val="7"/>
        </w:numPr>
        <w:rPr>
          <w:lang w:val="en-GB"/>
        </w:rPr>
      </w:pPr>
      <w:r>
        <w:t xml:space="preserve">WHO Expert Committee on Biological Standardization, Seventy-sixth Report (TRS 1045), Annex 3: </w:t>
      </w:r>
      <w:r w:rsidRPr="00D97FB9">
        <w:rPr>
          <w:i/>
          <w:iCs/>
          <w:lang w:val="en-GB"/>
        </w:rPr>
        <w:t>WHO Global Model Regulatory Framework for Medical Devices including in vitro diagnostic medical devices</w:t>
      </w:r>
    </w:p>
    <w:p w14:paraId="3EF7FF62" w14:textId="77777777" w:rsidR="00593DFC" w:rsidRDefault="00593DFC" w:rsidP="00593DFC"/>
    <w:p w14:paraId="4B0D35CE" w14:textId="77777777" w:rsidR="00593DFC" w:rsidRDefault="00593DFC" w:rsidP="00593DFC">
      <w:pPr>
        <w:pStyle w:val="Heading2"/>
      </w:pPr>
      <w:bookmarkStart w:id="114" w:name="_Toc213265652"/>
      <w:r>
        <w:t>Additional resources</w:t>
      </w:r>
      <w:bookmarkEnd w:id="114"/>
    </w:p>
    <w:p w14:paraId="54D60C8E" w14:textId="6CEC45AE" w:rsidR="00593DFC" w:rsidRPr="00F631E6" w:rsidRDefault="00593DFC" w:rsidP="00593DFC">
      <w:pPr>
        <w:rPr>
          <w:noProof/>
          <w:lang w:val="en-US"/>
        </w:rPr>
      </w:pPr>
      <w:r>
        <w:rPr>
          <w:noProof/>
          <w:lang w:val="en-US"/>
        </w:rPr>
        <w:t xml:space="preserve">The following resources may be informative to the development or implementation of specific reliance programs by a given </w:t>
      </w:r>
      <w:r w:rsidR="008475A7">
        <w:rPr>
          <w:noProof/>
          <w:lang w:val="en-US"/>
        </w:rPr>
        <w:t>RA</w:t>
      </w:r>
      <w:r>
        <w:rPr>
          <w:noProof/>
          <w:lang w:val="en-US"/>
        </w:rPr>
        <w:t>:</w:t>
      </w:r>
    </w:p>
    <w:p w14:paraId="32AC92EE" w14:textId="77777777" w:rsidR="00593DFC" w:rsidRPr="00C54D56" w:rsidRDefault="00593DFC" w:rsidP="00C54D56">
      <w:pPr>
        <w:pStyle w:val="ListParagraph"/>
        <w:numPr>
          <w:ilvl w:val="0"/>
          <w:numId w:val="7"/>
        </w:numPr>
        <w:rPr>
          <w:noProof/>
          <w:lang w:val="en-US"/>
        </w:rPr>
      </w:pPr>
      <w:r w:rsidRPr="00C54D56">
        <w:rPr>
          <w:noProof/>
          <w:lang w:val="en-US"/>
        </w:rPr>
        <w:t>IMDRF/MDSAP WG/N3 - Requirements for Medical Device Auditing Organizations for Regulatory Authority Recognition</w:t>
      </w:r>
    </w:p>
    <w:p w14:paraId="218D8B28" w14:textId="77777777" w:rsidR="00593DFC" w:rsidRPr="00C54D56" w:rsidRDefault="00593DFC" w:rsidP="00C54D56">
      <w:pPr>
        <w:pStyle w:val="ListParagraph"/>
        <w:numPr>
          <w:ilvl w:val="0"/>
          <w:numId w:val="7"/>
        </w:numPr>
        <w:rPr>
          <w:noProof/>
          <w:lang w:val="en-US"/>
        </w:rPr>
      </w:pPr>
      <w:r w:rsidRPr="00C54D56">
        <w:rPr>
          <w:noProof/>
          <w:lang w:val="en-US"/>
        </w:rPr>
        <w:t>IMDRF/NCAR WG/N14 - Medical Devices: Post-Market Surveillance: National Competent Authority Report Exchange Criteria and Report Form</w:t>
      </w:r>
    </w:p>
    <w:p w14:paraId="4E203713" w14:textId="77777777" w:rsidR="00593DFC" w:rsidRPr="00C54D56" w:rsidRDefault="00593DFC" w:rsidP="00C54D56">
      <w:pPr>
        <w:pStyle w:val="ListParagraph"/>
        <w:numPr>
          <w:ilvl w:val="0"/>
          <w:numId w:val="7"/>
        </w:numPr>
        <w:rPr>
          <w:noProof/>
          <w:lang w:val="en-US"/>
        </w:rPr>
      </w:pPr>
      <w:r w:rsidRPr="00C54D56">
        <w:rPr>
          <w:noProof/>
          <w:lang w:val="en-US"/>
        </w:rPr>
        <w:t xml:space="preserve">ANMAT 1000-MAN08 - Good Reliance Practices (GRelP) Manual </w:t>
      </w:r>
    </w:p>
    <w:p w14:paraId="44EDC0EC" w14:textId="77777777" w:rsidR="00593DFC" w:rsidRPr="00C54D56" w:rsidRDefault="00593DFC" w:rsidP="00C54D56">
      <w:pPr>
        <w:pStyle w:val="ListParagraph"/>
        <w:numPr>
          <w:ilvl w:val="0"/>
          <w:numId w:val="7"/>
        </w:numPr>
        <w:rPr>
          <w:noProof/>
          <w:lang w:val="en-US"/>
        </w:rPr>
      </w:pPr>
      <w:r w:rsidRPr="00C54D56">
        <w:rPr>
          <w:noProof/>
          <w:lang w:val="en-US"/>
        </w:rPr>
        <w:t>CECMED – 78/2023 – Regulatory Reliance Practice for all regulatory functions</w:t>
      </w:r>
    </w:p>
    <w:p w14:paraId="743A619B" w14:textId="77777777" w:rsidR="00F0191E" w:rsidRPr="00C54D56" w:rsidRDefault="00593DFC" w:rsidP="00C54D56">
      <w:pPr>
        <w:pStyle w:val="ListParagraph"/>
        <w:numPr>
          <w:ilvl w:val="0"/>
          <w:numId w:val="7"/>
        </w:numPr>
        <w:rPr>
          <w:noProof/>
          <w:lang w:val="en-US"/>
        </w:rPr>
      </w:pPr>
      <w:r w:rsidRPr="00C54D56">
        <w:rPr>
          <w:noProof/>
          <w:lang w:val="en-US"/>
        </w:rPr>
        <w:t>PAHO – Regulatory Reliance Principles: Concept Note and Recommendations</w:t>
      </w:r>
    </w:p>
    <w:p w14:paraId="0AE32111" w14:textId="20583D74" w:rsidR="00593DFC" w:rsidRPr="00C54D56" w:rsidRDefault="00593DFC" w:rsidP="00C54D56">
      <w:pPr>
        <w:pStyle w:val="ListParagraph"/>
        <w:numPr>
          <w:ilvl w:val="0"/>
          <w:numId w:val="7"/>
        </w:numPr>
        <w:rPr>
          <w:noProof/>
          <w:lang w:val="en-US"/>
        </w:rPr>
      </w:pPr>
      <w:r w:rsidRPr="00C54D56">
        <w:rPr>
          <w:noProof/>
          <w:lang w:val="en-US"/>
        </w:rPr>
        <w:t>PAHO – Reliance for Emergency Use Authorization of Medicines and Other Health Technologies in a Pandemic (e.g. COVID-19)</w:t>
      </w:r>
    </w:p>
    <w:p w14:paraId="4678444B" w14:textId="77777777" w:rsidR="00593DFC" w:rsidRDefault="00593DFC" w:rsidP="00593DFC">
      <w:pPr>
        <w:keepLines w:val="0"/>
        <w:spacing w:before="0" w:after="0" w:line="240" w:lineRule="auto"/>
        <w:rPr>
          <w:b/>
          <w:bCs/>
          <w:noProof/>
          <w:sz w:val="24"/>
        </w:rPr>
      </w:pPr>
      <w:r>
        <w:rPr>
          <w:b/>
          <w:bCs/>
          <w:noProof/>
          <w:sz w:val="24"/>
        </w:rPr>
        <w:br w:type="page"/>
      </w:r>
    </w:p>
    <w:p w14:paraId="17798455" w14:textId="43D9E160" w:rsidR="00436CC0" w:rsidRPr="00593DFC" w:rsidRDefault="00436CC0" w:rsidP="00D76E1E">
      <w:pPr>
        <w:pStyle w:val="Heading1"/>
        <w:numPr>
          <w:ilvl w:val="0"/>
          <w:numId w:val="0"/>
        </w:numPr>
        <w:rPr>
          <w:noProof/>
          <w:color w:val="1369EA" w:themeColor="accent1"/>
          <w:lang w:val="en-US"/>
        </w:rPr>
      </w:pPr>
      <w:bookmarkStart w:id="115" w:name="_Annex:_Evaluation_Questions"/>
      <w:bookmarkStart w:id="116" w:name="_Toc213265653"/>
      <w:bookmarkEnd w:id="115"/>
      <w:r w:rsidRPr="00593DFC">
        <w:rPr>
          <w:noProof/>
          <w:color w:val="1369EA" w:themeColor="accent1"/>
          <w:lang w:val="en-US"/>
        </w:rPr>
        <w:t xml:space="preserve">Annex: </w:t>
      </w:r>
      <w:r w:rsidRPr="00783DFA">
        <w:rPr>
          <w:noProof/>
          <w:lang w:val="en-US"/>
        </w:rPr>
        <w:t>Evaluation</w:t>
      </w:r>
      <w:r w:rsidR="00593DFC" w:rsidRPr="00783DFA">
        <w:rPr>
          <w:noProof/>
          <w:lang w:val="en-US"/>
        </w:rPr>
        <w:t xml:space="preserve"> </w:t>
      </w:r>
      <w:r w:rsidRPr="00783DFA">
        <w:rPr>
          <w:noProof/>
          <w:lang w:val="en-US"/>
        </w:rPr>
        <w:t>Questions for Potential Reference Regulatory Authorities</w:t>
      </w:r>
      <w:bookmarkEnd w:id="116"/>
    </w:p>
    <w:p w14:paraId="2BD66854" w14:textId="77777777" w:rsidR="00436CC0" w:rsidRPr="007F32AF" w:rsidRDefault="00436CC0" w:rsidP="00436CC0">
      <w:pPr>
        <w:jc w:val="both"/>
        <w:rPr>
          <w:szCs w:val="20"/>
        </w:rPr>
      </w:pPr>
      <w:r w:rsidRPr="007F32AF">
        <w:rPr>
          <w:szCs w:val="20"/>
        </w:rPr>
        <w:t>The following questions can help you decide whether a potential reference RA is suitable to rely on. These questions include specific considerations and resources to help you compare similarities across jurisdictions or to norms established by IMDRF or other organizations.</w:t>
      </w:r>
    </w:p>
    <w:p w14:paraId="082BEBD4" w14:textId="3CFBA457" w:rsidR="00436CC0" w:rsidRPr="007F32AF" w:rsidRDefault="00436CC0" w:rsidP="00D76E1E">
      <w:pPr>
        <w:spacing w:before="240"/>
        <w:jc w:val="both"/>
        <w:rPr>
          <w:szCs w:val="20"/>
        </w:rPr>
      </w:pPr>
      <w:r w:rsidRPr="007F32AF">
        <w:rPr>
          <w:szCs w:val="20"/>
        </w:rPr>
        <w:t>It is important to note that t</w:t>
      </w:r>
      <w:r w:rsidRPr="00276306">
        <w:rPr>
          <w:szCs w:val="20"/>
        </w:rPr>
        <w:t>his is not an exhaustive list</w:t>
      </w:r>
      <w:r w:rsidRPr="007F32AF">
        <w:rPr>
          <w:szCs w:val="20"/>
        </w:rPr>
        <w:t>,</w:t>
      </w:r>
      <w:r w:rsidRPr="00276306">
        <w:rPr>
          <w:szCs w:val="20"/>
        </w:rPr>
        <w:t xml:space="preserve"> and you may want to explore other questions and aspects relevant to regulatory activities where yo</w:t>
      </w:r>
      <w:r w:rsidRPr="007F32AF">
        <w:rPr>
          <w:szCs w:val="20"/>
        </w:rPr>
        <w:t>u a</w:t>
      </w:r>
      <w:r w:rsidRPr="00276306">
        <w:rPr>
          <w:szCs w:val="20"/>
        </w:rPr>
        <w:t xml:space="preserve">re considering reliance. </w:t>
      </w:r>
      <w:r w:rsidRPr="007F32AF">
        <w:rPr>
          <w:szCs w:val="20"/>
        </w:rPr>
        <w:t xml:space="preserve">The criteria and approaches described in these resources do not necessarily serve as benchmarks that each </w:t>
      </w:r>
      <w:r w:rsidR="00036823">
        <w:rPr>
          <w:szCs w:val="20"/>
        </w:rPr>
        <w:t>RA</w:t>
      </w:r>
      <w:r w:rsidRPr="007F32AF">
        <w:rPr>
          <w:szCs w:val="20"/>
        </w:rPr>
        <w:t xml:space="preserve"> must meet or implement.</w:t>
      </w:r>
    </w:p>
    <w:p w14:paraId="191A76E4" w14:textId="77777777" w:rsidR="00F0191E" w:rsidRPr="00036823" w:rsidRDefault="00F0191E" w:rsidP="00F0191E">
      <w:pPr>
        <w:spacing w:before="0" w:after="160" w:line="278" w:lineRule="auto"/>
        <w:jc w:val="both"/>
        <w:rPr>
          <w:b/>
          <w:bCs/>
          <w:szCs w:val="20"/>
        </w:rPr>
      </w:pPr>
    </w:p>
    <w:p w14:paraId="416D9ECC" w14:textId="41F52045" w:rsidR="00436CC0" w:rsidRPr="00890D50" w:rsidRDefault="00436CC0" w:rsidP="0085075E">
      <w:pPr>
        <w:pStyle w:val="ListParagraph"/>
        <w:numPr>
          <w:ilvl w:val="0"/>
          <w:numId w:val="41"/>
        </w:numPr>
        <w:spacing w:before="0" w:after="160" w:line="278" w:lineRule="auto"/>
        <w:jc w:val="both"/>
        <w:rPr>
          <w:b/>
          <w:bCs/>
          <w:szCs w:val="20"/>
          <w:lang w:val="en-GB"/>
        </w:rPr>
      </w:pPr>
      <w:r w:rsidRPr="00890D50">
        <w:rPr>
          <w:b/>
          <w:bCs/>
          <w:szCs w:val="20"/>
          <w:lang w:val="en-GB"/>
        </w:rPr>
        <w:t xml:space="preserve">How does the </w:t>
      </w:r>
      <w:r w:rsidR="00E172F8">
        <w:rPr>
          <w:b/>
          <w:bCs/>
          <w:szCs w:val="20"/>
          <w:lang w:val="en-GB"/>
        </w:rPr>
        <w:t xml:space="preserve">RA </w:t>
      </w:r>
      <w:r w:rsidRPr="00890D50">
        <w:rPr>
          <w:b/>
          <w:bCs/>
          <w:szCs w:val="20"/>
          <w:lang w:val="en-GB"/>
        </w:rPr>
        <w:t xml:space="preserve">define and classify medical devices? </w:t>
      </w:r>
    </w:p>
    <w:p w14:paraId="2571D193" w14:textId="77777777" w:rsidR="00436CC0" w:rsidRPr="00216943" w:rsidRDefault="00436CC0" w:rsidP="008F5613">
      <w:pPr>
        <w:pStyle w:val="ListParagraph"/>
        <w:numPr>
          <w:ilvl w:val="0"/>
          <w:numId w:val="7"/>
        </w:numPr>
        <w:rPr>
          <w:szCs w:val="20"/>
          <w:lang w:val="en-GB"/>
        </w:rPr>
      </w:pPr>
      <w:r w:rsidRPr="00216943">
        <w:rPr>
          <w:szCs w:val="20"/>
          <w:lang w:val="en-GB"/>
        </w:rPr>
        <w:t>Definition of “medical device” and related terms</w:t>
      </w:r>
    </w:p>
    <w:p w14:paraId="1A81C999" w14:textId="77777777" w:rsidR="00436CC0" w:rsidRPr="00216943" w:rsidRDefault="00436CC0" w:rsidP="000D04DD">
      <w:pPr>
        <w:pStyle w:val="ListParagraph"/>
        <w:numPr>
          <w:ilvl w:val="0"/>
          <w:numId w:val="6"/>
        </w:numPr>
        <w:spacing w:before="0" w:after="160" w:line="278" w:lineRule="auto"/>
        <w:jc w:val="both"/>
        <w:rPr>
          <w:szCs w:val="20"/>
          <w:lang w:val="en-GB"/>
        </w:rPr>
      </w:pPr>
      <w:r w:rsidRPr="00216943">
        <w:rPr>
          <w:szCs w:val="20"/>
          <w:lang w:val="en-GB"/>
        </w:rPr>
        <w:t xml:space="preserve">IMDRF/GRRP WG/N47 - </w:t>
      </w:r>
      <w:r w:rsidRPr="00216943">
        <w:rPr>
          <w:i/>
          <w:iCs/>
          <w:szCs w:val="20"/>
          <w:lang w:val="en-GB"/>
        </w:rPr>
        <w:t>Essential Principles of Safety and Performance of Medical Devices and IVD Medical Devices</w:t>
      </w:r>
    </w:p>
    <w:p w14:paraId="001FBA38" w14:textId="77777777" w:rsidR="00436CC0" w:rsidRPr="00216943" w:rsidRDefault="00436CC0" w:rsidP="008F5613">
      <w:pPr>
        <w:pStyle w:val="ListParagraph"/>
        <w:numPr>
          <w:ilvl w:val="0"/>
          <w:numId w:val="7"/>
        </w:numPr>
        <w:rPr>
          <w:szCs w:val="20"/>
          <w:lang w:val="en-GB"/>
        </w:rPr>
      </w:pPr>
      <w:r w:rsidRPr="00216943">
        <w:rPr>
          <w:szCs w:val="20"/>
          <w:lang w:val="en-GB"/>
        </w:rPr>
        <w:t>Medical device classification systems</w:t>
      </w:r>
    </w:p>
    <w:p w14:paraId="5C379C55" w14:textId="77777777" w:rsidR="00436CC0" w:rsidRPr="00216943" w:rsidRDefault="00436CC0" w:rsidP="00A52D78">
      <w:pPr>
        <w:pStyle w:val="ListParagraph"/>
        <w:numPr>
          <w:ilvl w:val="0"/>
          <w:numId w:val="6"/>
        </w:numPr>
        <w:spacing w:before="0" w:after="0" w:line="278" w:lineRule="auto"/>
        <w:jc w:val="both"/>
        <w:rPr>
          <w:szCs w:val="20"/>
          <w:lang w:val="en-GB"/>
        </w:rPr>
      </w:pPr>
      <w:r w:rsidRPr="00216943">
        <w:rPr>
          <w:szCs w:val="20"/>
          <w:lang w:val="en-GB"/>
        </w:rPr>
        <w:t xml:space="preserve">GHTF/SG1/N77 – </w:t>
      </w:r>
      <w:r w:rsidRPr="00216943">
        <w:rPr>
          <w:i/>
          <w:iCs/>
          <w:szCs w:val="20"/>
          <w:lang w:val="en-GB"/>
        </w:rPr>
        <w:t>Principles of Medical Devices Classification</w:t>
      </w:r>
    </w:p>
    <w:p w14:paraId="5C75463D" w14:textId="77777777" w:rsidR="00436CC0" w:rsidRPr="00216943" w:rsidRDefault="00436CC0" w:rsidP="00A52D78">
      <w:pPr>
        <w:pStyle w:val="ListParagraph"/>
        <w:numPr>
          <w:ilvl w:val="0"/>
          <w:numId w:val="6"/>
        </w:numPr>
        <w:spacing w:before="0" w:after="0" w:line="278" w:lineRule="auto"/>
        <w:jc w:val="both"/>
        <w:rPr>
          <w:szCs w:val="20"/>
          <w:lang w:val="en-GB"/>
        </w:rPr>
      </w:pPr>
      <w:r w:rsidRPr="00216943">
        <w:rPr>
          <w:szCs w:val="20"/>
          <w:lang w:val="en-GB"/>
        </w:rPr>
        <w:t xml:space="preserve">IMDRF/IVD WG/N64 - </w:t>
      </w:r>
      <w:r w:rsidRPr="00216943">
        <w:rPr>
          <w:i/>
          <w:iCs/>
          <w:szCs w:val="20"/>
          <w:lang w:val="en-GB"/>
        </w:rPr>
        <w:t>Principles of In Vitro Diagnostic (IVD) Medical Devices Classification</w:t>
      </w:r>
    </w:p>
    <w:p w14:paraId="1A1486D3" w14:textId="77777777" w:rsidR="00436CC0" w:rsidRPr="00216943" w:rsidRDefault="00436CC0" w:rsidP="008F5613">
      <w:pPr>
        <w:pStyle w:val="ListParagraph"/>
        <w:numPr>
          <w:ilvl w:val="0"/>
          <w:numId w:val="7"/>
        </w:numPr>
        <w:rPr>
          <w:szCs w:val="20"/>
          <w:lang w:val="en-GB"/>
        </w:rPr>
      </w:pPr>
      <w:r w:rsidRPr="00216943">
        <w:rPr>
          <w:szCs w:val="20"/>
          <w:lang w:val="en-GB"/>
        </w:rPr>
        <w:t>Regulation of medical device accessories, including definition, classification, and any special considerations</w:t>
      </w:r>
    </w:p>
    <w:p w14:paraId="2530741A" w14:textId="77777777" w:rsidR="00890D50" w:rsidRDefault="00890D50" w:rsidP="00890D50">
      <w:pPr>
        <w:spacing w:before="0" w:after="160" w:line="278" w:lineRule="auto"/>
        <w:jc w:val="both"/>
        <w:rPr>
          <w:szCs w:val="20"/>
          <w:lang w:val="en-GB"/>
        </w:rPr>
      </w:pPr>
    </w:p>
    <w:p w14:paraId="20851F60" w14:textId="2F13D253" w:rsidR="00436CC0" w:rsidRPr="0085075E" w:rsidRDefault="00436CC0" w:rsidP="0085075E">
      <w:pPr>
        <w:pStyle w:val="ListParagraph"/>
        <w:numPr>
          <w:ilvl w:val="0"/>
          <w:numId w:val="41"/>
        </w:numPr>
        <w:spacing w:before="0" w:after="160" w:line="278" w:lineRule="auto"/>
        <w:jc w:val="both"/>
        <w:rPr>
          <w:b/>
          <w:bCs/>
          <w:szCs w:val="20"/>
          <w:lang w:val="en-GB"/>
        </w:rPr>
      </w:pPr>
      <w:r w:rsidRPr="0085075E">
        <w:rPr>
          <w:b/>
          <w:bCs/>
          <w:szCs w:val="20"/>
          <w:lang w:val="en-GB"/>
        </w:rPr>
        <w:t xml:space="preserve">How does the </w:t>
      </w:r>
      <w:r w:rsidR="00E172F8">
        <w:rPr>
          <w:b/>
          <w:bCs/>
          <w:szCs w:val="20"/>
          <w:lang w:val="en-GB"/>
        </w:rPr>
        <w:t xml:space="preserve">RA </w:t>
      </w:r>
      <w:r w:rsidRPr="0085075E">
        <w:rPr>
          <w:b/>
          <w:bCs/>
          <w:szCs w:val="20"/>
          <w:lang w:val="en-GB"/>
        </w:rPr>
        <w:t>approach different levels of regulatory control and enforcement?</w:t>
      </w:r>
    </w:p>
    <w:p w14:paraId="2E116DBC" w14:textId="77777777" w:rsidR="00436CC0" w:rsidRPr="00216943" w:rsidRDefault="00436CC0" w:rsidP="008F5613">
      <w:pPr>
        <w:pStyle w:val="ListParagraph"/>
        <w:numPr>
          <w:ilvl w:val="0"/>
          <w:numId w:val="7"/>
        </w:numPr>
        <w:rPr>
          <w:szCs w:val="20"/>
          <w:lang w:val="en-GB"/>
        </w:rPr>
      </w:pPr>
      <w:r w:rsidRPr="00216943">
        <w:rPr>
          <w:szCs w:val="20"/>
          <w:lang w:val="en-GB"/>
        </w:rPr>
        <w:t>General regulatory system considerations and types of controls</w:t>
      </w:r>
    </w:p>
    <w:p w14:paraId="6DAB8030" w14:textId="77777777" w:rsidR="00436CC0" w:rsidRPr="00216943" w:rsidRDefault="00436CC0" w:rsidP="000D04DD">
      <w:pPr>
        <w:pStyle w:val="ListParagraph"/>
        <w:numPr>
          <w:ilvl w:val="0"/>
          <w:numId w:val="6"/>
        </w:numPr>
        <w:spacing w:before="0" w:after="160" w:line="278" w:lineRule="auto"/>
        <w:jc w:val="both"/>
        <w:rPr>
          <w:szCs w:val="20"/>
          <w:lang w:val="en-GB"/>
        </w:rPr>
      </w:pPr>
      <w:r w:rsidRPr="00216943">
        <w:rPr>
          <w:i/>
          <w:iCs/>
          <w:szCs w:val="20"/>
          <w:lang w:val="en-GB"/>
        </w:rPr>
        <w:t>WHO Global Model Regulatory Framework for Medical Devices including in vitro diagnostic medical devices</w:t>
      </w:r>
      <w:r w:rsidRPr="00216943">
        <w:rPr>
          <w:szCs w:val="20"/>
          <w:lang w:val="en-GB"/>
        </w:rPr>
        <w:t xml:space="preserve"> (GMRF)</w:t>
      </w:r>
    </w:p>
    <w:p w14:paraId="6761A8CC" w14:textId="77777777" w:rsidR="00436CC0" w:rsidRPr="00216943" w:rsidRDefault="00436CC0" w:rsidP="008F5613">
      <w:pPr>
        <w:pStyle w:val="ListParagraph"/>
        <w:numPr>
          <w:ilvl w:val="0"/>
          <w:numId w:val="7"/>
        </w:numPr>
        <w:rPr>
          <w:szCs w:val="20"/>
          <w:lang w:val="en-GB"/>
        </w:rPr>
      </w:pPr>
      <w:r w:rsidRPr="00216943">
        <w:rPr>
          <w:szCs w:val="20"/>
          <w:lang w:val="en-GB"/>
        </w:rPr>
        <w:t>Post-market surveillance adverse event terminology and categorization</w:t>
      </w:r>
    </w:p>
    <w:p w14:paraId="28958196" w14:textId="125DFF20"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IMDRF/AE</w:t>
      </w:r>
      <w:r w:rsidR="00262DBF">
        <w:rPr>
          <w:szCs w:val="20"/>
          <w:lang w:val="en-GB"/>
        </w:rPr>
        <w:t>T</w:t>
      </w:r>
      <w:r w:rsidRPr="00216943">
        <w:rPr>
          <w:szCs w:val="20"/>
          <w:lang w:val="en-GB"/>
        </w:rPr>
        <w:t xml:space="preserve"> WG/N43 - </w:t>
      </w:r>
      <w:r w:rsidRPr="00216943">
        <w:rPr>
          <w:i/>
          <w:iCs/>
          <w:szCs w:val="20"/>
          <w:lang w:val="en-GB"/>
        </w:rPr>
        <w:t>Terminologies for Categorized Adverse Event Reporting (AER): terms, terminology and codes</w:t>
      </w:r>
    </w:p>
    <w:p w14:paraId="0A992B6A" w14:textId="77777777"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GHTF/SG2/N54R8</w:t>
      </w:r>
      <w:r w:rsidRPr="00216943">
        <w:rPr>
          <w:rFonts w:ascii="Arial" w:hAnsi="Arial" w:cs="Arial"/>
          <w:szCs w:val="20"/>
          <w:lang w:val="en-GB"/>
        </w:rPr>
        <w:t> </w:t>
      </w:r>
      <w:r w:rsidRPr="00216943">
        <w:rPr>
          <w:szCs w:val="20"/>
          <w:lang w:val="en-GB"/>
        </w:rPr>
        <w:t xml:space="preserve">- </w:t>
      </w:r>
      <w:r w:rsidRPr="00216943">
        <w:rPr>
          <w:i/>
          <w:iCs/>
          <w:szCs w:val="20"/>
          <w:lang w:val="en-GB"/>
        </w:rPr>
        <w:t>Medical Devices Post Market Surveillance: Global Guidance for Adverse Event Reporting for Medical Devices</w:t>
      </w:r>
      <w:r w:rsidRPr="00216943">
        <w:rPr>
          <w:szCs w:val="20"/>
          <w:lang w:val="en-GB"/>
        </w:rPr>
        <w:t xml:space="preserve"> </w:t>
      </w:r>
    </w:p>
    <w:p w14:paraId="312345C5" w14:textId="181E449F" w:rsidR="00436CC0" w:rsidRPr="00216943" w:rsidRDefault="00436CC0" w:rsidP="008F5613">
      <w:pPr>
        <w:pStyle w:val="ListParagraph"/>
        <w:numPr>
          <w:ilvl w:val="0"/>
          <w:numId w:val="7"/>
        </w:numPr>
        <w:rPr>
          <w:szCs w:val="20"/>
          <w:lang w:val="en-GB"/>
        </w:rPr>
      </w:pPr>
      <w:r w:rsidRPr="00216943">
        <w:rPr>
          <w:szCs w:val="20"/>
          <w:lang w:val="en-GB"/>
        </w:rPr>
        <w:t xml:space="preserve">Management system for the </w:t>
      </w:r>
      <w:r w:rsidR="008475A7">
        <w:rPr>
          <w:szCs w:val="20"/>
          <w:lang w:val="en-GB"/>
        </w:rPr>
        <w:t>RA</w:t>
      </w:r>
    </w:p>
    <w:p w14:paraId="31385C40" w14:textId="77777777" w:rsidR="00436CC0" w:rsidRPr="00216943" w:rsidRDefault="00436CC0" w:rsidP="000D04DD">
      <w:pPr>
        <w:pStyle w:val="ListParagraph"/>
        <w:numPr>
          <w:ilvl w:val="0"/>
          <w:numId w:val="6"/>
        </w:numPr>
        <w:spacing w:before="0" w:after="160" w:line="278" w:lineRule="auto"/>
        <w:jc w:val="both"/>
        <w:rPr>
          <w:szCs w:val="20"/>
          <w:lang w:val="en-GB"/>
        </w:rPr>
      </w:pPr>
      <w:r w:rsidRPr="00216943">
        <w:rPr>
          <w:szCs w:val="20"/>
          <w:lang w:val="en-GB"/>
        </w:rPr>
        <w:t xml:space="preserve">ISO 9001 - </w:t>
      </w:r>
      <w:r w:rsidRPr="00216943">
        <w:rPr>
          <w:i/>
          <w:iCs/>
          <w:szCs w:val="20"/>
          <w:lang w:val="en-GB"/>
        </w:rPr>
        <w:t>Quality management systems — Requirements</w:t>
      </w:r>
    </w:p>
    <w:p w14:paraId="5A37DA3E" w14:textId="77777777" w:rsidR="00436CC0" w:rsidRPr="00216943" w:rsidRDefault="00436CC0" w:rsidP="008F5613">
      <w:pPr>
        <w:pStyle w:val="ListParagraph"/>
        <w:numPr>
          <w:ilvl w:val="0"/>
          <w:numId w:val="7"/>
        </w:numPr>
        <w:rPr>
          <w:szCs w:val="20"/>
          <w:lang w:val="en-GB"/>
        </w:rPr>
      </w:pPr>
      <w:r w:rsidRPr="00216943">
        <w:rPr>
          <w:szCs w:val="20"/>
          <w:lang w:val="en-GB"/>
        </w:rPr>
        <w:t>Quality management system (QMS) requirements and audit processes for medical devices and their manufacturers</w:t>
      </w:r>
    </w:p>
    <w:p w14:paraId="2BBC51F1" w14:textId="77777777"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 xml:space="preserve">ISO 13485 - </w:t>
      </w:r>
      <w:r w:rsidRPr="00216943">
        <w:rPr>
          <w:i/>
          <w:iCs/>
          <w:szCs w:val="20"/>
          <w:lang w:val="en-GB"/>
        </w:rPr>
        <w:t>Medical devices — Quality management systems — Requirements for regulatory purposes</w:t>
      </w:r>
    </w:p>
    <w:p w14:paraId="72A06716" w14:textId="2314404D"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R</w:t>
      </w:r>
      <w:r w:rsidR="00036823">
        <w:rPr>
          <w:szCs w:val="20"/>
          <w:lang w:val="en-GB"/>
        </w:rPr>
        <w:t xml:space="preserve">A </w:t>
      </w:r>
      <w:r w:rsidRPr="00216943">
        <w:rPr>
          <w:szCs w:val="20"/>
          <w:lang w:val="en-GB"/>
        </w:rPr>
        <w:t>participation in MDSAP</w:t>
      </w:r>
    </w:p>
    <w:p w14:paraId="50392C49" w14:textId="77777777" w:rsidR="0085075E" w:rsidRDefault="0085075E" w:rsidP="0085075E">
      <w:pPr>
        <w:spacing w:before="0" w:after="160" w:line="278" w:lineRule="auto"/>
        <w:jc w:val="both"/>
        <w:rPr>
          <w:szCs w:val="20"/>
          <w:lang w:val="en-GB"/>
        </w:rPr>
      </w:pPr>
    </w:p>
    <w:p w14:paraId="0E9F9D59" w14:textId="692B85E6" w:rsidR="00436CC0" w:rsidRPr="0085075E" w:rsidRDefault="00436CC0" w:rsidP="0085075E">
      <w:pPr>
        <w:pStyle w:val="ListParagraph"/>
        <w:numPr>
          <w:ilvl w:val="0"/>
          <w:numId w:val="41"/>
        </w:numPr>
        <w:spacing w:before="0" w:after="160" w:line="278" w:lineRule="auto"/>
        <w:jc w:val="both"/>
        <w:rPr>
          <w:b/>
          <w:bCs/>
          <w:szCs w:val="20"/>
          <w:lang w:val="en-GB"/>
        </w:rPr>
      </w:pPr>
      <w:r w:rsidRPr="0085075E">
        <w:rPr>
          <w:b/>
          <w:bCs/>
          <w:szCs w:val="20"/>
          <w:lang w:val="en-GB"/>
        </w:rPr>
        <w:t xml:space="preserve">For regulatory submissions (see the definition in </w:t>
      </w:r>
      <w:hyperlink w:anchor="_Regulatory_Submission:_A" w:history="1">
        <w:r w:rsidRPr="0085075E">
          <w:rPr>
            <w:rStyle w:val="Hyperlink"/>
            <w:b/>
            <w:bCs/>
            <w:szCs w:val="20"/>
            <w:lang w:val="en-GB"/>
          </w:rPr>
          <w:t>Secti</w:t>
        </w:r>
        <w:r w:rsidR="004D62DF">
          <w:rPr>
            <w:rStyle w:val="Hyperlink"/>
            <w:b/>
            <w:bCs/>
            <w:szCs w:val="20"/>
            <w:lang w:val="en-GB"/>
          </w:rPr>
          <w:t>on 3</w:t>
        </w:r>
      </w:hyperlink>
      <w:r w:rsidRPr="0085075E">
        <w:rPr>
          <w:b/>
          <w:bCs/>
          <w:szCs w:val="20"/>
          <w:lang w:val="en-GB"/>
        </w:rPr>
        <w:t>), what information is included</w:t>
      </w:r>
      <w:r w:rsidR="0085075E">
        <w:rPr>
          <w:b/>
          <w:bCs/>
          <w:szCs w:val="20"/>
          <w:lang w:val="en-GB"/>
        </w:rPr>
        <w:t>,</w:t>
      </w:r>
      <w:r w:rsidRPr="0085075E">
        <w:rPr>
          <w:b/>
          <w:bCs/>
          <w:szCs w:val="20"/>
          <w:lang w:val="en-GB"/>
        </w:rPr>
        <w:t xml:space="preserve"> and how and by whom is the information assessed?</w:t>
      </w:r>
    </w:p>
    <w:p w14:paraId="1C64179B" w14:textId="53862019" w:rsidR="00436CC0" w:rsidRPr="0085075E" w:rsidRDefault="00436CC0" w:rsidP="002F15ED">
      <w:pPr>
        <w:pStyle w:val="ListParagraph"/>
        <w:numPr>
          <w:ilvl w:val="0"/>
          <w:numId w:val="7"/>
        </w:numPr>
        <w:rPr>
          <w:szCs w:val="20"/>
          <w:lang w:val="en-GB"/>
        </w:rPr>
      </w:pPr>
      <w:r w:rsidRPr="0085075E">
        <w:rPr>
          <w:szCs w:val="20"/>
          <w:lang w:val="en-GB"/>
        </w:rPr>
        <w:t>Required contents of regulatory submissions</w:t>
      </w:r>
    </w:p>
    <w:p w14:paraId="46EA5898" w14:textId="77777777"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 xml:space="preserve">IMDRF/RPS WG/N9 - </w:t>
      </w:r>
      <w:r w:rsidRPr="00216943">
        <w:rPr>
          <w:i/>
          <w:iCs/>
          <w:szCs w:val="20"/>
          <w:lang w:val="en-GB"/>
        </w:rPr>
        <w:t>Non-In Vitro Diagnostic Device Regulatory Submission Table of Contents (nIVD ToC)</w:t>
      </w:r>
    </w:p>
    <w:p w14:paraId="27559D68" w14:textId="77777777"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 xml:space="preserve">IMDRF/RPS WG/N13 - </w:t>
      </w:r>
      <w:r w:rsidRPr="00216943">
        <w:rPr>
          <w:i/>
          <w:iCs/>
          <w:szCs w:val="20"/>
          <w:lang w:val="en-GB"/>
        </w:rPr>
        <w:t>In Vitro Diagnostic Medical Device Regulatory Submission Table of Contents (IVD ToC)</w:t>
      </w:r>
    </w:p>
    <w:p w14:paraId="632ECA4F" w14:textId="77777777"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 xml:space="preserve">IMDRF/GRRP WG/N47 - </w:t>
      </w:r>
      <w:r w:rsidRPr="00216943">
        <w:rPr>
          <w:i/>
          <w:iCs/>
          <w:szCs w:val="20"/>
          <w:lang w:val="en-GB"/>
        </w:rPr>
        <w:t>Essential Principles of Safety and Performance of Medical Devices and IVD Medical Devices</w:t>
      </w:r>
    </w:p>
    <w:p w14:paraId="15141CA8" w14:textId="77777777"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 xml:space="preserve">IMDRF/GRRP WG/N52 - </w:t>
      </w:r>
      <w:r w:rsidRPr="00216943">
        <w:rPr>
          <w:i/>
          <w:iCs/>
          <w:szCs w:val="20"/>
          <w:lang w:val="en-GB"/>
        </w:rPr>
        <w:t>Principles of Labeling for Medical Devices and IVD Medical Devices</w:t>
      </w:r>
    </w:p>
    <w:p w14:paraId="3F9C1859" w14:textId="6FBD860C" w:rsidR="00436CC0" w:rsidRPr="00216943" w:rsidRDefault="00436CC0" w:rsidP="002F15ED">
      <w:pPr>
        <w:pStyle w:val="ListParagraph"/>
        <w:numPr>
          <w:ilvl w:val="0"/>
          <w:numId w:val="7"/>
        </w:numPr>
        <w:rPr>
          <w:szCs w:val="20"/>
          <w:lang w:val="en-GB"/>
        </w:rPr>
      </w:pPr>
      <w:r w:rsidRPr="00216943">
        <w:rPr>
          <w:szCs w:val="20"/>
          <w:lang w:val="en-GB"/>
        </w:rPr>
        <w:t xml:space="preserve">Regulatory review process </w:t>
      </w:r>
    </w:p>
    <w:p w14:paraId="625ED477" w14:textId="77777777" w:rsidR="00436CC0" w:rsidRPr="00216943" w:rsidRDefault="00436CC0" w:rsidP="00C33DF0">
      <w:pPr>
        <w:pStyle w:val="ListParagraph"/>
        <w:numPr>
          <w:ilvl w:val="0"/>
          <w:numId w:val="6"/>
        </w:numPr>
        <w:spacing w:before="0" w:after="0" w:line="278" w:lineRule="auto"/>
        <w:jc w:val="both"/>
        <w:rPr>
          <w:i/>
          <w:iCs/>
          <w:szCs w:val="20"/>
          <w:lang w:val="en-GB"/>
        </w:rPr>
      </w:pPr>
      <w:r w:rsidRPr="00216943">
        <w:rPr>
          <w:szCs w:val="20"/>
          <w:lang w:val="en-GB"/>
        </w:rPr>
        <w:t xml:space="preserve">IMDRF/GRRP WG/N40 - </w:t>
      </w:r>
      <w:r w:rsidRPr="00216943">
        <w:rPr>
          <w:i/>
          <w:iCs/>
          <w:szCs w:val="20"/>
          <w:lang w:val="en-GB"/>
        </w:rPr>
        <w:t>Competence, Training, and Conduct Requirements for Regulatory Reviewers</w:t>
      </w:r>
    </w:p>
    <w:p w14:paraId="6B09B3AB" w14:textId="77777777" w:rsidR="00436CC0" w:rsidRPr="00216943" w:rsidRDefault="00436CC0" w:rsidP="00C33DF0">
      <w:pPr>
        <w:pStyle w:val="ListParagraph"/>
        <w:numPr>
          <w:ilvl w:val="0"/>
          <w:numId w:val="6"/>
        </w:numPr>
        <w:spacing w:before="0" w:after="0" w:line="278" w:lineRule="auto"/>
        <w:jc w:val="both"/>
        <w:rPr>
          <w:szCs w:val="20"/>
          <w:lang w:val="en-GB"/>
        </w:rPr>
      </w:pPr>
      <w:r w:rsidRPr="00216943">
        <w:rPr>
          <w:szCs w:val="20"/>
          <w:lang w:val="en-GB"/>
        </w:rPr>
        <w:t xml:space="preserve">IMDRF/GRRP WG/N71 - </w:t>
      </w:r>
      <w:r w:rsidRPr="00216943">
        <w:rPr>
          <w:i/>
          <w:iCs/>
          <w:szCs w:val="20"/>
          <w:lang w:val="en-GB"/>
        </w:rPr>
        <w:t>Medical Device Regulatory Review Report: Guidance Regarding Information to be Included</w:t>
      </w:r>
    </w:p>
    <w:p w14:paraId="6E3E8A2C" w14:textId="0ABE8FED" w:rsidR="00436CC0" w:rsidRPr="00216943" w:rsidRDefault="00436CC0" w:rsidP="002F15ED">
      <w:pPr>
        <w:pStyle w:val="ListParagraph"/>
        <w:numPr>
          <w:ilvl w:val="0"/>
          <w:numId w:val="7"/>
        </w:numPr>
        <w:rPr>
          <w:szCs w:val="20"/>
          <w:lang w:val="en-GB"/>
        </w:rPr>
      </w:pPr>
      <w:r w:rsidRPr="00216943">
        <w:rPr>
          <w:szCs w:val="20"/>
          <w:lang w:val="en-GB"/>
        </w:rPr>
        <w:t>Any specific requirements for testing (e.g.</w:t>
      </w:r>
      <w:r w:rsidR="00BA65DC">
        <w:rPr>
          <w:szCs w:val="20"/>
          <w:lang w:val="en-GB"/>
        </w:rPr>
        <w:t>,</w:t>
      </w:r>
      <w:r w:rsidRPr="00216943">
        <w:rPr>
          <w:szCs w:val="20"/>
          <w:lang w:val="en-GB"/>
        </w:rPr>
        <w:t xml:space="preserve"> from accredited centers)</w:t>
      </w:r>
    </w:p>
    <w:p w14:paraId="3A8EED26" w14:textId="77777777" w:rsidR="0085075E" w:rsidRDefault="0085075E" w:rsidP="0085075E">
      <w:pPr>
        <w:pStyle w:val="ListParagraph"/>
        <w:spacing w:before="0" w:after="160" w:line="278" w:lineRule="auto"/>
        <w:ind w:left="360"/>
        <w:jc w:val="both"/>
        <w:rPr>
          <w:szCs w:val="20"/>
          <w:lang w:val="en-GB"/>
        </w:rPr>
      </w:pPr>
    </w:p>
    <w:p w14:paraId="7047BF47" w14:textId="024BCC91" w:rsidR="00436CC0" w:rsidRPr="008F5613" w:rsidRDefault="00436CC0" w:rsidP="0085075E">
      <w:pPr>
        <w:pStyle w:val="ListParagraph"/>
        <w:numPr>
          <w:ilvl w:val="0"/>
          <w:numId w:val="41"/>
        </w:numPr>
        <w:spacing w:before="0" w:after="160" w:line="278" w:lineRule="auto"/>
        <w:jc w:val="both"/>
        <w:rPr>
          <w:b/>
          <w:bCs/>
          <w:szCs w:val="20"/>
          <w:lang w:val="en-GB"/>
        </w:rPr>
      </w:pPr>
      <w:r w:rsidRPr="008F5613">
        <w:rPr>
          <w:b/>
          <w:bCs/>
          <w:szCs w:val="20"/>
          <w:lang w:val="en-GB"/>
        </w:rPr>
        <w:t xml:space="preserve">How does the </w:t>
      </w:r>
      <w:r w:rsidR="00E172F8">
        <w:rPr>
          <w:b/>
          <w:bCs/>
          <w:szCs w:val="20"/>
          <w:lang w:val="en-GB"/>
        </w:rPr>
        <w:t xml:space="preserve">RA </w:t>
      </w:r>
      <w:r w:rsidRPr="008F5613">
        <w:rPr>
          <w:b/>
          <w:bCs/>
          <w:szCs w:val="20"/>
          <w:lang w:val="en-GB"/>
        </w:rPr>
        <w:t>communicate its decisions (e.g., at what frequency and to what level of detail, is information publicly available)?</w:t>
      </w:r>
    </w:p>
    <w:p w14:paraId="0B820C65" w14:textId="77DFA946" w:rsidR="00436CC0" w:rsidRPr="00BA65DC" w:rsidRDefault="00436CC0" w:rsidP="00D76E1E">
      <w:pPr>
        <w:ind w:left="360"/>
        <w:jc w:val="both"/>
        <w:rPr>
          <w:szCs w:val="20"/>
        </w:rPr>
      </w:pPr>
      <w:r w:rsidRPr="00BA65DC">
        <w:rPr>
          <w:szCs w:val="20"/>
          <w:lang w:val="en-GB"/>
        </w:rPr>
        <w:t>Many</w:t>
      </w:r>
      <w:r w:rsidRPr="00BA65DC">
        <w:rPr>
          <w:szCs w:val="20"/>
        </w:rPr>
        <w:t xml:space="preserve"> </w:t>
      </w:r>
      <w:r w:rsidR="008541B6">
        <w:rPr>
          <w:szCs w:val="20"/>
        </w:rPr>
        <w:t>RAs</w:t>
      </w:r>
      <w:r w:rsidRPr="00BA65DC">
        <w:rPr>
          <w:szCs w:val="20"/>
        </w:rPr>
        <w:t xml:space="preserve"> post information about their decisions on publicly accessible websites. Depending on the current level of transparency and the amount of detailed information</w:t>
      </w:r>
      <w:r w:rsidR="008541B6">
        <w:rPr>
          <w:szCs w:val="20"/>
        </w:rPr>
        <w:t xml:space="preserve"> you need,</w:t>
      </w:r>
      <w:r w:rsidRPr="00BA65DC">
        <w:rPr>
          <w:szCs w:val="20"/>
        </w:rPr>
        <w:t xml:space="preserve"> the two jurisdictions may wish to consider agreements to allow for confidential exchange of information on certain topics (see </w:t>
      </w:r>
      <w:hyperlink w:anchor="_Assessing_agreements_between_1" w:history="1">
        <w:r w:rsidRPr="00BA65DC">
          <w:rPr>
            <w:rStyle w:val="Hyperlink"/>
            <w:szCs w:val="20"/>
          </w:rPr>
          <w:t xml:space="preserve">Section </w:t>
        </w:r>
        <w:r w:rsidR="0045440B" w:rsidRPr="00783DFA">
          <w:rPr>
            <w:rStyle w:val="Hyperlink"/>
          </w:rPr>
          <w:t>5</w:t>
        </w:r>
        <w:r w:rsidRPr="00783DFA">
          <w:rPr>
            <w:rStyle w:val="Hyperlink"/>
          </w:rPr>
          <w:t>.5</w:t>
        </w:r>
      </w:hyperlink>
      <w:r w:rsidRPr="00BA65DC">
        <w:rPr>
          <w:szCs w:val="20"/>
        </w:rPr>
        <w:t xml:space="preserve">).  </w:t>
      </w:r>
    </w:p>
    <w:p w14:paraId="17C3DBB4" w14:textId="77777777" w:rsidR="002F15ED" w:rsidRPr="008F5613" w:rsidRDefault="002F15ED" w:rsidP="002F15ED">
      <w:pPr>
        <w:pStyle w:val="ListParagraph"/>
        <w:ind w:left="360"/>
        <w:rPr>
          <w:szCs w:val="20"/>
        </w:rPr>
      </w:pPr>
    </w:p>
    <w:p w14:paraId="17222D13" w14:textId="78242197" w:rsidR="00436CC0" w:rsidRPr="008F5613" w:rsidRDefault="00436CC0" w:rsidP="0085075E">
      <w:pPr>
        <w:pStyle w:val="ListParagraph"/>
        <w:numPr>
          <w:ilvl w:val="0"/>
          <w:numId w:val="41"/>
        </w:numPr>
        <w:spacing w:before="0" w:after="160" w:line="278" w:lineRule="auto"/>
        <w:jc w:val="both"/>
        <w:rPr>
          <w:b/>
          <w:bCs/>
        </w:rPr>
      </w:pPr>
      <w:r w:rsidRPr="008F5613">
        <w:rPr>
          <w:b/>
          <w:bCs/>
        </w:rPr>
        <w:t xml:space="preserve">Are there any other factors that could impact the success of </w:t>
      </w:r>
      <w:r w:rsidR="005E5D6C">
        <w:rPr>
          <w:b/>
          <w:bCs/>
        </w:rPr>
        <w:t>your</w:t>
      </w:r>
      <w:r w:rsidRPr="008F5613">
        <w:rPr>
          <w:b/>
          <w:bCs/>
        </w:rPr>
        <w:t xml:space="preserve"> reliance program? </w:t>
      </w:r>
    </w:p>
    <w:p w14:paraId="67BB7A6D" w14:textId="77777777" w:rsidR="008F5613" w:rsidRPr="002F15ED" w:rsidRDefault="00436CC0" w:rsidP="002F15ED">
      <w:pPr>
        <w:pStyle w:val="ListParagraph"/>
        <w:numPr>
          <w:ilvl w:val="0"/>
          <w:numId w:val="7"/>
        </w:numPr>
        <w:rPr>
          <w:szCs w:val="20"/>
        </w:rPr>
      </w:pPr>
      <w:r w:rsidRPr="002F15ED">
        <w:rPr>
          <w:szCs w:val="20"/>
        </w:rPr>
        <w:t>Legal and regulatory responsibilities of medical device manufacturers</w:t>
      </w:r>
    </w:p>
    <w:p w14:paraId="0974D682" w14:textId="77777777" w:rsidR="008F5613" w:rsidRPr="002F15ED" w:rsidRDefault="00436CC0" w:rsidP="002F15ED">
      <w:pPr>
        <w:pStyle w:val="ListParagraph"/>
        <w:numPr>
          <w:ilvl w:val="0"/>
          <w:numId w:val="7"/>
        </w:numPr>
        <w:rPr>
          <w:szCs w:val="20"/>
        </w:rPr>
      </w:pPr>
      <w:r w:rsidRPr="002F15ED">
        <w:rPr>
          <w:szCs w:val="20"/>
        </w:rPr>
        <w:t>Relevant laws involving product liability and consumer protection</w:t>
      </w:r>
    </w:p>
    <w:p w14:paraId="78972223" w14:textId="6E0283F9" w:rsidR="0066785C" w:rsidRPr="0066785C" w:rsidRDefault="00436CC0" w:rsidP="0066785C">
      <w:pPr>
        <w:pStyle w:val="ListParagraph"/>
        <w:numPr>
          <w:ilvl w:val="0"/>
          <w:numId w:val="7"/>
        </w:numPr>
        <w:rPr>
          <w:szCs w:val="20"/>
          <w:lang w:val="en-GB"/>
        </w:rPr>
      </w:pPr>
      <w:r w:rsidRPr="002F15ED">
        <w:rPr>
          <w:szCs w:val="20"/>
        </w:rPr>
        <w:t>Impact of any differences in population characteristics</w:t>
      </w:r>
      <w:r w:rsidR="00B3279F">
        <w:rPr>
          <w:szCs w:val="20"/>
        </w:rPr>
        <w:t xml:space="preserve"> </w:t>
      </w:r>
      <w:r w:rsidR="0066785C" w:rsidRPr="0066785C">
        <w:rPr>
          <w:szCs w:val="20"/>
          <w:lang w:val="en-GB"/>
        </w:rPr>
        <w:t>or other societal factors (e.g. clinical practice or device use environment)</w:t>
      </w:r>
    </w:p>
    <w:p w14:paraId="4FB7D061" w14:textId="0F96BBA7" w:rsidR="003000E3" w:rsidRDefault="00680717" w:rsidP="0050364B">
      <w:pPr>
        <w:rPr>
          <w:b/>
          <w:bCs/>
          <w:noProof/>
          <w:sz w:val="24"/>
        </w:rPr>
      </w:pPr>
      <w:r>
        <w:rPr>
          <w:noProof/>
        </w:rPr>
        <mc:AlternateContent>
          <mc:Choice Requires="wps">
            <w:drawing>
              <wp:anchor distT="0" distB="0" distL="114300" distR="114300" simplePos="0" relativeHeight="251658240" behindDoc="0" locked="0" layoutInCell="1" allowOverlap="1" wp14:anchorId="305B9FD4" wp14:editId="06E873D5">
                <wp:simplePos x="0" y="0"/>
                <wp:positionH relativeFrom="column">
                  <wp:posOffset>2540</wp:posOffset>
                </wp:positionH>
                <wp:positionV relativeFrom="paragraph">
                  <wp:posOffset>2740025</wp:posOffset>
                </wp:positionV>
                <wp:extent cx="3312160" cy="1329690"/>
                <wp:effectExtent l="0" t="0" r="2540" b="0"/>
                <wp:wrapNone/>
                <wp:docPr id="1933688692" name="Text Box 2"/>
                <wp:cNvGraphicFramePr/>
                <a:graphic xmlns:a="http://schemas.openxmlformats.org/drawingml/2006/main">
                  <a:graphicData uri="http://schemas.microsoft.com/office/word/2010/wordprocessingShape">
                    <wps:wsp>
                      <wps:cNvSpPr txBox="1"/>
                      <wps:spPr>
                        <a:xfrm>
                          <a:off x="0" y="0"/>
                          <a:ext cx="3312160" cy="1334770"/>
                        </a:xfrm>
                        <a:prstGeom prst="rect">
                          <a:avLst/>
                        </a:prstGeom>
                        <a:noFill/>
                        <a:ln w="6350">
                          <a:noFill/>
                        </a:ln>
                      </wps:spPr>
                      <wps:txbx>
                        <w:txbxContent>
                          <w:p w14:paraId="52B4B392" w14:textId="77777777" w:rsidR="00680717" w:rsidRDefault="00680717" w:rsidP="00680717">
                            <w:pPr>
                              <w:pStyle w:val="Visitourwebsite"/>
                            </w:pPr>
                            <w:r>
                              <w:t>Please visit our website for more details.</w:t>
                            </w:r>
                          </w:p>
                          <w:p w14:paraId="7959DA3A" w14:textId="77777777" w:rsidR="00680717" w:rsidRDefault="00680717" w:rsidP="00680717">
                            <w:pPr>
                              <w:pStyle w:val="URL"/>
                            </w:pPr>
                            <w:hyperlink r:id="rId10" w:history="1">
                              <w:r>
                                <w:rPr>
                                  <w:rStyle w:val="Hyperlink"/>
                                </w:rPr>
                                <w:t>www.imdrf.org</w:t>
                              </w:r>
                            </w:hyperlink>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5B9FD4" id="_x0000_t202" coordsize="21600,21600" o:spt="202" path="m,l,21600r21600,l21600,xe">
                <v:stroke joinstyle="miter"/>
                <v:path gradientshapeok="t" o:connecttype="rect"/>
              </v:shapetype>
              <v:shape id="Text Box 2" o:spid="_x0000_s1026" type="#_x0000_t202" style="position:absolute;margin-left:.2pt;margin-top:215.75pt;width:260.8pt;height:1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" filled="f" stroked="f" strokeweight=".5pt">
                <v:textbox style="mso-fit-shape-to-text:t" inset="0,0,0,0">
                  <w:txbxContent>
                    <w:p w14:paraId="52B4B392" w14:textId="77777777" w:rsidR="00680717" w:rsidRDefault="00680717" w:rsidP="00680717">
                      <w:pPr>
                        <w:pStyle w:val="Visitourwebsite"/>
                      </w:pPr>
                      <w:r>
                        <w:t>Please visit our website for more details.</w:t>
                      </w:r>
                    </w:p>
                    <w:p w14:paraId="7959DA3A" w14:textId="77777777" w:rsidR="00680717" w:rsidRDefault="00680717" w:rsidP="00680717">
                      <w:pPr>
                        <w:pStyle w:val="URL"/>
                      </w:pPr>
                      <w:hyperlink r:id="rId11" w:history="1">
                        <w:r>
                          <w:rPr>
                            <w:rStyle w:val="Hyperlink"/>
                          </w:rPr>
                          <w:t>www.imdrf.org</w:t>
                        </w:r>
                      </w:hyperlink>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460F441C" wp14:editId="7A512C91">
                <wp:simplePos x="0" y="0"/>
                <wp:positionH relativeFrom="margin">
                  <wp:align>left</wp:align>
                </wp:positionH>
                <wp:positionV relativeFrom="paragraph">
                  <wp:posOffset>5600065</wp:posOffset>
                </wp:positionV>
                <wp:extent cx="3883660" cy="2971800"/>
                <wp:effectExtent l="0" t="0" r="2540" b="12700"/>
                <wp:wrapNone/>
                <wp:docPr id="771467192" name="Text Box 1"/>
                <wp:cNvGraphicFramePr/>
                <a:graphic xmlns:a="http://schemas.openxmlformats.org/drawingml/2006/main">
                  <a:graphicData uri="http://schemas.microsoft.com/office/word/2010/wordprocessingShape">
                    <wps:wsp>
                      <wps:cNvSpPr txBox="1"/>
                      <wps:spPr>
                        <a:xfrm>
                          <a:off x="0" y="0"/>
                          <a:ext cx="3883660" cy="2978150"/>
                        </a:xfrm>
                        <a:prstGeom prst="rect">
                          <a:avLst/>
                        </a:prstGeom>
                        <a:noFill/>
                        <a:ln w="6350">
                          <a:noFill/>
                        </a:ln>
                      </wps:spPr>
                      <wps:txbx>
                        <w:txbxContent>
                          <w:p w14:paraId="6CB45212" w14:textId="77777777" w:rsidR="00680717" w:rsidRDefault="00680717" w:rsidP="00680717">
                            <w:pPr>
                              <w:pStyle w:val="DisclaimerTitle"/>
                              <w:jc w:val="both"/>
                            </w:pPr>
                            <w:r>
                              <w:t>Disclaimer</w:t>
                            </w:r>
                          </w:p>
                          <w:p w14:paraId="5CBD7EC3" w14:textId="0ED790DB" w:rsidR="00680717" w:rsidRDefault="00680717" w:rsidP="00680717">
                            <w:pPr>
                              <w:pStyle w:val="Disclaimer"/>
                              <w:jc w:val="both"/>
                            </w:pPr>
                            <w:r>
                              <w:t>© Copyright 202</w:t>
                            </w:r>
                            <w:r w:rsidR="008B5F19">
                              <w:t>6</w:t>
                            </w:r>
                            <w:r>
                              <w:t xml:space="preserve"> by the International Medical Device Regulators Forum. </w:t>
                            </w:r>
                          </w:p>
                          <w:p w14:paraId="6CB4F35A" w14:textId="7EBEDFEB" w:rsidR="00680717" w:rsidRDefault="00680717" w:rsidP="00680717">
                            <w:pPr>
                              <w:pStyle w:val="Disclaimer"/>
                              <w:jc w:val="both"/>
                            </w:pPr>
                            <w:r>
                              <w:t>This work is copyright. Subject to these Terms and Conditions, you may download, display, print, translate, modify and reproduce the whole or part of this work for your own personal use, for research, for educational purposes or, if you are part of an organ</w:t>
                            </w:r>
                            <w:r w:rsidR="00BC59C5">
                              <w:t>ization</w:t>
                            </w:r>
                            <w:r>
                              <w:t>, for internal use within your organ</w:t>
                            </w:r>
                            <w:r w:rsidR="00BC59C5">
                              <w:t>ization</w:t>
                            </w:r>
                            <w:r>
                              <w:t>, but only if you or your organ</w:t>
                            </w:r>
                            <w:r w:rsidR="00BC59C5">
                              <w:t>ization</w:t>
                            </w:r>
                            <w:r>
                              <w:t xml:space="preserve"> do not use the reproduction for any commercial purpose and retain all disclaimer notices as part of that reproduction. If you use any part of this work, you must include the following acknowledgement (delete inapplicable):</w:t>
                            </w:r>
                            <w:r w:rsidR="00E64ECF">
                              <w:t xml:space="preserve"> </w:t>
                            </w:r>
                          </w:p>
                          <w:p w14:paraId="74E8AED7" w14:textId="77777777" w:rsidR="00680717" w:rsidRDefault="00680717" w:rsidP="00680717">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1D8864B8" w14:textId="77777777" w:rsidR="00680717" w:rsidRDefault="00680717" w:rsidP="00680717">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148CAF01" w14:textId="77777777" w:rsidR="00680717" w:rsidRDefault="00680717" w:rsidP="00680717">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wps:txbx>
                      <wps:bodyPr rot="0" spcFirstLastPara="0" vertOverflow="clip" horzOverflow="clip"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0F441C" id="Text Box 1" o:spid="_x0000_s1027" type="#_x0000_t202" style="position:absolute;margin-left:0;margin-top:440.95pt;width:305.8pt;height:23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" filled="f" stroked="f" strokeweight=".5pt">
                <v:textbox style="mso-fit-shape-to-text:t" inset="0,0,0,0">
                  <w:txbxContent>
                    <w:p w14:paraId="6CB45212" w14:textId="77777777" w:rsidR="00680717" w:rsidRDefault="00680717" w:rsidP="00680717">
                      <w:pPr>
                        <w:pStyle w:val="DisclaimerTitle"/>
                        <w:jc w:val="both"/>
                      </w:pPr>
                      <w:r>
                        <w:t>Disclaimer</w:t>
                      </w:r>
                    </w:p>
                    <w:p w14:paraId="5CBD7EC3" w14:textId="0ED790DB" w:rsidR="00680717" w:rsidRDefault="00680717" w:rsidP="00680717">
                      <w:pPr>
                        <w:pStyle w:val="Disclaimer"/>
                        <w:jc w:val="both"/>
                      </w:pPr>
                      <w:r>
                        <w:t>© Copyright 202</w:t>
                      </w:r>
                      <w:r w:rsidR="008B5F19">
                        <w:t>6</w:t>
                      </w:r>
                      <w:r>
                        <w:t xml:space="preserve"> by the International Medical Device Regulators Forum. </w:t>
                      </w:r>
                    </w:p>
                    <w:p w14:paraId="6CB4F35A" w14:textId="7EBEDFEB" w:rsidR="00680717" w:rsidRDefault="00680717" w:rsidP="00680717">
                      <w:pPr>
                        <w:pStyle w:val="Disclaimer"/>
                        <w:jc w:val="both"/>
                      </w:pPr>
                      <w:r>
                        <w:t>This work is copyright. Subject to these Terms and Conditions, you may download, display, print, translate, modify and reproduce the whole or part of this work for your own personal use, for research, for educational purposes or, if you are part of an organ</w:t>
                      </w:r>
                      <w:r w:rsidR="00BC59C5">
                        <w:t>ization</w:t>
                      </w:r>
                      <w:r>
                        <w:t>, for internal use within your organ</w:t>
                      </w:r>
                      <w:r w:rsidR="00BC59C5">
                        <w:t>ization</w:t>
                      </w:r>
                      <w:r>
                        <w:t>, but only if you or your organ</w:t>
                      </w:r>
                      <w:r w:rsidR="00BC59C5">
                        <w:t>ization</w:t>
                      </w:r>
                      <w:r>
                        <w:t xml:space="preserve"> do not use the reproduction for any commercial purpose and retain all disclaimer notices as part of that reproduction. If you use any part of this work, you must include the following acknowledgement (delete inapplicable):</w:t>
                      </w:r>
                      <w:r w:rsidR="00E64ECF">
                        <w:t xml:space="preserve"> </w:t>
                      </w:r>
                    </w:p>
                    <w:p w14:paraId="74E8AED7" w14:textId="77777777" w:rsidR="00680717" w:rsidRDefault="00680717" w:rsidP="00680717">
                      <w:pPr>
                        <w:pStyle w:val="Disclaimer"/>
                        <w:jc w:val="both"/>
                      </w:pPr>
                      <w:r>
                        <w:t xml:space="preserve">“[Translated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 </w:t>
                      </w:r>
                    </w:p>
                    <w:p w14:paraId="1D8864B8" w14:textId="77777777" w:rsidR="00680717" w:rsidRDefault="00680717" w:rsidP="00680717">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148CAF01" w14:textId="77777777" w:rsidR="00680717" w:rsidRDefault="00680717" w:rsidP="00680717">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v:textbox>
                <w10:wrap anchorx="margin"/>
              </v:shape>
            </w:pict>
          </mc:Fallback>
        </mc:AlternateContent>
      </w:r>
    </w:p>
    <w:p w14:paraId="61ED6AF6" w14:textId="77777777" w:rsidR="003000E3" w:rsidRDefault="003000E3">
      <w:pPr>
        <w:keepLines w:val="0"/>
        <w:spacing w:before="0" w:after="0" w:line="240" w:lineRule="auto"/>
        <w:rPr>
          <w:b/>
          <w:bCs/>
          <w:noProof/>
          <w:sz w:val="24"/>
        </w:rPr>
      </w:pPr>
      <w:r>
        <w:rPr>
          <w:b/>
          <w:bCs/>
          <w:noProof/>
          <w:sz w:val="24"/>
        </w:rPr>
        <w:br w:type="page"/>
      </w:r>
    </w:p>
    <w:p w14:paraId="7C717FEB" w14:textId="77777777" w:rsidR="00DB7B8F" w:rsidRDefault="00DB7B8F" w:rsidP="0050364B">
      <w:pPr>
        <w:rPr>
          <w:szCs w:val="20"/>
          <w:lang w:val="en-GB"/>
        </w:rPr>
      </w:pPr>
    </w:p>
    <w:p w14:paraId="0251407A" w14:textId="3EC1BD32" w:rsidR="007067FE" w:rsidRPr="0050364B" w:rsidRDefault="00524BE5" w:rsidP="0050364B">
      <w:pPr>
        <w:rPr>
          <w:szCs w:val="20"/>
          <w:lang w:val="en-GB"/>
        </w:rPr>
      </w:pPr>
      <w:r>
        <w:rPr>
          <w:noProof/>
        </w:rPr>
        <mc:AlternateContent>
          <mc:Choice Requires="wps">
            <w:drawing>
              <wp:anchor distT="0" distB="0" distL="114300" distR="114300" simplePos="0" relativeHeight="251658243" behindDoc="0" locked="0" layoutInCell="1" allowOverlap="1" wp14:anchorId="2983ED73" wp14:editId="29B8DF65">
                <wp:simplePos x="0" y="0"/>
                <wp:positionH relativeFrom="margin">
                  <wp:align>right</wp:align>
                </wp:positionH>
                <wp:positionV relativeFrom="paragraph">
                  <wp:posOffset>5281930</wp:posOffset>
                </wp:positionV>
                <wp:extent cx="4845050" cy="3003550"/>
                <wp:effectExtent l="0" t="0" r="12700" b="6350"/>
                <wp:wrapNone/>
                <wp:docPr id="1036352722" name="Text Box 1"/>
                <wp:cNvGraphicFramePr/>
                <a:graphic xmlns:a="http://schemas.openxmlformats.org/drawingml/2006/main">
                  <a:graphicData uri="http://schemas.microsoft.com/office/word/2010/wordprocessingShape">
                    <wps:wsp>
                      <wps:cNvSpPr txBox="1"/>
                      <wps:spPr>
                        <a:xfrm>
                          <a:off x="0" y="0"/>
                          <a:ext cx="4845050" cy="3003550"/>
                        </a:xfrm>
                        <a:prstGeom prst="rect">
                          <a:avLst/>
                        </a:prstGeom>
                        <a:noFill/>
                        <a:ln w="6350">
                          <a:noFill/>
                        </a:ln>
                      </wps:spPr>
                      <wps:txbx>
                        <w:txbxContent>
                          <w:p w14:paraId="6EA2F130" w14:textId="77777777" w:rsidR="00524BE5" w:rsidRDefault="00524BE5" w:rsidP="00FB6CD4">
                            <w:pPr>
                              <w:pStyle w:val="DisclaimerTitle"/>
                              <w:jc w:val="both"/>
                            </w:pPr>
                            <w:r>
                              <w:t>Disclaimer</w:t>
                            </w:r>
                          </w:p>
                          <w:p w14:paraId="7C0B9DF8" w14:textId="77BFFB9E" w:rsidR="00524BE5" w:rsidRDefault="00524BE5" w:rsidP="00FB6CD4">
                            <w:pPr>
                              <w:pStyle w:val="Disclaimer"/>
                              <w:jc w:val="both"/>
                            </w:pPr>
                            <w:r>
                              <w:t>© Copyright 2026 by the International Medical Device Regulators Forum.</w:t>
                            </w:r>
                          </w:p>
                          <w:p w14:paraId="64B823B6" w14:textId="1B24C779" w:rsidR="00524BE5" w:rsidRDefault="00524BE5" w:rsidP="00FB6CD4">
                            <w:pPr>
                              <w:pStyle w:val="Disclaimer"/>
                              <w:jc w:val="both"/>
                            </w:pPr>
                            <w:r>
                              <w:t>This work is copyright. Subject to these Terms and Conditions, you may download, display, print, translate, modify and reproduce the whole or part of this work for your own personal use, for research, for educational purposes or, if you are part of an organization, for internal use within your organization, but only if you or your organization do not use the reproduction for any commercial purpose and retain all disclaimer notices as part of that reproduction. If you use any part of this work, you must include the following acknowledgement (delete inapplicable):</w:t>
                            </w:r>
                          </w:p>
                          <w:p w14:paraId="073ED742" w14:textId="6D053629" w:rsidR="00524BE5" w:rsidRDefault="00524BE5" w:rsidP="00FB6CD4">
                            <w:pPr>
                              <w:pStyle w:val="Disclaimer"/>
                              <w:jc w:val="both"/>
                            </w:pPr>
                            <w:r>
                              <w:t>“[Translated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w:t>
                            </w:r>
                          </w:p>
                          <w:p w14:paraId="10D4C629" w14:textId="7BFBAE7D" w:rsidR="00524BE5" w:rsidRDefault="00524BE5" w:rsidP="00FB6CD4">
                            <w:pPr>
                              <w:pStyle w:val="Disclaimer"/>
                              <w:jc w:val="both"/>
                            </w:pPr>
                            <w:r>
                              <w:t>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w:t>
                            </w:r>
                          </w:p>
                          <w:p w14:paraId="4DC2DBCD" w14:textId="0161EB53" w:rsidR="00524BE5" w:rsidRDefault="00524BE5" w:rsidP="00FB6CD4">
                            <w:pPr>
                              <w:pStyle w:val="Disclaimer"/>
                              <w:jc w:val="both"/>
                            </w:pPr>
                            <w:r>
                              <w:t>Incorporation of this document, in part or in whole, into another document, or its translation into languages other than English, does not convey or represent an endorsement of any kind by the IMDRF.</w:t>
                            </w:r>
                          </w:p>
                        </w:txbxContent>
                      </wps:txbx>
                      <wps:bodyPr rot="0" spcFirstLastPara="0" vertOverflow="clip" horzOverflow="clip"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3ED73" id="_x0000_s1028" type="#_x0000_t202" style="position:absolute;margin-left:330.3pt;margin-top:415.9pt;width:381.5pt;height:236.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" filled="f" stroked="f" strokeweight=".5pt">
                <v:textbox inset="0,0,0,0">
                  <w:txbxContent>
                    <w:p w14:paraId="6EA2F130" w14:textId="77777777" w:rsidR="00524BE5" w:rsidRDefault="00524BE5" w:rsidP="00FB6CD4">
                      <w:pPr>
                        <w:pStyle w:val="DisclaimerTitle"/>
                        <w:jc w:val="both"/>
                      </w:pPr>
                      <w:r>
                        <w:t>Disclaimer</w:t>
                      </w:r>
                    </w:p>
                    <w:p w14:paraId="7C0B9DF8" w14:textId="77BFFB9E" w:rsidR="00524BE5" w:rsidRDefault="00524BE5" w:rsidP="00FB6CD4">
                      <w:pPr>
                        <w:pStyle w:val="Disclaimer"/>
                        <w:jc w:val="both"/>
                      </w:pPr>
                      <w:r>
                        <w:t>© Copyright 2026 by the International Medical Device Regulators Forum.</w:t>
                      </w:r>
                    </w:p>
                    <w:p w14:paraId="64B823B6" w14:textId="1B24C779" w:rsidR="00524BE5" w:rsidRDefault="00524BE5" w:rsidP="00FB6CD4">
                      <w:pPr>
                        <w:pStyle w:val="Disclaimer"/>
                        <w:jc w:val="both"/>
                      </w:pPr>
                      <w:r>
                        <w:t>This work is copyright. Subject to these Terms and Conditions, you may download, display, print, translate, modify and reproduce the whole or part of this work for your own personal use, for research, for educational purposes or, if you are part of an organization, for internal use within your organization, but only if you or your organization do not use the reproduction for any commercial purpose and retain all disclaimer notices as part of that reproduction. If you use any part of this work, you must include the following acknowledgement (delete inapplicable):</w:t>
                      </w:r>
                    </w:p>
                    <w:p w14:paraId="073ED742" w14:textId="6D053629" w:rsidR="00524BE5" w:rsidRDefault="00524BE5" w:rsidP="00FB6CD4">
                      <w:pPr>
                        <w:pStyle w:val="Disclaimer"/>
                        <w:jc w:val="both"/>
                      </w:pPr>
                      <w:r>
                        <w:t>“[Translated or adapted] from [insert name of publication], [year of publication], International Medical Device Regulators Forum, used with the permission of the International Medical Device Regulators Forum. The International Medical Device Regulators Forum is not responsible for the content or accuracy of this [adaption/translation].”</w:t>
                      </w:r>
                    </w:p>
                    <w:p w14:paraId="10D4C629" w14:textId="7BFBAE7D" w:rsidR="00524BE5" w:rsidRDefault="00524BE5" w:rsidP="00FB6CD4">
                      <w:pPr>
                        <w:pStyle w:val="Disclaimer"/>
                        <w:jc w:val="both"/>
                      </w:pPr>
                      <w:r>
                        <w:t>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w:t>
                      </w:r>
                    </w:p>
                    <w:p w14:paraId="4DC2DBCD" w14:textId="0161EB53" w:rsidR="00524BE5" w:rsidRDefault="00524BE5" w:rsidP="00FB6CD4">
                      <w:pPr>
                        <w:pStyle w:val="Disclaimer"/>
                        <w:jc w:val="both"/>
                      </w:pPr>
                      <w:r>
                        <w:t>Incorporation of this document, in part or in whole, into another document, or its translation into languages other than English, does not convey or represent an endorsement of any kind by the IMDRF.</w:t>
                      </w:r>
                    </w:p>
                  </w:txbxContent>
                </v:textbox>
                <w10:wrap anchorx="margin"/>
              </v:shape>
            </w:pict>
          </mc:Fallback>
        </mc:AlternateContent>
      </w:r>
      <w:r w:rsidR="007067FE">
        <w:rPr>
          <w:noProof/>
        </w:rPr>
        <mc:AlternateContent>
          <mc:Choice Requires="wps">
            <w:drawing>
              <wp:anchor distT="0" distB="0" distL="114300" distR="114300" simplePos="0" relativeHeight="251658242" behindDoc="0" locked="0" layoutInCell="1" allowOverlap="1" wp14:anchorId="6A23B4CD" wp14:editId="1C5E70BA">
                <wp:simplePos x="0" y="0"/>
                <wp:positionH relativeFrom="margin">
                  <wp:align>left</wp:align>
                </wp:positionH>
                <wp:positionV relativeFrom="paragraph">
                  <wp:posOffset>1550670</wp:posOffset>
                </wp:positionV>
                <wp:extent cx="3312160" cy="1329690"/>
                <wp:effectExtent l="0" t="0" r="2540" b="0"/>
                <wp:wrapNone/>
                <wp:docPr id="1556628999" name="Text Box 2"/>
                <wp:cNvGraphicFramePr/>
                <a:graphic xmlns:a="http://schemas.openxmlformats.org/drawingml/2006/main">
                  <a:graphicData uri="http://schemas.microsoft.com/office/word/2010/wordprocessingShape">
                    <wps:wsp>
                      <wps:cNvSpPr txBox="1"/>
                      <wps:spPr>
                        <a:xfrm>
                          <a:off x="0" y="0"/>
                          <a:ext cx="3312160" cy="1329690"/>
                        </a:xfrm>
                        <a:prstGeom prst="rect">
                          <a:avLst/>
                        </a:prstGeom>
                        <a:noFill/>
                        <a:ln w="6350">
                          <a:noFill/>
                        </a:ln>
                      </wps:spPr>
                      <wps:txbx>
                        <w:txbxContent>
                          <w:p w14:paraId="4549FBA1" w14:textId="77777777" w:rsidR="007067FE" w:rsidRDefault="007067FE" w:rsidP="007067FE">
                            <w:pPr>
                              <w:pStyle w:val="Visitourwebsite"/>
                            </w:pPr>
                            <w:r>
                              <w:t>Please visit our website for more details.</w:t>
                            </w:r>
                          </w:p>
                          <w:p w14:paraId="42473325" w14:textId="77777777" w:rsidR="007067FE" w:rsidRDefault="007067FE" w:rsidP="007067FE">
                            <w:pPr>
                              <w:pStyle w:val="URL"/>
                            </w:pPr>
                            <w:hyperlink r:id="rId12" w:history="1">
                              <w:r>
                                <w:rPr>
                                  <w:rStyle w:val="Hyperlink"/>
                                </w:rPr>
                                <w:t>www.imdrf.org</w:t>
                              </w:r>
                            </w:hyperlink>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23B4CD" id="_x0000_s1029" type="#_x0000_t202" style="position:absolute;margin-left:0;margin-top:122.1pt;width:260.8pt;height:104.7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" filled="f" stroked="f" strokeweight=".5pt">
                <v:textbox style="mso-fit-shape-to-text:t" inset="0,0,0,0">
                  <w:txbxContent>
                    <w:p w14:paraId="4549FBA1" w14:textId="77777777" w:rsidR="007067FE" w:rsidRDefault="007067FE" w:rsidP="007067FE">
                      <w:pPr>
                        <w:pStyle w:val="Visitourwebsite"/>
                      </w:pPr>
                      <w:r>
                        <w:t>Please visit our website for more details.</w:t>
                      </w:r>
                    </w:p>
                    <w:p w14:paraId="42473325" w14:textId="77777777" w:rsidR="007067FE" w:rsidRDefault="007067FE" w:rsidP="007067FE">
                      <w:pPr>
                        <w:pStyle w:val="URL"/>
                      </w:pPr>
                      <w:hyperlink r:id="rId13" w:history="1">
                        <w:r>
                          <w:rPr>
                            <w:rStyle w:val="Hyperlink"/>
                          </w:rPr>
                          <w:t>www.imdrf.org</w:t>
                        </w:r>
                      </w:hyperlink>
                    </w:p>
                  </w:txbxContent>
                </v:textbox>
                <w10:wrap anchorx="margin"/>
              </v:shape>
            </w:pict>
          </mc:Fallback>
        </mc:AlternateContent>
      </w:r>
    </w:p>
    <w:sectPr w:rsidR="007067FE" w:rsidRPr="0050364B" w:rsidSect="00FD238E">
      <w:headerReference w:type="default" r:id="rId14"/>
      <w:footerReference w:type="default" r:id="rId15"/>
      <w:headerReference w:type="first" r:id="rId16"/>
      <w:footerReference w:type="first" r:id="rId17"/>
      <w:pgSz w:w="11900" w:h="16840"/>
      <w:pgMar w:top="1985" w:right="3402" w:bottom="1418"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E98B" w14:textId="77777777" w:rsidR="00ED4ADB" w:rsidRDefault="00ED4ADB" w:rsidP="00F23AD7">
      <w:pPr>
        <w:spacing w:before="0" w:after="0" w:line="240" w:lineRule="auto"/>
      </w:pPr>
      <w:r>
        <w:separator/>
      </w:r>
    </w:p>
  </w:endnote>
  <w:endnote w:type="continuationSeparator" w:id="0">
    <w:p w14:paraId="36CC8D2C" w14:textId="77777777" w:rsidR="00ED4ADB" w:rsidRDefault="00ED4ADB" w:rsidP="00F23AD7">
      <w:pPr>
        <w:spacing w:before="0" w:after="0" w:line="240" w:lineRule="auto"/>
      </w:pPr>
      <w:r>
        <w:continuationSeparator/>
      </w:r>
    </w:p>
  </w:endnote>
  <w:endnote w:type="continuationNotice" w:id="1">
    <w:p w14:paraId="103AC366" w14:textId="77777777" w:rsidR="00ED4ADB" w:rsidRDefault="00ED4A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dy C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58644"/>
      <w:docPartObj>
        <w:docPartGallery w:val="Page Numbers (Bottom of Page)"/>
        <w:docPartUnique/>
      </w:docPartObj>
    </w:sdtPr>
    <w:sdtEndPr>
      <w:rPr>
        <w:noProof/>
      </w:rPr>
    </w:sdtEndPr>
    <w:sdtContent>
      <w:p w14:paraId="543C1ED6" w14:textId="441027CA" w:rsidR="00FD238E" w:rsidRDefault="00FD23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C23A1C" w14:textId="1B6AF0DB" w:rsidR="00FD238E" w:rsidRDefault="00D4510A">
    <w:pPr>
      <w:pStyle w:val="Footer"/>
    </w:pPr>
    <w:r>
      <w:rPr>
        <w:noProof/>
        <w:lang w:val="en-SG" w:eastAsia="zh-CN"/>
      </w:rPr>
      <w:drawing>
        <wp:anchor distT="0" distB="0" distL="114300" distR="114300" simplePos="0" relativeHeight="251660291" behindDoc="1" locked="0" layoutInCell="1" allowOverlap="1" wp14:anchorId="76D4518D" wp14:editId="41B32258">
          <wp:simplePos x="0" y="0"/>
          <wp:positionH relativeFrom="column">
            <wp:posOffset>-20955</wp:posOffset>
          </wp:positionH>
          <wp:positionV relativeFrom="paragraph">
            <wp:posOffset>-68580</wp:posOffset>
          </wp:positionV>
          <wp:extent cx="1828800" cy="216000"/>
          <wp:effectExtent l="0" t="0" r="0" b="0"/>
          <wp:wrapNone/>
          <wp:docPr id="4" name="Graphic 4" descr="IMD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IMDRF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354"/>
      <w:docPartObj>
        <w:docPartGallery w:val="Page Numbers (Bottom of Page)"/>
        <w:docPartUnique/>
      </w:docPartObj>
    </w:sdtPr>
    <w:sdtEndPr>
      <w:rPr>
        <w:noProof/>
      </w:rPr>
    </w:sdtEndPr>
    <w:sdtContent>
      <w:p w14:paraId="101F055D" w14:textId="1542F761" w:rsidR="00FD238E" w:rsidRDefault="00FD23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D5D723" w14:textId="1F5AE3FE" w:rsidR="001A5CBB" w:rsidRPr="0017418F" w:rsidRDefault="001A5CBB" w:rsidP="0017418F">
    <w:pPr>
      <w:rPr>
        <w:sz w:val="28"/>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072B" w14:textId="77777777" w:rsidR="00ED4ADB" w:rsidRDefault="00ED4ADB" w:rsidP="00F23AD7">
      <w:pPr>
        <w:spacing w:before="0" w:after="0" w:line="240" w:lineRule="auto"/>
      </w:pPr>
      <w:r>
        <w:separator/>
      </w:r>
    </w:p>
  </w:footnote>
  <w:footnote w:type="continuationSeparator" w:id="0">
    <w:p w14:paraId="1F575056" w14:textId="77777777" w:rsidR="00ED4ADB" w:rsidRDefault="00ED4ADB" w:rsidP="00F23AD7">
      <w:pPr>
        <w:spacing w:before="0" w:after="0" w:line="240" w:lineRule="auto"/>
      </w:pPr>
      <w:r>
        <w:continuationSeparator/>
      </w:r>
    </w:p>
  </w:footnote>
  <w:footnote w:type="continuationNotice" w:id="1">
    <w:p w14:paraId="03CE1611" w14:textId="77777777" w:rsidR="00ED4ADB" w:rsidRDefault="00ED4ADB">
      <w:pPr>
        <w:spacing w:before="0" w:after="0" w:line="240" w:lineRule="auto"/>
      </w:pPr>
    </w:p>
  </w:footnote>
  <w:footnote w:id="2">
    <w:p w14:paraId="2C5DD5CA" w14:textId="584DEE95" w:rsidR="007F048A" w:rsidRPr="007F048A" w:rsidRDefault="007F048A">
      <w:pPr>
        <w:pStyle w:val="FootnoteText"/>
      </w:pPr>
      <w:r>
        <w:rPr>
          <w:rStyle w:val="FootnoteReference"/>
        </w:rPr>
        <w:footnoteRef/>
      </w:r>
      <w:r>
        <w:t xml:space="preserve"> </w:t>
      </w:r>
      <w:r w:rsidR="00B66E46" w:rsidRPr="00714E6F">
        <w:rPr>
          <w:sz w:val="16"/>
          <w:szCs w:val="16"/>
          <w:lang w:val="en-US"/>
        </w:rPr>
        <w:t>Unless otherwise specified, the use of the term “medical devices” in this document includes</w:t>
      </w:r>
      <w:r w:rsidR="000870DF">
        <w:rPr>
          <w:sz w:val="16"/>
          <w:szCs w:val="16"/>
          <w:lang w:val="en-US"/>
        </w:rPr>
        <w:t xml:space="preserve"> in vitro diagnostic (</w:t>
      </w:r>
      <w:r w:rsidR="00B66E46" w:rsidRPr="00714E6F">
        <w:rPr>
          <w:sz w:val="16"/>
          <w:szCs w:val="16"/>
          <w:lang w:val="en-US"/>
        </w:rPr>
        <w:t>IVD</w:t>
      </w:r>
      <w:r w:rsidR="000870DF">
        <w:rPr>
          <w:sz w:val="16"/>
          <w:szCs w:val="16"/>
          <w:lang w:val="en-US"/>
        </w:rPr>
        <w:t>)</w:t>
      </w:r>
      <w:r w:rsidR="00B66E46" w:rsidRPr="00714E6F">
        <w:rPr>
          <w:sz w:val="16"/>
          <w:szCs w:val="16"/>
          <w:lang w:val="en-US"/>
        </w:rPr>
        <w:t xml:space="preserve"> and non-IVD medical devices.</w:t>
      </w:r>
    </w:p>
  </w:footnote>
  <w:footnote w:id="3">
    <w:p w14:paraId="5FA6CA6C" w14:textId="24EB4D8C" w:rsidR="00037F02" w:rsidRPr="00037F02" w:rsidRDefault="00037F02">
      <w:pPr>
        <w:pStyle w:val="FootnoteText"/>
      </w:pPr>
      <w:r>
        <w:rPr>
          <w:rStyle w:val="FootnoteReference"/>
        </w:rPr>
        <w:footnoteRef/>
      </w:r>
      <w:r>
        <w:t xml:space="preserve"> </w:t>
      </w:r>
      <w:r w:rsidRPr="00CD09A4">
        <w:rPr>
          <w:sz w:val="16"/>
          <w:szCs w:val="16"/>
        </w:rPr>
        <w:t>GHTF/SG1/N78:2012</w:t>
      </w:r>
      <w:r>
        <w:rPr>
          <w:sz w:val="16"/>
          <w:szCs w:val="16"/>
        </w:rPr>
        <w:t xml:space="preserve">- </w:t>
      </w:r>
      <w:r w:rsidRPr="00CD09A4">
        <w:rPr>
          <w:i/>
          <w:iCs/>
          <w:sz w:val="16"/>
          <w:szCs w:val="16"/>
        </w:rPr>
        <w:t>Principles of Conformity Assessment for Medical Devices</w:t>
      </w:r>
      <w:r w:rsidRPr="00CD09A4">
        <w:rPr>
          <w:sz w:val="16"/>
          <w:szCs w:val="16"/>
        </w:rPr>
        <w:t xml:space="preserve"> includes a definition and additional discussion of “technical documentation” as used </w:t>
      </w:r>
      <w:r>
        <w:rPr>
          <w:sz w:val="16"/>
          <w:szCs w:val="16"/>
        </w:rPr>
        <w:t>i</w:t>
      </w:r>
      <w:r w:rsidRPr="00CD09A4">
        <w:rPr>
          <w:sz w:val="16"/>
          <w:szCs w:val="16"/>
        </w:rPr>
        <w:t>n this document</w:t>
      </w:r>
      <w:r>
        <w:rPr>
          <w:sz w:val="16"/>
          <w:szCs w:val="16"/>
        </w:rPr>
        <w:t>.</w:t>
      </w:r>
    </w:p>
  </w:footnote>
  <w:footnote w:id="4">
    <w:p w14:paraId="4E82E299" w14:textId="08F5A0DB" w:rsidR="002A0393" w:rsidRPr="008D4500" w:rsidRDefault="002A0393" w:rsidP="002A0393">
      <w:pPr>
        <w:pStyle w:val="FootnoteText"/>
      </w:pPr>
      <w:r>
        <w:rPr>
          <w:rStyle w:val="FootnoteReference"/>
        </w:rPr>
        <w:footnoteRef/>
      </w:r>
      <w:r>
        <w:t xml:space="preserve"> </w:t>
      </w:r>
      <w:r w:rsidRPr="00194261">
        <w:rPr>
          <w:sz w:val="16"/>
          <w:szCs w:val="16"/>
          <w:lang w:val="en-US"/>
        </w:rPr>
        <w:t xml:space="preserve">While many of the reliance activities discussed in this document are written such that they involve one </w:t>
      </w:r>
      <w:r w:rsidR="0028613C">
        <w:rPr>
          <w:sz w:val="16"/>
          <w:szCs w:val="16"/>
          <w:lang w:val="en-US"/>
        </w:rPr>
        <w:t>RA</w:t>
      </w:r>
      <w:r w:rsidRPr="00194261">
        <w:rPr>
          <w:sz w:val="16"/>
          <w:szCs w:val="16"/>
          <w:lang w:val="en-US"/>
        </w:rPr>
        <w:t xml:space="preserve"> relying on the decisions of one or more other </w:t>
      </w:r>
      <w:r w:rsidR="0028613C">
        <w:rPr>
          <w:sz w:val="16"/>
          <w:szCs w:val="16"/>
          <w:lang w:val="en-US"/>
        </w:rPr>
        <w:t>RA</w:t>
      </w:r>
      <w:r w:rsidRPr="00194261">
        <w:rPr>
          <w:sz w:val="16"/>
          <w:szCs w:val="16"/>
          <w:lang w:val="en-US"/>
        </w:rPr>
        <w:t>s, they may also apply to a</w:t>
      </w:r>
      <w:r w:rsidR="0028613C">
        <w:rPr>
          <w:sz w:val="16"/>
          <w:szCs w:val="16"/>
          <w:lang w:val="en-US"/>
        </w:rPr>
        <w:t>n RA</w:t>
      </w:r>
      <w:r w:rsidRPr="00194261">
        <w:rPr>
          <w:sz w:val="16"/>
          <w:szCs w:val="16"/>
          <w:lang w:val="en-US"/>
        </w:rPr>
        <w:t xml:space="preserve"> relying on decisions from </w:t>
      </w:r>
      <w:r>
        <w:rPr>
          <w:sz w:val="16"/>
          <w:szCs w:val="16"/>
          <w:lang w:val="en-US"/>
        </w:rPr>
        <w:t>conformity assessment</w:t>
      </w:r>
      <w:r w:rsidRPr="00194261">
        <w:rPr>
          <w:sz w:val="16"/>
          <w:szCs w:val="16"/>
          <w:lang w:val="en-US"/>
        </w:rPr>
        <w:t xml:space="preserve"> bodies </w:t>
      </w:r>
      <w:r>
        <w:rPr>
          <w:sz w:val="16"/>
          <w:szCs w:val="16"/>
          <w:lang w:val="en-US"/>
        </w:rPr>
        <w:t xml:space="preserve">or other organizations </w:t>
      </w:r>
      <w:r w:rsidRPr="00194261">
        <w:rPr>
          <w:sz w:val="16"/>
          <w:szCs w:val="16"/>
          <w:lang w:val="en-US"/>
        </w:rPr>
        <w:t>where appropriate.</w:t>
      </w:r>
    </w:p>
  </w:footnote>
  <w:footnote w:id="5">
    <w:p w14:paraId="2817CBC6" w14:textId="77777777" w:rsidR="008E21A0" w:rsidRPr="00194261" w:rsidRDefault="008E21A0" w:rsidP="008E21A0">
      <w:pPr>
        <w:pStyle w:val="FootnoteText"/>
        <w:rPr>
          <w:sz w:val="16"/>
          <w:szCs w:val="16"/>
          <w:lang w:val="en-US"/>
        </w:rPr>
      </w:pPr>
      <w:r w:rsidRPr="00194261">
        <w:rPr>
          <w:rStyle w:val="FootnoteReference"/>
          <w:rFonts w:asciiTheme="majorHAnsi" w:hAnsiTheme="majorHAnsi" w:cstheme="majorHAnsi"/>
          <w:sz w:val="16"/>
          <w:szCs w:val="16"/>
        </w:rPr>
        <w:footnoteRef/>
      </w:r>
      <w:r w:rsidRPr="00194261">
        <w:rPr>
          <w:rFonts w:asciiTheme="majorHAnsi" w:hAnsiTheme="majorHAnsi" w:cstheme="majorHAnsi"/>
          <w:sz w:val="16"/>
          <w:szCs w:val="16"/>
        </w:rPr>
        <w:t xml:space="preserve"> </w:t>
      </w:r>
      <w:r w:rsidRPr="00194261">
        <w:rPr>
          <w:rStyle w:val="cf01"/>
          <w:rFonts w:asciiTheme="majorHAnsi" w:hAnsiTheme="majorHAnsi" w:cstheme="majorHAnsi"/>
          <w:b w:val="0"/>
          <w:bCs w:val="0"/>
          <w:i/>
          <w:iCs/>
          <w:sz w:val="16"/>
          <w:szCs w:val="16"/>
        </w:rPr>
        <w:t>Essentially identical medical device:</w:t>
      </w:r>
      <w:r w:rsidRPr="00194261">
        <w:rPr>
          <w:rStyle w:val="cf01"/>
          <w:rFonts w:asciiTheme="majorHAnsi" w:hAnsiTheme="majorHAnsi" w:cstheme="majorHAnsi"/>
          <w:sz w:val="16"/>
          <w:szCs w:val="16"/>
        </w:rPr>
        <w:t xml:space="preserve"> </w:t>
      </w:r>
      <w:r w:rsidRPr="00194261">
        <w:rPr>
          <w:rStyle w:val="cf11"/>
          <w:rFonts w:asciiTheme="majorHAnsi" w:hAnsiTheme="majorHAnsi" w:cstheme="majorHAnsi"/>
          <w:sz w:val="16"/>
          <w:szCs w:val="16"/>
        </w:rPr>
        <w:t>Device with essential characteristics identical to the one approved by the reference regulatory authority, including those related to the quality of the product and its components, such as technical specifications (same qualitative and quantitative composition, physical, chemical, mechanical, electrical and biological properties), indications and intended use, manufacturer, manufacturing process, results of safety and performance studies.</w:t>
      </w:r>
      <w:r w:rsidRPr="00194261">
        <w:rPr>
          <w:sz w:val="16"/>
          <w:szCs w:val="16"/>
        </w:rPr>
        <w:t xml:space="preserve"> (</w:t>
      </w:r>
      <w:bookmarkStart w:id="100" w:name="_Hlk183075115"/>
      <w:r w:rsidRPr="00194261">
        <w:rPr>
          <w:sz w:val="16"/>
          <w:szCs w:val="16"/>
          <w:lang w:val="en-US"/>
        </w:rPr>
        <w:t>ANVISA Normative Instruction No. 290, April 4, 2024</w:t>
      </w:r>
      <w:bookmarkEnd w:id="100"/>
      <w:r w:rsidRPr="00194261">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20F4" w14:textId="0AA20F03" w:rsidR="00FD238E" w:rsidRPr="00FD238E" w:rsidRDefault="00FD238E">
    <w:pPr>
      <w:pStyle w:val="Header"/>
      <w:rPr>
        <w:lang w:val="fr-BE"/>
      </w:rPr>
    </w:pPr>
    <w:r w:rsidRPr="00184CC1">
      <w:fldChar w:fldCharType="begin"/>
    </w:r>
    <w:r w:rsidRPr="00184CC1">
      <w:rPr>
        <w:lang w:val="fr-BE"/>
      </w:rPr>
      <w:instrText xml:space="preserve"> STYLEREF "Cover Document Code" \* MERGEFORMAT </w:instrText>
    </w:r>
    <w:r w:rsidRPr="00184CC1">
      <w:fldChar w:fldCharType="separate"/>
    </w:r>
    <w:r w:rsidR="003E3122">
      <w:rPr>
        <w:noProof/>
        <w:lang w:val="fr-BE"/>
      </w:rPr>
      <w:t>IMDRF/GRRP WG/N89 FINAL: 2026</w:t>
    </w:r>
    <w:r w:rsidRPr="00184C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C2D" w14:textId="1FEEA640" w:rsidR="001A5CBB" w:rsidRDefault="001A5CBB">
    <w:pPr>
      <w:pStyle w:val="Header"/>
    </w:pPr>
    <w:r>
      <w:rPr>
        <w:noProof/>
        <w:lang w:val="en-SG" w:eastAsia="zh-CN"/>
      </w:rPr>
      <w:drawing>
        <wp:anchor distT="0" distB="0" distL="114300" distR="114300" simplePos="0" relativeHeight="251658243" behindDoc="1" locked="0" layoutInCell="1" allowOverlap="1" wp14:anchorId="719923A0" wp14:editId="2098F7C5">
          <wp:simplePos x="0" y="0"/>
          <wp:positionH relativeFrom="column">
            <wp:posOffset>-60712</wp:posOffset>
          </wp:positionH>
          <wp:positionV relativeFrom="paragraph">
            <wp:posOffset>186690</wp:posOffset>
          </wp:positionV>
          <wp:extent cx="4379445" cy="519430"/>
          <wp:effectExtent l="0" t="0" r="0" b="0"/>
          <wp:wrapNone/>
          <wp:docPr id="6" name="Picture 6" descr="IMD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DRF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46C08FE"/>
    <w:lvl w:ilvl="0">
      <w:start w:val="1"/>
      <w:numFmt w:val="decimal"/>
      <w:pStyle w:val="ListNumber2"/>
      <w:lvlText w:val="%1."/>
      <w:lvlJc w:val="left"/>
      <w:pPr>
        <w:tabs>
          <w:tab w:val="num" w:pos="643"/>
        </w:tabs>
        <w:ind w:left="643" w:hanging="360"/>
      </w:pPr>
    </w:lvl>
  </w:abstractNum>
  <w:abstractNum w:abstractNumId="1" w15:restartNumberingAfterBreak="0">
    <w:nsid w:val="04706F8F"/>
    <w:multiLevelType w:val="multilevel"/>
    <w:tmpl w:val="98D486A8"/>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C6072FE"/>
    <w:multiLevelType w:val="hybridMultilevel"/>
    <w:tmpl w:val="8AAC6A9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0DEA7E3E"/>
    <w:multiLevelType w:val="multilevel"/>
    <w:tmpl w:val="91EA2B06"/>
    <w:lvl w:ilvl="0">
      <w:start w:val="1"/>
      <w:numFmt w:val="bullet"/>
      <w:lvlText w:val=""/>
      <w:lvlJc w:val="left"/>
      <w:pPr>
        <w:ind w:left="284" w:hanging="284"/>
      </w:pPr>
      <w:rPr>
        <w:rFonts w:ascii="Symbol" w:hAnsi="Symbol" w:hint="default"/>
        <w:b w:val="0"/>
        <w:i w:val="0"/>
        <w:color w:val="auto"/>
        <w:sz w:val="20"/>
      </w:rPr>
    </w:lvl>
    <w:lvl w:ilvl="1">
      <w:start w:val="5"/>
      <w:numFmt w:val="bullet"/>
      <w:lvlText w:val="-"/>
      <w:lvlJc w:val="left"/>
      <w:pPr>
        <w:ind w:left="644" w:hanging="360"/>
      </w:pPr>
      <w:rPr>
        <w:rFonts w:ascii="Arial" w:eastAsiaTheme="minorHAnsi" w:hAnsi="Arial" w:cs="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E934CF0"/>
    <w:multiLevelType w:val="multilevel"/>
    <w:tmpl w:val="86329584"/>
    <w:lvl w:ilvl="0">
      <w:start w:val="1"/>
      <w:numFmt w:val="bullet"/>
      <w:lvlText w:val="•"/>
      <w:lvlJc w:val="left"/>
      <w:pPr>
        <w:ind w:left="284" w:hanging="284"/>
      </w:pPr>
      <w:rPr>
        <w:rFonts w:hint="default"/>
        <w:b w:val="0"/>
        <w:i w:val="0"/>
        <w:color w:val="auto"/>
        <w:sz w:val="20"/>
      </w:rPr>
    </w:lvl>
    <w:lvl w:ilvl="1">
      <w:start w:val="5"/>
      <w:numFmt w:val="bullet"/>
      <w:lvlText w:val="-"/>
      <w:lvlJc w:val="left"/>
      <w:pPr>
        <w:ind w:left="644" w:hanging="360"/>
      </w:pPr>
      <w:rPr>
        <w:rFonts w:ascii="Arial" w:eastAsiaTheme="minorHAnsi" w:hAnsi="Arial" w:cs="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4E506F"/>
    <w:multiLevelType w:val="multilevel"/>
    <w:tmpl w:val="98D486A8"/>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13495E"/>
    <w:multiLevelType w:val="hybridMultilevel"/>
    <w:tmpl w:val="D04A475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15A764DC"/>
    <w:multiLevelType w:val="hybridMultilevel"/>
    <w:tmpl w:val="4BB48C8E"/>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16112E8A"/>
    <w:multiLevelType w:val="hybridMultilevel"/>
    <w:tmpl w:val="4D82F2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782050A"/>
    <w:multiLevelType w:val="hybridMultilevel"/>
    <w:tmpl w:val="179AC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5F0972"/>
    <w:multiLevelType w:val="multilevel"/>
    <w:tmpl w:val="8154DE32"/>
    <w:numStyleLink w:val="IMDRFBullets"/>
  </w:abstractNum>
  <w:abstractNum w:abstractNumId="11" w15:restartNumberingAfterBreak="0">
    <w:nsid w:val="1E000D52"/>
    <w:multiLevelType w:val="multilevel"/>
    <w:tmpl w:val="1B144F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9ED32B6"/>
    <w:multiLevelType w:val="multilevel"/>
    <w:tmpl w:val="8BCA4A78"/>
    <w:lvl w:ilvl="0">
      <w:start w:val="1"/>
      <w:numFmt w:val="bullet"/>
      <w:lvlText w:val=""/>
      <w:lvlJc w:val="left"/>
      <w:pPr>
        <w:ind w:left="284" w:hanging="284"/>
      </w:pPr>
      <w:rPr>
        <w:rFonts w:ascii="Symbol" w:hAnsi="Symbol" w:hint="default"/>
        <w:b w:val="0"/>
        <w:i w:val="0"/>
        <w:color w:val="auto"/>
        <w:sz w:val="20"/>
      </w:rPr>
    </w:lvl>
    <w:lvl w:ilvl="1">
      <w:start w:val="5"/>
      <w:numFmt w:val="bullet"/>
      <w:lvlText w:val="-"/>
      <w:lvlJc w:val="left"/>
      <w:pPr>
        <w:ind w:left="644" w:hanging="360"/>
      </w:pPr>
      <w:rPr>
        <w:rFonts w:ascii="Arial" w:eastAsiaTheme="minorHAnsi" w:hAnsi="Arial" w:cs="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A9B30A7"/>
    <w:multiLevelType w:val="hybridMultilevel"/>
    <w:tmpl w:val="AD620258"/>
    <w:lvl w:ilvl="0" w:tplc="347A87BA">
      <w:start w:val="1"/>
      <w:numFmt w:val="bullet"/>
      <w:lvlText w:val="-"/>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B236A"/>
    <w:multiLevelType w:val="hybridMultilevel"/>
    <w:tmpl w:val="97E00F5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2BC564E1"/>
    <w:multiLevelType w:val="hybridMultilevel"/>
    <w:tmpl w:val="B300A0BE"/>
    <w:lvl w:ilvl="0" w:tplc="4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BD96250"/>
    <w:multiLevelType w:val="multilevel"/>
    <w:tmpl w:val="DD92D4BA"/>
    <w:numStyleLink w:val="IMDRFN1"/>
  </w:abstractNum>
  <w:abstractNum w:abstractNumId="17" w15:restartNumberingAfterBreak="0">
    <w:nsid w:val="328E2718"/>
    <w:multiLevelType w:val="hybridMultilevel"/>
    <w:tmpl w:val="1304F1E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32B86FE2"/>
    <w:multiLevelType w:val="hybridMultilevel"/>
    <w:tmpl w:val="6412725A"/>
    <w:lvl w:ilvl="0" w:tplc="FFFFFFFF">
      <w:start w:val="1"/>
      <w:numFmt w:val="decimal"/>
      <w:lvlText w:val="%1."/>
      <w:lvlJc w:val="left"/>
      <w:pPr>
        <w:ind w:left="360" w:hanging="360"/>
      </w:pPr>
      <w:rPr>
        <w:rFonts w:asciiTheme="minorHAnsi" w:eastAsiaTheme="minorHAnsi" w:hAnsiTheme="minorHAnsi" w:cs="Times New Roman (Body CS)"/>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C485591"/>
    <w:multiLevelType w:val="hybridMultilevel"/>
    <w:tmpl w:val="B95CAE9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406645C0"/>
    <w:multiLevelType w:val="hybridMultilevel"/>
    <w:tmpl w:val="2EB0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71129"/>
    <w:multiLevelType w:val="multilevel"/>
    <w:tmpl w:val="98D486A8"/>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8A356A1"/>
    <w:multiLevelType w:val="multilevel"/>
    <w:tmpl w:val="C026F720"/>
    <w:lvl w:ilvl="0">
      <w:start w:val="1"/>
      <w:numFmt w:val="bullet"/>
      <w:lvlText w:val=""/>
      <w:lvlJc w:val="left"/>
      <w:pPr>
        <w:ind w:left="284" w:hanging="284"/>
      </w:pPr>
      <w:rPr>
        <w:rFonts w:ascii="Symbol" w:hAnsi="Symbol" w:hint="default"/>
        <w:b w:val="0"/>
        <w:i w:val="0"/>
        <w:color w:val="auto"/>
        <w:sz w:val="20"/>
      </w:rPr>
    </w:lvl>
    <w:lvl w:ilvl="1">
      <w:start w:val="5"/>
      <w:numFmt w:val="bullet"/>
      <w:lvlText w:val="-"/>
      <w:lvlJc w:val="left"/>
      <w:pPr>
        <w:ind w:left="644" w:hanging="360"/>
      </w:pPr>
      <w:rPr>
        <w:rFonts w:ascii="Arial" w:eastAsiaTheme="minorHAnsi" w:hAnsi="Arial" w:cs="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B117E0D"/>
    <w:multiLevelType w:val="hybridMultilevel"/>
    <w:tmpl w:val="2C9A817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5" w15:restartNumberingAfterBreak="0">
    <w:nsid w:val="4C6C1905"/>
    <w:multiLevelType w:val="multilevel"/>
    <w:tmpl w:val="CE30B27A"/>
    <w:lvl w:ilvl="0">
      <w:start w:val="1"/>
      <w:numFmt w:val="bullet"/>
      <w:lvlText w:val=""/>
      <w:lvlJc w:val="left"/>
      <w:pPr>
        <w:ind w:left="284" w:hanging="284"/>
      </w:pPr>
      <w:rPr>
        <w:rFonts w:ascii="Symbol" w:hAnsi="Symbol" w:hint="default"/>
        <w:b w:val="0"/>
        <w:i w:val="0"/>
        <w:color w:val="auto"/>
        <w:sz w:val="20"/>
      </w:rPr>
    </w:lvl>
    <w:lvl w:ilvl="1">
      <w:start w:val="5"/>
      <w:numFmt w:val="bullet"/>
      <w:lvlText w:val="-"/>
      <w:lvlJc w:val="left"/>
      <w:pPr>
        <w:ind w:left="644" w:hanging="360"/>
      </w:pPr>
      <w:rPr>
        <w:rFonts w:ascii="Arial" w:eastAsiaTheme="minorHAnsi" w:hAnsi="Arial" w:cs="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D016AEE"/>
    <w:multiLevelType w:val="hybridMultilevel"/>
    <w:tmpl w:val="DB26ECE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4ECF0DE9"/>
    <w:multiLevelType w:val="multilevel"/>
    <w:tmpl w:val="DD92D4BA"/>
    <w:styleLink w:val="IMDRFN1"/>
    <w:lvl w:ilvl="0">
      <w:start w:val="1"/>
      <w:numFmt w:val="decimal"/>
      <w:pStyle w:val="Heading1"/>
      <w:lvlText w:val="%1."/>
      <w:lvlJc w:val="left"/>
      <w:pPr>
        <w:ind w:left="680" w:hanging="680"/>
      </w:pPr>
      <w:rPr>
        <w:rFonts w:ascii="Arial" w:hAnsi="Arial" w:hint="default"/>
        <w:b/>
        <w:i w:val="0"/>
        <w:color w:val="1369EA" w:themeColor="accent1"/>
        <w:sz w:val="60"/>
      </w:rPr>
    </w:lvl>
    <w:lvl w:ilvl="1">
      <w:start w:val="1"/>
      <w:numFmt w:val="decimal"/>
      <w:pStyle w:val="Heading2"/>
      <w:lvlText w:val="%1.%2."/>
      <w:lvlJc w:val="left"/>
      <w:pPr>
        <w:ind w:left="680" w:hanging="680"/>
      </w:pPr>
      <w:rPr>
        <w:rFonts w:ascii="Arial" w:hAnsi="Arial" w:hint="default"/>
        <w:b/>
        <w:i w:val="0"/>
        <w:color w:val="1369EA" w:themeColor="accent1"/>
        <w:sz w:val="28"/>
      </w:rPr>
    </w:lvl>
    <w:lvl w:ilvl="2">
      <w:start w:val="1"/>
      <w:numFmt w:val="decimal"/>
      <w:pStyle w:val="Heading3"/>
      <w:lvlText w:val="%1.%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8" w15:restartNumberingAfterBreak="0">
    <w:nsid w:val="505D36AC"/>
    <w:multiLevelType w:val="multilevel"/>
    <w:tmpl w:val="B57A7EC6"/>
    <w:lvl w:ilvl="0">
      <w:start w:val="1"/>
      <w:numFmt w:val="bullet"/>
      <w:lvlText w:val=""/>
      <w:lvlJc w:val="left"/>
      <w:pPr>
        <w:ind w:left="284" w:hanging="284"/>
      </w:pPr>
      <w:rPr>
        <w:rFonts w:ascii="Symbol" w:hAnsi="Symbol" w:hint="default"/>
        <w:b w:val="0"/>
        <w:i w:val="0"/>
        <w:color w:val="auto"/>
        <w:sz w:val="20"/>
      </w:rPr>
    </w:lvl>
    <w:lvl w:ilvl="1">
      <w:start w:val="5"/>
      <w:numFmt w:val="bullet"/>
      <w:lvlText w:val="-"/>
      <w:lvlJc w:val="left"/>
      <w:pPr>
        <w:ind w:left="644" w:hanging="360"/>
      </w:pPr>
      <w:rPr>
        <w:rFonts w:ascii="Arial" w:eastAsiaTheme="minorHAnsi" w:hAnsi="Arial" w:cs="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08702C3"/>
    <w:multiLevelType w:val="hybridMultilevel"/>
    <w:tmpl w:val="4F888D2C"/>
    <w:lvl w:ilvl="0" w:tplc="669CE8B8">
      <w:start w:val="1"/>
      <w:numFmt w:val="decimal"/>
      <w:lvlText w:val="%1."/>
      <w:lvlJc w:val="left"/>
      <w:pPr>
        <w:ind w:left="1020" w:hanging="360"/>
      </w:pPr>
    </w:lvl>
    <w:lvl w:ilvl="1" w:tplc="9E107B46">
      <w:start w:val="1"/>
      <w:numFmt w:val="decimal"/>
      <w:lvlText w:val="%2."/>
      <w:lvlJc w:val="left"/>
      <w:pPr>
        <w:ind w:left="1020" w:hanging="360"/>
      </w:pPr>
    </w:lvl>
    <w:lvl w:ilvl="2" w:tplc="D40A15A6">
      <w:start w:val="1"/>
      <w:numFmt w:val="decimal"/>
      <w:lvlText w:val="%3."/>
      <w:lvlJc w:val="left"/>
      <w:pPr>
        <w:ind w:left="1020" w:hanging="360"/>
      </w:pPr>
    </w:lvl>
    <w:lvl w:ilvl="3" w:tplc="FF12E512">
      <w:start w:val="1"/>
      <w:numFmt w:val="decimal"/>
      <w:lvlText w:val="%4."/>
      <w:lvlJc w:val="left"/>
      <w:pPr>
        <w:ind w:left="1020" w:hanging="360"/>
      </w:pPr>
    </w:lvl>
    <w:lvl w:ilvl="4" w:tplc="7378621A">
      <w:start w:val="1"/>
      <w:numFmt w:val="decimal"/>
      <w:lvlText w:val="%5."/>
      <w:lvlJc w:val="left"/>
      <w:pPr>
        <w:ind w:left="1020" w:hanging="360"/>
      </w:pPr>
    </w:lvl>
    <w:lvl w:ilvl="5" w:tplc="DBBC3486">
      <w:start w:val="1"/>
      <w:numFmt w:val="decimal"/>
      <w:lvlText w:val="%6."/>
      <w:lvlJc w:val="left"/>
      <w:pPr>
        <w:ind w:left="1020" w:hanging="360"/>
      </w:pPr>
    </w:lvl>
    <w:lvl w:ilvl="6" w:tplc="46C668B4">
      <w:start w:val="1"/>
      <w:numFmt w:val="decimal"/>
      <w:lvlText w:val="%7."/>
      <w:lvlJc w:val="left"/>
      <w:pPr>
        <w:ind w:left="1020" w:hanging="360"/>
      </w:pPr>
    </w:lvl>
    <w:lvl w:ilvl="7" w:tplc="46361D70">
      <w:start w:val="1"/>
      <w:numFmt w:val="decimal"/>
      <w:lvlText w:val="%8."/>
      <w:lvlJc w:val="left"/>
      <w:pPr>
        <w:ind w:left="1020" w:hanging="360"/>
      </w:pPr>
    </w:lvl>
    <w:lvl w:ilvl="8" w:tplc="B0E48F5C">
      <w:start w:val="1"/>
      <w:numFmt w:val="decimal"/>
      <w:lvlText w:val="%9."/>
      <w:lvlJc w:val="left"/>
      <w:pPr>
        <w:ind w:left="1020" w:hanging="360"/>
      </w:pPr>
    </w:lvl>
  </w:abstractNum>
  <w:abstractNum w:abstractNumId="30" w15:restartNumberingAfterBreak="0">
    <w:nsid w:val="51F2778B"/>
    <w:multiLevelType w:val="multilevel"/>
    <w:tmpl w:val="E2F468DC"/>
    <w:lvl w:ilvl="0">
      <w:start w:val="1"/>
      <w:numFmt w:val="bullet"/>
      <w:lvlText w:val=""/>
      <w:lvlJc w:val="left"/>
      <w:pPr>
        <w:ind w:left="284" w:hanging="284"/>
      </w:pPr>
      <w:rPr>
        <w:rFonts w:ascii="Symbol" w:hAnsi="Symbol" w:hint="default"/>
        <w:b w:val="0"/>
        <w:i w:val="0"/>
        <w:color w:val="auto"/>
        <w:sz w:val="20"/>
      </w:rPr>
    </w:lvl>
    <w:lvl w:ilvl="1">
      <w:start w:val="1"/>
      <w:numFmt w:val="bullet"/>
      <w:lvlText w:val=""/>
      <w:lvlJc w:val="left"/>
      <w:pPr>
        <w:ind w:left="644" w:hanging="360"/>
      </w:pPr>
      <w:rPr>
        <w:rFonts w:ascii="Symbol" w:hAnsi="Symbo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3307EB0"/>
    <w:multiLevelType w:val="multilevel"/>
    <w:tmpl w:val="82EE698E"/>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644" w:hanging="360"/>
      </w:pPr>
      <w:rPr>
        <w:rFonts w:ascii="Symbol" w:hAnsi="Symbo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B091655"/>
    <w:multiLevelType w:val="multilevel"/>
    <w:tmpl w:val="2C6C9B1C"/>
    <w:lvl w:ilvl="0">
      <w:start w:val="1"/>
      <w:numFmt w:val="bullet"/>
      <w:lvlText w:val=""/>
      <w:lvlJc w:val="left"/>
      <w:pPr>
        <w:ind w:left="964" w:hanging="284"/>
      </w:pPr>
      <w:rPr>
        <w:rFonts w:ascii="Symbol" w:hAnsi="Symbol" w:hint="default"/>
        <w:b w:val="0"/>
        <w:i w:val="0"/>
        <w:color w:val="auto"/>
        <w:sz w:val="20"/>
      </w:rPr>
    </w:lvl>
    <w:lvl w:ilvl="1">
      <w:start w:val="1"/>
      <w:numFmt w:val="bullet"/>
      <w:lvlText w:val="–"/>
      <w:lvlJc w:val="left"/>
      <w:pPr>
        <w:ind w:left="1247" w:hanging="283"/>
      </w:pPr>
      <w:rPr>
        <w:rFonts w:ascii="Arial" w:hAnsi="Arial" w:hint="default"/>
      </w:rPr>
    </w:lvl>
    <w:lvl w:ilvl="2">
      <w:start w:val="1"/>
      <w:numFmt w:val="bullet"/>
      <w:lvlText w:val="›"/>
      <w:lvlJc w:val="left"/>
      <w:pPr>
        <w:ind w:left="1531" w:hanging="284"/>
      </w:pPr>
      <w:rPr>
        <w:rFonts w:ascii="Arial" w:hAnsi="Arial" w:hint="default"/>
      </w:rPr>
    </w:lvl>
    <w:lvl w:ilvl="3">
      <w:start w:val="1"/>
      <w:numFmt w:val="bullet"/>
      <w:lvlText w:val=""/>
      <w:lvlJc w:val="left"/>
      <w:pPr>
        <w:ind w:left="2120" w:hanging="360"/>
      </w:pPr>
      <w:rPr>
        <w:rFonts w:ascii="Symbol" w:hAnsi="Symbol" w:hint="default"/>
        <w:b w:val="0"/>
        <w:i w:val="0"/>
        <w:color w:val="000000" w:themeColor="text1"/>
        <w:sz w:val="20"/>
      </w:rPr>
    </w:lvl>
    <w:lvl w:ilvl="4">
      <w:start w:val="1"/>
      <w:numFmt w:val="bullet"/>
      <w:lvlText w:val=""/>
      <w:lvlJc w:val="left"/>
      <w:pPr>
        <w:ind w:left="2480" w:hanging="360"/>
      </w:pPr>
      <w:rPr>
        <w:rFonts w:ascii="Symbol" w:hAnsi="Symbol" w:hint="default"/>
      </w:rPr>
    </w:lvl>
    <w:lvl w:ilvl="5">
      <w:start w:val="1"/>
      <w:numFmt w:val="bullet"/>
      <w:lvlText w:val=""/>
      <w:lvlJc w:val="left"/>
      <w:pPr>
        <w:ind w:left="2840" w:hanging="360"/>
      </w:pPr>
      <w:rPr>
        <w:rFonts w:ascii="Wingdings" w:hAnsi="Wingdings" w:hint="default"/>
      </w:rPr>
    </w:lvl>
    <w:lvl w:ilvl="6">
      <w:start w:val="1"/>
      <w:numFmt w:val="bullet"/>
      <w:lvlText w:val=""/>
      <w:lvlJc w:val="left"/>
      <w:pPr>
        <w:ind w:left="3200" w:hanging="360"/>
      </w:pPr>
      <w:rPr>
        <w:rFonts w:ascii="Wingdings" w:hAnsi="Wingdings" w:hint="default"/>
      </w:rPr>
    </w:lvl>
    <w:lvl w:ilvl="7">
      <w:start w:val="1"/>
      <w:numFmt w:val="bullet"/>
      <w:lvlText w:val=""/>
      <w:lvlJc w:val="left"/>
      <w:pPr>
        <w:ind w:left="3560" w:hanging="360"/>
      </w:pPr>
      <w:rPr>
        <w:rFonts w:ascii="Symbol" w:hAnsi="Symbol" w:hint="default"/>
      </w:rPr>
    </w:lvl>
    <w:lvl w:ilvl="8">
      <w:start w:val="1"/>
      <w:numFmt w:val="bullet"/>
      <w:lvlText w:val=""/>
      <w:lvlJc w:val="left"/>
      <w:pPr>
        <w:ind w:left="3920" w:hanging="360"/>
      </w:pPr>
      <w:rPr>
        <w:rFonts w:ascii="Symbol" w:hAnsi="Symbol" w:hint="default"/>
      </w:rPr>
    </w:lvl>
  </w:abstractNum>
  <w:abstractNum w:abstractNumId="34" w15:restartNumberingAfterBreak="0">
    <w:nsid w:val="6D0105F6"/>
    <w:multiLevelType w:val="multilevel"/>
    <w:tmpl w:val="1B144F7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36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DFB7FA5"/>
    <w:multiLevelType w:val="hybridMultilevel"/>
    <w:tmpl w:val="69323FC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15:restartNumberingAfterBreak="0">
    <w:nsid w:val="739C7A28"/>
    <w:multiLevelType w:val="hybridMultilevel"/>
    <w:tmpl w:val="2CE8068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7" w15:restartNumberingAfterBreak="0">
    <w:nsid w:val="7460646B"/>
    <w:multiLevelType w:val="hybridMultilevel"/>
    <w:tmpl w:val="2F44D37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8" w15:restartNumberingAfterBreak="0">
    <w:nsid w:val="74C57284"/>
    <w:multiLevelType w:val="hybridMultilevel"/>
    <w:tmpl w:val="285A4B6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9" w15:restartNumberingAfterBreak="0">
    <w:nsid w:val="79306F32"/>
    <w:multiLevelType w:val="hybridMultilevel"/>
    <w:tmpl w:val="40788636"/>
    <w:lvl w:ilvl="0" w:tplc="4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CA940AB"/>
    <w:multiLevelType w:val="hybridMultilevel"/>
    <w:tmpl w:val="3C62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015028">
    <w:abstractNumId w:val="0"/>
  </w:num>
  <w:num w:numId="2" w16cid:durableId="2106075742">
    <w:abstractNumId w:val="31"/>
  </w:num>
  <w:num w:numId="3" w16cid:durableId="289214397">
    <w:abstractNumId w:val="16"/>
  </w:num>
  <w:num w:numId="4" w16cid:durableId="822891958">
    <w:abstractNumId w:val="19"/>
  </w:num>
  <w:num w:numId="5" w16cid:durableId="1991976800">
    <w:abstractNumId w:val="27"/>
  </w:num>
  <w:num w:numId="6" w16cid:durableId="1984187790">
    <w:abstractNumId w:val="13"/>
  </w:num>
  <w:num w:numId="7" w16cid:durableId="2144347466">
    <w:abstractNumId w:val="9"/>
  </w:num>
  <w:num w:numId="8" w16cid:durableId="396166790">
    <w:abstractNumId w:val="21"/>
  </w:num>
  <w:num w:numId="9" w16cid:durableId="1677610172">
    <w:abstractNumId w:val="10"/>
  </w:num>
  <w:num w:numId="10" w16cid:durableId="1933589668">
    <w:abstractNumId w:val="16"/>
  </w:num>
  <w:num w:numId="11" w16cid:durableId="367724382">
    <w:abstractNumId w:val="29"/>
  </w:num>
  <w:num w:numId="12" w16cid:durableId="503056558">
    <w:abstractNumId w:val="20"/>
  </w:num>
  <w:num w:numId="13" w16cid:durableId="160659526">
    <w:abstractNumId w:val="35"/>
  </w:num>
  <w:num w:numId="14" w16cid:durableId="71316681">
    <w:abstractNumId w:val="32"/>
  </w:num>
  <w:num w:numId="15" w16cid:durableId="279578074">
    <w:abstractNumId w:val="17"/>
  </w:num>
  <w:num w:numId="16" w16cid:durableId="1607272189">
    <w:abstractNumId w:val="4"/>
  </w:num>
  <w:num w:numId="17" w16cid:durableId="213393699">
    <w:abstractNumId w:val="37"/>
  </w:num>
  <w:num w:numId="18" w16cid:durableId="1145469815">
    <w:abstractNumId w:val="24"/>
  </w:num>
  <w:num w:numId="19" w16cid:durableId="467089465">
    <w:abstractNumId w:val="6"/>
  </w:num>
  <w:num w:numId="20" w16cid:durableId="1451363055">
    <w:abstractNumId w:val="8"/>
  </w:num>
  <w:num w:numId="21" w16cid:durableId="811404185">
    <w:abstractNumId w:val="2"/>
  </w:num>
  <w:num w:numId="22" w16cid:durableId="1499924575">
    <w:abstractNumId w:val="15"/>
  </w:num>
  <w:num w:numId="23" w16cid:durableId="44065130">
    <w:abstractNumId w:val="38"/>
  </w:num>
  <w:num w:numId="24" w16cid:durableId="1736587769">
    <w:abstractNumId w:val="26"/>
  </w:num>
  <w:num w:numId="25" w16cid:durableId="849757429">
    <w:abstractNumId w:val="14"/>
  </w:num>
  <w:num w:numId="26" w16cid:durableId="1025522171">
    <w:abstractNumId w:val="7"/>
  </w:num>
  <w:num w:numId="27" w16cid:durableId="1831749782">
    <w:abstractNumId w:val="36"/>
  </w:num>
  <w:num w:numId="28" w16cid:durableId="2084179265">
    <w:abstractNumId w:val="11"/>
  </w:num>
  <w:num w:numId="29" w16cid:durableId="2076932503">
    <w:abstractNumId w:val="34"/>
  </w:num>
  <w:num w:numId="30" w16cid:durableId="786240880">
    <w:abstractNumId w:val="39"/>
  </w:num>
  <w:num w:numId="31" w16cid:durableId="1527987997">
    <w:abstractNumId w:val="1"/>
  </w:num>
  <w:num w:numId="32" w16cid:durableId="52124384">
    <w:abstractNumId w:val="5"/>
  </w:num>
  <w:num w:numId="33" w16cid:durableId="269052469">
    <w:abstractNumId w:val="22"/>
  </w:num>
  <w:num w:numId="34" w16cid:durableId="2107385726">
    <w:abstractNumId w:val="16"/>
  </w:num>
  <w:num w:numId="35" w16cid:durableId="1464276021">
    <w:abstractNumId w:val="30"/>
  </w:num>
  <w:num w:numId="36" w16cid:durableId="117454867">
    <w:abstractNumId w:val="25"/>
  </w:num>
  <w:num w:numId="37" w16cid:durableId="542208356">
    <w:abstractNumId w:val="23"/>
  </w:num>
  <w:num w:numId="38" w16cid:durableId="751049757">
    <w:abstractNumId w:val="12"/>
  </w:num>
  <w:num w:numId="39" w16cid:durableId="649332037">
    <w:abstractNumId w:val="28"/>
  </w:num>
  <w:num w:numId="40" w16cid:durableId="1889953126">
    <w:abstractNumId w:val="3"/>
  </w:num>
  <w:num w:numId="41" w16cid:durableId="139079628">
    <w:abstractNumId w:val="18"/>
  </w:num>
  <w:num w:numId="42" w16cid:durableId="1270895302">
    <w:abstractNumId w:val="13"/>
  </w:num>
  <w:num w:numId="43" w16cid:durableId="1197238792">
    <w:abstractNumId w:val="40"/>
  </w:num>
  <w:num w:numId="44" w16cid:durableId="787624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n-SG"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AU" w:vendorID="64" w:dllVersion="0" w:nlCheck="1" w:checkStyle="0"/>
  <w:activeWritingStyle w:appName="MSWord" w:lang="en-SG" w:vendorID="64" w:dllVersion="0" w:nlCheck="1" w:checkStyle="0"/>
  <w:activeWritingStyle w:appName="MSWord" w:lang="fr-B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208FB"/>
    <w:rsid w:val="00001160"/>
    <w:rsid w:val="00001465"/>
    <w:rsid w:val="000017E3"/>
    <w:rsid w:val="00001C45"/>
    <w:rsid w:val="00002175"/>
    <w:rsid w:val="00002218"/>
    <w:rsid w:val="000027C9"/>
    <w:rsid w:val="00003EB1"/>
    <w:rsid w:val="00004515"/>
    <w:rsid w:val="000049BE"/>
    <w:rsid w:val="000058BF"/>
    <w:rsid w:val="0000635E"/>
    <w:rsid w:val="000069B4"/>
    <w:rsid w:val="00006DAB"/>
    <w:rsid w:val="00006DCA"/>
    <w:rsid w:val="00007162"/>
    <w:rsid w:val="00007ED5"/>
    <w:rsid w:val="000113B0"/>
    <w:rsid w:val="000119E5"/>
    <w:rsid w:val="00012301"/>
    <w:rsid w:val="00013FD2"/>
    <w:rsid w:val="000150D4"/>
    <w:rsid w:val="00015257"/>
    <w:rsid w:val="00015B09"/>
    <w:rsid w:val="000169D6"/>
    <w:rsid w:val="00016E3E"/>
    <w:rsid w:val="00017104"/>
    <w:rsid w:val="000173BB"/>
    <w:rsid w:val="00020FE1"/>
    <w:rsid w:val="00021134"/>
    <w:rsid w:val="00021720"/>
    <w:rsid w:val="00021E9F"/>
    <w:rsid w:val="00021FCF"/>
    <w:rsid w:val="00022448"/>
    <w:rsid w:val="00022A0C"/>
    <w:rsid w:val="00023035"/>
    <w:rsid w:val="000232B7"/>
    <w:rsid w:val="00023E67"/>
    <w:rsid w:val="000250F7"/>
    <w:rsid w:val="00025D81"/>
    <w:rsid w:val="000275F9"/>
    <w:rsid w:val="00027C63"/>
    <w:rsid w:val="0003037E"/>
    <w:rsid w:val="00030937"/>
    <w:rsid w:val="00030BB5"/>
    <w:rsid w:val="00030BC1"/>
    <w:rsid w:val="00030E88"/>
    <w:rsid w:val="0003158A"/>
    <w:rsid w:val="0003221E"/>
    <w:rsid w:val="00032A26"/>
    <w:rsid w:val="00032D37"/>
    <w:rsid w:val="00033247"/>
    <w:rsid w:val="0003326D"/>
    <w:rsid w:val="00034247"/>
    <w:rsid w:val="000342C2"/>
    <w:rsid w:val="00034A9E"/>
    <w:rsid w:val="00034F1C"/>
    <w:rsid w:val="00035132"/>
    <w:rsid w:val="000354A8"/>
    <w:rsid w:val="0003568B"/>
    <w:rsid w:val="0003590A"/>
    <w:rsid w:val="00035CC3"/>
    <w:rsid w:val="00036823"/>
    <w:rsid w:val="0003708A"/>
    <w:rsid w:val="00037551"/>
    <w:rsid w:val="00037A71"/>
    <w:rsid w:val="00037DE9"/>
    <w:rsid w:val="00037F02"/>
    <w:rsid w:val="00040594"/>
    <w:rsid w:val="0004117C"/>
    <w:rsid w:val="000414A1"/>
    <w:rsid w:val="00041611"/>
    <w:rsid w:val="00042077"/>
    <w:rsid w:val="000435DC"/>
    <w:rsid w:val="00043E41"/>
    <w:rsid w:val="00044069"/>
    <w:rsid w:val="000465E8"/>
    <w:rsid w:val="00046764"/>
    <w:rsid w:val="00046C1C"/>
    <w:rsid w:val="00046D68"/>
    <w:rsid w:val="00046E84"/>
    <w:rsid w:val="00047250"/>
    <w:rsid w:val="00050392"/>
    <w:rsid w:val="00050623"/>
    <w:rsid w:val="000510CD"/>
    <w:rsid w:val="00051424"/>
    <w:rsid w:val="000514FD"/>
    <w:rsid w:val="00052260"/>
    <w:rsid w:val="0005284E"/>
    <w:rsid w:val="00052FB5"/>
    <w:rsid w:val="000530DF"/>
    <w:rsid w:val="00053B1A"/>
    <w:rsid w:val="00053B86"/>
    <w:rsid w:val="00054E8C"/>
    <w:rsid w:val="00055101"/>
    <w:rsid w:val="000558B5"/>
    <w:rsid w:val="00055A2D"/>
    <w:rsid w:val="00055B23"/>
    <w:rsid w:val="00055B8D"/>
    <w:rsid w:val="000561E7"/>
    <w:rsid w:val="0005745F"/>
    <w:rsid w:val="000575E2"/>
    <w:rsid w:val="00057683"/>
    <w:rsid w:val="00057740"/>
    <w:rsid w:val="000578C2"/>
    <w:rsid w:val="00057E07"/>
    <w:rsid w:val="000603EF"/>
    <w:rsid w:val="000606B5"/>
    <w:rsid w:val="00060C70"/>
    <w:rsid w:val="000617CB"/>
    <w:rsid w:val="0006326B"/>
    <w:rsid w:val="0006403E"/>
    <w:rsid w:val="0006456A"/>
    <w:rsid w:val="000649D5"/>
    <w:rsid w:val="00065365"/>
    <w:rsid w:val="000656C5"/>
    <w:rsid w:val="00065917"/>
    <w:rsid w:val="0006614B"/>
    <w:rsid w:val="000661FE"/>
    <w:rsid w:val="00067509"/>
    <w:rsid w:val="00067B31"/>
    <w:rsid w:val="000708F1"/>
    <w:rsid w:val="00071794"/>
    <w:rsid w:val="00071A6B"/>
    <w:rsid w:val="00071E2A"/>
    <w:rsid w:val="000723AC"/>
    <w:rsid w:val="0007269A"/>
    <w:rsid w:val="00073616"/>
    <w:rsid w:val="00073693"/>
    <w:rsid w:val="000741FC"/>
    <w:rsid w:val="00074C06"/>
    <w:rsid w:val="0007663D"/>
    <w:rsid w:val="00076F9B"/>
    <w:rsid w:val="00077D9B"/>
    <w:rsid w:val="000800BE"/>
    <w:rsid w:val="00081172"/>
    <w:rsid w:val="00081E56"/>
    <w:rsid w:val="0008223E"/>
    <w:rsid w:val="0008292C"/>
    <w:rsid w:val="0008563A"/>
    <w:rsid w:val="00086212"/>
    <w:rsid w:val="00086D98"/>
    <w:rsid w:val="000870DF"/>
    <w:rsid w:val="00087C05"/>
    <w:rsid w:val="00090A11"/>
    <w:rsid w:val="00091B51"/>
    <w:rsid w:val="000925C4"/>
    <w:rsid w:val="0009300C"/>
    <w:rsid w:val="00093CEF"/>
    <w:rsid w:val="00093DF9"/>
    <w:rsid w:val="000940E6"/>
    <w:rsid w:val="00094CEF"/>
    <w:rsid w:val="000956AD"/>
    <w:rsid w:val="0009615B"/>
    <w:rsid w:val="000965F9"/>
    <w:rsid w:val="000965FC"/>
    <w:rsid w:val="00096742"/>
    <w:rsid w:val="00096D63"/>
    <w:rsid w:val="00097061"/>
    <w:rsid w:val="00097701"/>
    <w:rsid w:val="00097714"/>
    <w:rsid w:val="00097753"/>
    <w:rsid w:val="000A0B3A"/>
    <w:rsid w:val="000A1A2D"/>
    <w:rsid w:val="000A1F50"/>
    <w:rsid w:val="000A1F83"/>
    <w:rsid w:val="000A251F"/>
    <w:rsid w:val="000A3002"/>
    <w:rsid w:val="000A3053"/>
    <w:rsid w:val="000A30C8"/>
    <w:rsid w:val="000A3874"/>
    <w:rsid w:val="000A3917"/>
    <w:rsid w:val="000A3A9A"/>
    <w:rsid w:val="000A440F"/>
    <w:rsid w:val="000A4FF9"/>
    <w:rsid w:val="000A610E"/>
    <w:rsid w:val="000A6E2F"/>
    <w:rsid w:val="000A79F0"/>
    <w:rsid w:val="000A7C64"/>
    <w:rsid w:val="000A7F03"/>
    <w:rsid w:val="000B075A"/>
    <w:rsid w:val="000B0F0A"/>
    <w:rsid w:val="000B2714"/>
    <w:rsid w:val="000B3EAF"/>
    <w:rsid w:val="000B42D1"/>
    <w:rsid w:val="000B5B79"/>
    <w:rsid w:val="000B5D09"/>
    <w:rsid w:val="000B60DE"/>
    <w:rsid w:val="000B63E8"/>
    <w:rsid w:val="000B6CE7"/>
    <w:rsid w:val="000B6E4B"/>
    <w:rsid w:val="000B6E8B"/>
    <w:rsid w:val="000B7B14"/>
    <w:rsid w:val="000B7D30"/>
    <w:rsid w:val="000C015A"/>
    <w:rsid w:val="000C37A3"/>
    <w:rsid w:val="000C4197"/>
    <w:rsid w:val="000C44E2"/>
    <w:rsid w:val="000C4806"/>
    <w:rsid w:val="000C4972"/>
    <w:rsid w:val="000C4A37"/>
    <w:rsid w:val="000C4EE7"/>
    <w:rsid w:val="000C581C"/>
    <w:rsid w:val="000C6B50"/>
    <w:rsid w:val="000C6C07"/>
    <w:rsid w:val="000C72D3"/>
    <w:rsid w:val="000C746F"/>
    <w:rsid w:val="000C78DA"/>
    <w:rsid w:val="000C7BB8"/>
    <w:rsid w:val="000D04DD"/>
    <w:rsid w:val="000D057C"/>
    <w:rsid w:val="000D0EC5"/>
    <w:rsid w:val="000D0ED2"/>
    <w:rsid w:val="000D1980"/>
    <w:rsid w:val="000D1E6F"/>
    <w:rsid w:val="000D210B"/>
    <w:rsid w:val="000D349B"/>
    <w:rsid w:val="000D4A96"/>
    <w:rsid w:val="000D4A9D"/>
    <w:rsid w:val="000D568E"/>
    <w:rsid w:val="000D5D35"/>
    <w:rsid w:val="000D62B8"/>
    <w:rsid w:val="000D637E"/>
    <w:rsid w:val="000D7BB1"/>
    <w:rsid w:val="000E1E9C"/>
    <w:rsid w:val="000E252D"/>
    <w:rsid w:val="000E2ADC"/>
    <w:rsid w:val="000E312D"/>
    <w:rsid w:val="000E3F24"/>
    <w:rsid w:val="000E3FA5"/>
    <w:rsid w:val="000E40CE"/>
    <w:rsid w:val="000E4D9E"/>
    <w:rsid w:val="000E505C"/>
    <w:rsid w:val="000E6026"/>
    <w:rsid w:val="000E683C"/>
    <w:rsid w:val="000E6D7C"/>
    <w:rsid w:val="000E795D"/>
    <w:rsid w:val="000E7C6B"/>
    <w:rsid w:val="000E7CD3"/>
    <w:rsid w:val="000F170C"/>
    <w:rsid w:val="000F26C7"/>
    <w:rsid w:val="000F2E30"/>
    <w:rsid w:val="000F31EE"/>
    <w:rsid w:val="000F3B0D"/>
    <w:rsid w:val="000F47FD"/>
    <w:rsid w:val="000F4CBD"/>
    <w:rsid w:val="000F58CE"/>
    <w:rsid w:val="000F5FA8"/>
    <w:rsid w:val="000F6E96"/>
    <w:rsid w:val="000F736D"/>
    <w:rsid w:val="000F75CC"/>
    <w:rsid w:val="000F7747"/>
    <w:rsid w:val="000F7A87"/>
    <w:rsid w:val="0010006F"/>
    <w:rsid w:val="001002E6"/>
    <w:rsid w:val="00100579"/>
    <w:rsid w:val="00100AB6"/>
    <w:rsid w:val="00101125"/>
    <w:rsid w:val="001017AF"/>
    <w:rsid w:val="00101990"/>
    <w:rsid w:val="00101F70"/>
    <w:rsid w:val="00102BBA"/>
    <w:rsid w:val="00102DE1"/>
    <w:rsid w:val="00104A79"/>
    <w:rsid w:val="00104FB2"/>
    <w:rsid w:val="0010565D"/>
    <w:rsid w:val="00105810"/>
    <w:rsid w:val="00105869"/>
    <w:rsid w:val="00105B9E"/>
    <w:rsid w:val="001064B4"/>
    <w:rsid w:val="00106519"/>
    <w:rsid w:val="001074D5"/>
    <w:rsid w:val="0010767A"/>
    <w:rsid w:val="00107B68"/>
    <w:rsid w:val="00110025"/>
    <w:rsid w:val="001103C8"/>
    <w:rsid w:val="0011203E"/>
    <w:rsid w:val="001121DE"/>
    <w:rsid w:val="001121F0"/>
    <w:rsid w:val="00112561"/>
    <w:rsid w:val="001127D0"/>
    <w:rsid w:val="0011291D"/>
    <w:rsid w:val="001144D7"/>
    <w:rsid w:val="00114955"/>
    <w:rsid w:val="0011495B"/>
    <w:rsid w:val="00116046"/>
    <w:rsid w:val="001165BB"/>
    <w:rsid w:val="00116ADB"/>
    <w:rsid w:val="00116D87"/>
    <w:rsid w:val="001170FE"/>
    <w:rsid w:val="001175F1"/>
    <w:rsid w:val="00117782"/>
    <w:rsid w:val="00120406"/>
    <w:rsid w:val="00121B2A"/>
    <w:rsid w:val="00121B4C"/>
    <w:rsid w:val="00121D32"/>
    <w:rsid w:val="00121E1E"/>
    <w:rsid w:val="00121E62"/>
    <w:rsid w:val="00122299"/>
    <w:rsid w:val="00123521"/>
    <w:rsid w:val="001236DD"/>
    <w:rsid w:val="0012461D"/>
    <w:rsid w:val="001246F0"/>
    <w:rsid w:val="00124762"/>
    <w:rsid w:val="001248DE"/>
    <w:rsid w:val="00124E95"/>
    <w:rsid w:val="00125238"/>
    <w:rsid w:val="0012523C"/>
    <w:rsid w:val="00125A59"/>
    <w:rsid w:val="00125EDC"/>
    <w:rsid w:val="0012620D"/>
    <w:rsid w:val="001300BD"/>
    <w:rsid w:val="001305DE"/>
    <w:rsid w:val="00130617"/>
    <w:rsid w:val="00130A00"/>
    <w:rsid w:val="00130D7C"/>
    <w:rsid w:val="00130FF8"/>
    <w:rsid w:val="001314C1"/>
    <w:rsid w:val="0013171E"/>
    <w:rsid w:val="00132D22"/>
    <w:rsid w:val="00133B5C"/>
    <w:rsid w:val="00135A61"/>
    <w:rsid w:val="00135E36"/>
    <w:rsid w:val="00136D1B"/>
    <w:rsid w:val="00140799"/>
    <w:rsid w:val="00140BE3"/>
    <w:rsid w:val="00142141"/>
    <w:rsid w:val="00143C36"/>
    <w:rsid w:val="00143F2B"/>
    <w:rsid w:val="001443F9"/>
    <w:rsid w:val="00145E8A"/>
    <w:rsid w:val="00145EF1"/>
    <w:rsid w:val="00146CDF"/>
    <w:rsid w:val="001472D6"/>
    <w:rsid w:val="001474F8"/>
    <w:rsid w:val="00147663"/>
    <w:rsid w:val="001476DE"/>
    <w:rsid w:val="00150F75"/>
    <w:rsid w:val="00151136"/>
    <w:rsid w:val="00151505"/>
    <w:rsid w:val="00151607"/>
    <w:rsid w:val="00151ED7"/>
    <w:rsid w:val="001522C2"/>
    <w:rsid w:val="00152CEA"/>
    <w:rsid w:val="00152E64"/>
    <w:rsid w:val="0015388B"/>
    <w:rsid w:val="001539A1"/>
    <w:rsid w:val="00153D77"/>
    <w:rsid w:val="00154A39"/>
    <w:rsid w:val="00154C38"/>
    <w:rsid w:val="00154CA3"/>
    <w:rsid w:val="00154D21"/>
    <w:rsid w:val="0015505F"/>
    <w:rsid w:val="001559A7"/>
    <w:rsid w:val="00156CB8"/>
    <w:rsid w:val="001577D6"/>
    <w:rsid w:val="001600D1"/>
    <w:rsid w:val="00160AD1"/>
    <w:rsid w:val="00161ABA"/>
    <w:rsid w:val="00161EEC"/>
    <w:rsid w:val="0016253A"/>
    <w:rsid w:val="00162AF7"/>
    <w:rsid w:val="00164592"/>
    <w:rsid w:val="0016529A"/>
    <w:rsid w:val="001667B8"/>
    <w:rsid w:val="001675F8"/>
    <w:rsid w:val="00167814"/>
    <w:rsid w:val="00167C83"/>
    <w:rsid w:val="001705FC"/>
    <w:rsid w:val="00170E29"/>
    <w:rsid w:val="001717A5"/>
    <w:rsid w:val="00171DC4"/>
    <w:rsid w:val="00172EFA"/>
    <w:rsid w:val="001731D4"/>
    <w:rsid w:val="00173EE0"/>
    <w:rsid w:val="0017418F"/>
    <w:rsid w:val="00174F74"/>
    <w:rsid w:val="00175DA4"/>
    <w:rsid w:val="00176CB8"/>
    <w:rsid w:val="001774A1"/>
    <w:rsid w:val="00177CC2"/>
    <w:rsid w:val="001811DC"/>
    <w:rsid w:val="00183188"/>
    <w:rsid w:val="00183245"/>
    <w:rsid w:val="00183B9F"/>
    <w:rsid w:val="0018480F"/>
    <w:rsid w:val="00184CC1"/>
    <w:rsid w:val="00185296"/>
    <w:rsid w:val="0018575C"/>
    <w:rsid w:val="00185ADF"/>
    <w:rsid w:val="0018611E"/>
    <w:rsid w:val="001861F1"/>
    <w:rsid w:val="00187853"/>
    <w:rsid w:val="00191BA4"/>
    <w:rsid w:val="00191CD6"/>
    <w:rsid w:val="00191F41"/>
    <w:rsid w:val="00192137"/>
    <w:rsid w:val="00192F06"/>
    <w:rsid w:val="00193019"/>
    <w:rsid w:val="00193143"/>
    <w:rsid w:val="00194261"/>
    <w:rsid w:val="00194834"/>
    <w:rsid w:val="00194F79"/>
    <w:rsid w:val="00195045"/>
    <w:rsid w:val="001950FE"/>
    <w:rsid w:val="001959CB"/>
    <w:rsid w:val="00195BD0"/>
    <w:rsid w:val="00195EB2"/>
    <w:rsid w:val="00195EF9"/>
    <w:rsid w:val="00196F85"/>
    <w:rsid w:val="001971C9"/>
    <w:rsid w:val="0019737A"/>
    <w:rsid w:val="0019743C"/>
    <w:rsid w:val="001A077C"/>
    <w:rsid w:val="001A0D0D"/>
    <w:rsid w:val="001A1464"/>
    <w:rsid w:val="001A1B2B"/>
    <w:rsid w:val="001A2AF4"/>
    <w:rsid w:val="001A36ED"/>
    <w:rsid w:val="001A39F3"/>
    <w:rsid w:val="001A465A"/>
    <w:rsid w:val="001A4D59"/>
    <w:rsid w:val="001A4DAC"/>
    <w:rsid w:val="001A5A6B"/>
    <w:rsid w:val="001A5CBB"/>
    <w:rsid w:val="001A6883"/>
    <w:rsid w:val="001A6E81"/>
    <w:rsid w:val="001B0175"/>
    <w:rsid w:val="001B0E16"/>
    <w:rsid w:val="001B1C71"/>
    <w:rsid w:val="001B20D5"/>
    <w:rsid w:val="001B25C9"/>
    <w:rsid w:val="001B2C15"/>
    <w:rsid w:val="001B2C2A"/>
    <w:rsid w:val="001B2F31"/>
    <w:rsid w:val="001B3A15"/>
    <w:rsid w:val="001B4AF3"/>
    <w:rsid w:val="001B50E6"/>
    <w:rsid w:val="001B512A"/>
    <w:rsid w:val="001B5F28"/>
    <w:rsid w:val="001B72A6"/>
    <w:rsid w:val="001C22D3"/>
    <w:rsid w:val="001C32CF"/>
    <w:rsid w:val="001C3586"/>
    <w:rsid w:val="001C375E"/>
    <w:rsid w:val="001C3E88"/>
    <w:rsid w:val="001C4AD2"/>
    <w:rsid w:val="001C6806"/>
    <w:rsid w:val="001C70CF"/>
    <w:rsid w:val="001D00FB"/>
    <w:rsid w:val="001D071E"/>
    <w:rsid w:val="001D0BEF"/>
    <w:rsid w:val="001D19D4"/>
    <w:rsid w:val="001D244F"/>
    <w:rsid w:val="001D2CC5"/>
    <w:rsid w:val="001D32A1"/>
    <w:rsid w:val="001D37CB"/>
    <w:rsid w:val="001D3C57"/>
    <w:rsid w:val="001D46A1"/>
    <w:rsid w:val="001D46E5"/>
    <w:rsid w:val="001D46EB"/>
    <w:rsid w:val="001D4741"/>
    <w:rsid w:val="001D48FA"/>
    <w:rsid w:val="001D6979"/>
    <w:rsid w:val="001D6C8D"/>
    <w:rsid w:val="001D6E95"/>
    <w:rsid w:val="001D7448"/>
    <w:rsid w:val="001E0761"/>
    <w:rsid w:val="001E09DB"/>
    <w:rsid w:val="001E11BF"/>
    <w:rsid w:val="001E178D"/>
    <w:rsid w:val="001E2298"/>
    <w:rsid w:val="001E24D6"/>
    <w:rsid w:val="001E2BDA"/>
    <w:rsid w:val="001E2D2E"/>
    <w:rsid w:val="001E2ECD"/>
    <w:rsid w:val="001E324D"/>
    <w:rsid w:val="001E5258"/>
    <w:rsid w:val="001E526F"/>
    <w:rsid w:val="001E5691"/>
    <w:rsid w:val="001E5D56"/>
    <w:rsid w:val="001E5D5F"/>
    <w:rsid w:val="001E7897"/>
    <w:rsid w:val="001F040C"/>
    <w:rsid w:val="001F15AA"/>
    <w:rsid w:val="001F207D"/>
    <w:rsid w:val="001F2FA6"/>
    <w:rsid w:val="001F3456"/>
    <w:rsid w:val="001F3F19"/>
    <w:rsid w:val="001F42DF"/>
    <w:rsid w:val="001F4665"/>
    <w:rsid w:val="001F4762"/>
    <w:rsid w:val="001F4A79"/>
    <w:rsid w:val="001F6064"/>
    <w:rsid w:val="001F6984"/>
    <w:rsid w:val="001F6992"/>
    <w:rsid w:val="001F764D"/>
    <w:rsid w:val="001F7814"/>
    <w:rsid w:val="001F7D6E"/>
    <w:rsid w:val="002000B3"/>
    <w:rsid w:val="00201D81"/>
    <w:rsid w:val="0020261F"/>
    <w:rsid w:val="00202869"/>
    <w:rsid w:val="00202913"/>
    <w:rsid w:val="00204D89"/>
    <w:rsid w:val="00204F72"/>
    <w:rsid w:val="0020559D"/>
    <w:rsid w:val="002055FC"/>
    <w:rsid w:val="00205D8D"/>
    <w:rsid w:val="00206697"/>
    <w:rsid w:val="00207206"/>
    <w:rsid w:val="002073B6"/>
    <w:rsid w:val="0020752F"/>
    <w:rsid w:val="002110A5"/>
    <w:rsid w:val="00211A32"/>
    <w:rsid w:val="00212291"/>
    <w:rsid w:val="002123E7"/>
    <w:rsid w:val="002129D2"/>
    <w:rsid w:val="0021326E"/>
    <w:rsid w:val="00213B6B"/>
    <w:rsid w:val="00213CB4"/>
    <w:rsid w:val="00214FEF"/>
    <w:rsid w:val="00217A38"/>
    <w:rsid w:val="00217CD4"/>
    <w:rsid w:val="00220815"/>
    <w:rsid w:val="00220AA3"/>
    <w:rsid w:val="00220C3B"/>
    <w:rsid w:val="002210C1"/>
    <w:rsid w:val="00221599"/>
    <w:rsid w:val="002227D3"/>
    <w:rsid w:val="00222C62"/>
    <w:rsid w:val="002230A6"/>
    <w:rsid w:val="00223B7C"/>
    <w:rsid w:val="00223BB3"/>
    <w:rsid w:val="00223CCA"/>
    <w:rsid w:val="00225CFC"/>
    <w:rsid w:val="00225E4F"/>
    <w:rsid w:val="0022680D"/>
    <w:rsid w:val="00226CA6"/>
    <w:rsid w:val="00227665"/>
    <w:rsid w:val="00227780"/>
    <w:rsid w:val="00227A71"/>
    <w:rsid w:val="00227F4B"/>
    <w:rsid w:val="002305CC"/>
    <w:rsid w:val="00231FE8"/>
    <w:rsid w:val="0023207E"/>
    <w:rsid w:val="00232985"/>
    <w:rsid w:val="00233554"/>
    <w:rsid w:val="00233E13"/>
    <w:rsid w:val="00233F8F"/>
    <w:rsid w:val="002340C2"/>
    <w:rsid w:val="002348AD"/>
    <w:rsid w:val="00235206"/>
    <w:rsid w:val="00236E57"/>
    <w:rsid w:val="002377A1"/>
    <w:rsid w:val="00240120"/>
    <w:rsid w:val="00240146"/>
    <w:rsid w:val="00241A96"/>
    <w:rsid w:val="00241E45"/>
    <w:rsid w:val="0024267B"/>
    <w:rsid w:val="00243C79"/>
    <w:rsid w:val="00244277"/>
    <w:rsid w:val="00244390"/>
    <w:rsid w:val="00245317"/>
    <w:rsid w:val="002453B9"/>
    <w:rsid w:val="00245724"/>
    <w:rsid w:val="00245A6E"/>
    <w:rsid w:val="002467C9"/>
    <w:rsid w:val="00247048"/>
    <w:rsid w:val="0024740D"/>
    <w:rsid w:val="00247914"/>
    <w:rsid w:val="00247D74"/>
    <w:rsid w:val="00247E46"/>
    <w:rsid w:val="00250516"/>
    <w:rsid w:val="00250688"/>
    <w:rsid w:val="002510B7"/>
    <w:rsid w:val="00251157"/>
    <w:rsid w:val="002516E9"/>
    <w:rsid w:val="002517FA"/>
    <w:rsid w:val="00251830"/>
    <w:rsid w:val="00251F75"/>
    <w:rsid w:val="00252DC0"/>
    <w:rsid w:val="0025341A"/>
    <w:rsid w:val="002536F9"/>
    <w:rsid w:val="002538A2"/>
    <w:rsid w:val="00253D32"/>
    <w:rsid w:val="00254067"/>
    <w:rsid w:val="0025584A"/>
    <w:rsid w:val="002567DD"/>
    <w:rsid w:val="00256BD2"/>
    <w:rsid w:val="00257D2C"/>
    <w:rsid w:val="00260259"/>
    <w:rsid w:val="002603BD"/>
    <w:rsid w:val="00260F93"/>
    <w:rsid w:val="002615DE"/>
    <w:rsid w:val="002620CB"/>
    <w:rsid w:val="00262DBF"/>
    <w:rsid w:val="00264868"/>
    <w:rsid w:val="002649D9"/>
    <w:rsid w:val="00264BC1"/>
    <w:rsid w:val="00264DB4"/>
    <w:rsid w:val="00264E15"/>
    <w:rsid w:val="002653A3"/>
    <w:rsid w:val="00265555"/>
    <w:rsid w:val="00265E9D"/>
    <w:rsid w:val="002661D8"/>
    <w:rsid w:val="002663E2"/>
    <w:rsid w:val="00266FD4"/>
    <w:rsid w:val="00270741"/>
    <w:rsid w:val="00270C98"/>
    <w:rsid w:val="00271A14"/>
    <w:rsid w:val="002731FE"/>
    <w:rsid w:val="00273C9A"/>
    <w:rsid w:val="00273CAB"/>
    <w:rsid w:val="00274095"/>
    <w:rsid w:val="0027590A"/>
    <w:rsid w:val="002759C6"/>
    <w:rsid w:val="00275C33"/>
    <w:rsid w:val="00275DD5"/>
    <w:rsid w:val="0027625F"/>
    <w:rsid w:val="002767B7"/>
    <w:rsid w:val="00276D9F"/>
    <w:rsid w:val="002772A6"/>
    <w:rsid w:val="00277CC2"/>
    <w:rsid w:val="00277DC6"/>
    <w:rsid w:val="00277FF3"/>
    <w:rsid w:val="002801A7"/>
    <w:rsid w:val="00280443"/>
    <w:rsid w:val="00280B42"/>
    <w:rsid w:val="002816F7"/>
    <w:rsid w:val="0028198D"/>
    <w:rsid w:val="00281A78"/>
    <w:rsid w:val="00281ED7"/>
    <w:rsid w:val="00282BD3"/>
    <w:rsid w:val="00282D82"/>
    <w:rsid w:val="00282FC6"/>
    <w:rsid w:val="00283F45"/>
    <w:rsid w:val="002843A1"/>
    <w:rsid w:val="0028549E"/>
    <w:rsid w:val="0028613C"/>
    <w:rsid w:val="00286E59"/>
    <w:rsid w:val="002875ED"/>
    <w:rsid w:val="002877D5"/>
    <w:rsid w:val="00287BF2"/>
    <w:rsid w:val="00290E36"/>
    <w:rsid w:val="00291349"/>
    <w:rsid w:val="00291710"/>
    <w:rsid w:val="002921A1"/>
    <w:rsid w:val="002921EB"/>
    <w:rsid w:val="00292496"/>
    <w:rsid w:val="002925BF"/>
    <w:rsid w:val="002926B2"/>
    <w:rsid w:val="00292F59"/>
    <w:rsid w:val="0029305B"/>
    <w:rsid w:val="00293263"/>
    <w:rsid w:val="002932E6"/>
    <w:rsid w:val="00293767"/>
    <w:rsid w:val="002939B8"/>
    <w:rsid w:val="00293E2B"/>
    <w:rsid w:val="0029509A"/>
    <w:rsid w:val="0029542D"/>
    <w:rsid w:val="0029551D"/>
    <w:rsid w:val="00296A18"/>
    <w:rsid w:val="00296B70"/>
    <w:rsid w:val="00297BBB"/>
    <w:rsid w:val="002A0276"/>
    <w:rsid w:val="002A0393"/>
    <w:rsid w:val="002A059C"/>
    <w:rsid w:val="002A0647"/>
    <w:rsid w:val="002A14C9"/>
    <w:rsid w:val="002A1A43"/>
    <w:rsid w:val="002A2072"/>
    <w:rsid w:val="002A391E"/>
    <w:rsid w:val="002A3E8F"/>
    <w:rsid w:val="002A5B7D"/>
    <w:rsid w:val="002A6507"/>
    <w:rsid w:val="002A72C5"/>
    <w:rsid w:val="002A760B"/>
    <w:rsid w:val="002B047D"/>
    <w:rsid w:val="002B09B5"/>
    <w:rsid w:val="002B0BEA"/>
    <w:rsid w:val="002B0C45"/>
    <w:rsid w:val="002B10FB"/>
    <w:rsid w:val="002B1CB8"/>
    <w:rsid w:val="002B1EAD"/>
    <w:rsid w:val="002B3E47"/>
    <w:rsid w:val="002B3EDF"/>
    <w:rsid w:val="002B4587"/>
    <w:rsid w:val="002B49F1"/>
    <w:rsid w:val="002B4C68"/>
    <w:rsid w:val="002B59C4"/>
    <w:rsid w:val="002B666A"/>
    <w:rsid w:val="002B66D6"/>
    <w:rsid w:val="002B69B0"/>
    <w:rsid w:val="002B6A17"/>
    <w:rsid w:val="002B7115"/>
    <w:rsid w:val="002B734B"/>
    <w:rsid w:val="002B7448"/>
    <w:rsid w:val="002B7D5B"/>
    <w:rsid w:val="002C1449"/>
    <w:rsid w:val="002C1670"/>
    <w:rsid w:val="002C1BBC"/>
    <w:rsid w:val="002C1BC6"/>
    <w:rsid w:val="002C2216"/>
    <w:rsid w:val="002C294B"/>
    <w:rsid w:val="002C2AF4"/>
    <w:rsid w:val="002C2B6C"/>
    <w:rsid w:val="002C2BDF"/>
    <w:rsid w:val="002C3695"/>
    <w:rsid w:val="002C38C1"/>
    <w:rsid w:val="002C40AD"/>
    <w:rsid w:val="002C41DE"/>
    <w:rsid w:val="002C5950"/>
    <w:rsid w:val="002C59C7"/>
    <w:rsid w:val="002C6B9F"/>
    <w:rsid w:val="002C6F35"/>
    <w:rsid w:val="002C71F4"/>
    <w:rsid w:val="002C74ED"/>
    <w:rsid w:val="002C786B"/>
    <w:rsid w:val="002C7A81"/>
    <w:rsid w:val="002D00CF"/>
    <w:rsid w:val="002D042E"/>
    <w:rsid w:val="002D0516"/>
    <w:rsid w:val="002D0FFD"/>
    <w:rsid w:val="002D1860"/>
    <w:rsid w:val="002D1D27"/>
    <w:rsid w:val="002D305C"/>
    <w:rsid w:val="002D3E95"/>
    <w:rsid w:val="002D43FB"/>
    <w:rsid w:val="002D4695"/>
    <w:rsid w:val="002D46B0"/>
    <w:rsid w:val="002D47D1"/>
    <w:rsid w:val="002D4C28"/>
    <w:rsid w:val="002D4CE4"/>
    <w:rsid w:val="002D5415"/>
    <w:rsid w:val="002D6714"/>
    <w:rsid w:val="002D7FCB"/>
    <w:rsid w:val="002E0719"/>
    <w:rsid w:val="002E0F55"/>
    <w:rsid w:val="002E0FA6"/>
    <w:rsid w:val="002E175E"/>
    <w:rsid w:val="002E2276"/>
    <w:rsid w:val="002E2862"/>
    <w:rsid w:val="002E29DA"/>
    <w:rsid w:val="002E3D0E"/>
    <w:rsid w:val="002E477C"/>
    <w:rsid w:val="002E4C58"/>
    <w:rsid w:val="002E6704"/>
    <w:rsid w:val="002E7149"/>
    <w:rsid w:val="002E76F4"/>
    <w:rsid w:val="002E7DE7"/>
    <w:rsid w:val="002F15ED"/>
    <w:rsid w:val="002F187C"/>
    <w:rsid w:val="002F1BF9"/>
    <w:rsid w:val="002F23E2"/>
    <w:rsid w:val="002F24E0"/>
    <w:rsid w:val="002F2F0C"/>
    <w:rsid w:val="002F30FC"/>
    <w:rsid w:val="002F3ABF"/>
    <w:rsid w:val="002F3B6B"/>
    <w:rsid w:val="002F3DA3"/>
    <w:rsid w:val="002F4C08"/>
    <w:rsid w:val="002F4F44"/>
    <w:rsid w:val="002F5683"/>
    <w:rsid w:val="002F56D5"/>
    <w:rsid w:val="002F5E5D"/>
    <w:rsid w:val="002F636B"/>
    <w:rsid w:val="002F6CB4"/>
    <w:rsid w:val="002F6EB0"/>
    <w:rsid w:val="002F7052"/>
    <w:rsid w:val="002F732D"/>
    <w:rsid w:val="002F7914"/>
    <w:rsid w:val="003000E3"/>
    <w:rsid w:val="00300C85"/>
    <w:rsid w:val="00300DB6"/>
    <w:rsid w:val="00300F74"/>
    <w:rsid w:val="00301A93"/>
    <w:rsid w:val="00302FA6"/>
    <w:rsid w:val="00303872"/>
    <w:rsid w:val="00303956"/>
    <w:rsid w:val="00304761"/>
    <w:rsid w:val="0030501A"/>
    <w:rsid w:val="003054AB"/>
    <w:rsid w:val="00306610"/>
    <w:rsid w:val="00306ABE"/>
    <w:rsid w:val="00306F49"/>
    <w:rsid w:val="003079FB"/>
    <w:rsid w:val="00307B5B"/>
    <w:rsid w:val="00307DFC"/>
    <w:rsid w:val="0031004C"/>
    <w:rsid w:val="00311B24"/>
    <w:rsid w:val="00311F72"/>
    <w:rsid w:val="003125BC"/>
    <w:rsid w:val="00312848"/>
    <w:rsid w:val="00313E25"/>
    <w:rsid w:val="003141CE"/>
    <w:rsid w:val="003149BF"/>
    <w:rsid w:val="00315010"/>
    <w:rsid w:val="00315620"/>
    <w:rsid w:val="003158BB"/>
    <w:rsid w:val="00316931"/>
    <w:rsid w:val="003169F8"/>
    <w:rsid w:val="00316EA8"/>
    <w:rsid w:val="00317090"/>
    <w:rsid w:val="00320C27"/>
    <w:rsid w:val="00320FDB"/>
    <w:rsid w:val="0032139E"/>
    <w:rsid w:val="00321440"/>
    <w:rsid w:val="00321930"/>
    <w:rsid w:val="00324658"/>
    <w:rsid w:val="0032488F"/>
    <w:rsid w:val="003250EF"/>
    <w:rsid w:val="003253FF"/>
    <w:rsid w:val="00325557"/>
    <w:rsid w:val="003257AF"/>
    <w:rsid w:val="00325DFE"/>
    <w:rsid w:val="00326CCA"/>
    <w:rsid w:val="003274E8"/>
    <w:rsid w:val="003276FB"/>
    <w:rsid w:val="003307E6"/>
    <w:rsid w:val="00330C99"/>
    <w:rsid w:val="00331255"/>
    <w:rsid w:val="003319D2"/>
    <w:rsid w:val="00331D23"/>
    <w:rsid w:val="003323AC"/>
    <w:rsid w:val="00333296"/>
    <w:rsid w:val="00333465"/>
    <w:rsid w:val="00333989"/>
    <w:rsid w:val="00333BED"/>
    <w:rsid w:val="00333E2E"/>
    <w:rsid w:val="0033453F"/>
    <w:rsid w:val="003349FF"/>
    <w:rsid w:val="00334C29"/>
    <w:rsid w:val="00334CD9"/>
    <w:rsid w:val="00334FDC"/>
    <w:rsid w:val="00335634"/>
    <w:rsid w:val="003358BD"/>
    <w:rsid w:val="0033654F"/>
    <w:rsid w:val="00336C5E"/>
    <w:rsid w:val="00337041"/>
    <w:rsid w:val="00337B11"/>
    <w:rsid w:val="00337EB7"/>
    <w:rsid w:val="0034057A"/>
    <w:rsid w:val="0034080C"/>
    <w:rsid w:val="00340A9A"/>
    <w:rsid w:val="00340EAA"/>
    <w:rsid w:val="0034135B"/>
    <w:rsid w:val="003428E2"/>
    <w:rsid w:val="00342E3A"/>
    <w:rsid w:val="00344277"/>
    <w:rsid w:val="003461E4"/>
    <w:rsid w:val="003468AB"/>
    <w:rsid w:val="00346ADB"/>
    <w:rsid w:val="00347407"/>
    <w:rsid w:val="00347669"/>
    <w:rsid w:val="00347883"/>
    <w:rsid w:val="00350AF0"/>
    <w:rsid w:val="00350C7E"/>
    <w:rsid w:val="00350F4D"/>
    <w:rsid w:val="0035160C"/>
    <w:rsid w:val="00351875"/>
    <w:rsid w:val="00352089"/>
    <w:rsid w:val="00352758"/>
    <w:rsid w:val="00352FEC"/>
    <w:rsid w:val="0035348C"/>
    <w:rsid w:val="003549CF"/>
    <w:rsid w:val="0035573C"/>
    <w:rsid w:val="00355B4B"/>
    <w:rsid w:val="00355B6D"/>
    <w:rsid w:val="00356547"/>
    <w:rsid w:val="00356B42"/>
    <w:rsid w:val="0035793D"/>
    <w:rsid w:val="00357EC2"/>
    <w:rsid w:val="00357ED7"/>
    <w:rsid w:val="00360C7F"/>
    <w:rsid w:val="003610D3"/>
    <w:rsid w:val="00361824"/>
    <w:rsid w:val="00361C0C"/>
    <w:rsid w:val="00361C33"/>
    <w:rsid w:val="0036231F"/>
    <w:rsid w:val="00362834"/>
    <w:rsid w:val="00363CB0"/>
    <w:rsid w:val="00364C06"/>
    <w:rsid w:val="00364CA2"/>
    <w:rsid w:val="00364F2D"/>
    <w:rsid w:val="0036566F"/>
    <w:rsid w:val="0036696C"/>
    <w:rsid w:val="0036701C"/>
    <w:rsid w:val="003671A2"/>
    <w:rsid w:val="00367A93"/>
    <w:rsid w:val="00367F70"/>
    <w:rsid w:val="0037088C"/>
    <w:rsid w:val="00370AE4"/>
    <w:rsid w:val="003712E3"/>
    <w:rsid w:val="00371F24"/>
    <w:rsid w:val="00372283"/>
    <w:rsid w:val="00372554"/>
    <w:rsid w:val="003726AD"/>
    <w:rsid w:val="00372E28"/>
    <w:rsid w:val="00372ED5"/>
    <w:rsid w:val="00373DD3"/>
    <w:rsid w:val="00373E94"/>
    <w:rsid w:val="00374152"/>
    <w:rsid w:val="00374E87"/>
    <w:rsid w:val="00375563"/>
    <w:rsid w:val="003759BE"/>
    <w:rsid w:val="003769DB"/>
    <w:rsid w:val="00376E8D"/>
    <w:rsid w:val="0037707F"/>
    <w:rsid w:val="00377481"/>
    <w:rsid w:val="0037784A"/>
    <w:rsid w:val="00377EB3"/>
    <w:rsid w:val="00380B4A"/>
    <w:rsid w:val="00380B91"/>
    <w:rsid w:val="00380D2A"/>
    <w:rsid w:val="003813A3"/>
    <w:rsid w:val="003816DD"/>
    <w:rsid w:val="00381701"/>
    <w:rsid w:val="00381DDD"/>
    <w:rsid w:val="00382C6A"/>
    <w:rsid w:val="00382F70"/>
    <w:rsid w:val="0038459B"/>
    <w:rsid w:val="00385338"/>
    <w:rsid w:val="00385CE1"/>
    <w:rsid w:val="0038674F"/>
    <w:rsid w:val="003867C1"/>
    <w:rsid w:val="00386A91"/>
    <w:rsid w:val="00386AC6"/>
    <w:rsid w:val="00386B7E"/>
    <w:rsid w:val="00386DB2"/>
    <w:rsid w:val="003902C9"/>
    <w:rsid w:val="00390E09"/>
    <w:rsid w:val="00391020"/>
    <w:rsid w:val="00391450"/>
    <w:rsid w:val="00391736"/>
    <w:rsid w:val="00392918"/>
    <w:rsid w:val="003932F9"/>
    <w:rsid w:val="00393E96"/>
    <w:rsid w:val="003948CE"/>
    <w:rsid w:val="00394A7A"/>
    <w:rsid w:val="003957BF"/>
    <w:rsid w:val="00395A58"/>
    <w:rsid w:val="00395E82"/>
    <w:rsid w:val="00395EE0"/>
    <w:rsid w:val="00396A00"/>
    <w:rsid w:val="00396FE2"/>
    <w:rsid w:val="00397296"/>
    <w:rsid w:val="00397B9C"/>
    <w:rsid w:val="00397C2C"/>
    <w:rsid w:val="003A1347"/>
    <w:rsid w:val="003A31AD"/>
    <w:rsid w:val="003A3759"/>
    <w:rsid w:val="003A37AC"/>
    <w:rsid w:val="003A4728"/>
    <w:rsid w:val="003A4BCD"/>
    <w:rsid w:val="003A537D"/>
    <w:rsid w:val="003A6D8E"/>
    <w:rsid w:val="003A7164"/>
    <w:rsid w:val="003A7363"/>
    <w:rsid w:val="003A7B36"/>
    <w:rsid w:val="003A7EBF"/>
    <w:rsid w:val="003B0403"/>
    <w:rsid w:val="003B2222"/>
    <w:rsid w:val="003B28B4"/>
    <w:rsid w:val="003B2B1F"/>
    <w:rsid w:val="003B304C"/>
    <w:rsid w:val="003B3353"/>
    <w:rsid w:val="003B3A7E"/>
    <w:rsid w:val="003B3E14"/>
    <w:rsid w:val="003B3E7A"/>
    <w:rsid w:val="003B43D0"/>
    <w:rsid w:val="003B4F97"/>
    <w:rsid w:val="003B5753"/>
    <w:rsid w:val="003B5792"/>
    <w:rsid w:val="003B5ADA"/>
    <w:rsid w:val="003B5C2C"/>
    <w:rsid w:val="003B66FB"/>
    <w:rsid w:val="003B6703"/>
    <w:rsid w:val="003B691B"/>
    <w:rsid w:val="003B6ECA"/>
    <w:rsid w:val="003B703C"/>
    <w:rsid w:val="003B7943"/>
    <w:rsid w:val="003B7AFE"/>
    <w:rsid w:val="003C05FC"/>
    <w:rsid w:val="003C1339"/>
    <w:rsid w:val="003C14C8"/>
    <w:rsid w:val="003C1ABE"/>
    <w:rsid w:val="003C23B1"/>
    <w:rsid w:val="003C27A3"/>
    <w:rsid w:val="003C2D60"/>
    <w:rsid w:val="003C37F8"/>
    <w:rsid w:val="003C3B0D"/>
    <w:rsid w:val="003C4067"/>
    <w:rsid w:val="003C42F6"/>
    <w:rsid w:val="003C44E3"/>
    <w:rsid w:val="003C4AA3"/>
    <w:rsid w:val="003C4ACF"/>
    <w:rsid w:val="003C4D33"/>
    <w:rsid w:val="003C556B"/>
    <w:rsid w:val="003C570C"/>
    <w:rsid w:val="003C5BD9"/>
    <w:rsid w:val="003C5CEB"/>
    <w:rsid w:val="003C68EF"/>
    <w:rsid w:val="003D0223"/>
    <w:rsid w:val="003D11DC"/>
    <w:rsid w:val="003D236E"/>
    <w:rsid w:val="003D26DF"/>
    <w:rsid w:val="003D34A3"/>
    <w:rsid w:val="003D3CE6"/>
    <w:rsid w:val="003D3E7F"/>
    <w:rsid w:val="003D3EF2"/>
    <w:rsid w:val="003D4083"/>
    <w:rsid w:val="003D45E3"/>
    <w:rsid w:val="003D4AC2"/>
    <w:rsid w:val="003D4FAC"/>
    <w:rsid w:val="003D5AA6"/>
    <w:rsid w:val="003D5F47"/>
    <w:rsid w:val="003D6900"/>
    <w:rsid w:val="003D6EF8"/>
    <w:rsid w:val="003D704C"/>
    <w:rsid w:val="003D764A"/>
    <w:rsid w:val="003E1957"/>
    <w:rsid w:val="003E2610"/>
    <w:rsid w:val="003E29DE"/>
    <w:rsid w:val="003E2B40"/>
    <w:rsid w:val="003E2C20"/>
    <w:rsid w:val="003E3122"/>
    <w:rsid w:val="003E40E2"/>
    <w:rsid w:val="003E5163"/>
    <w:rsid w:val="003E57B0"/>
    <w:rsid w:val="003E6818"/>
    <w:rsid w:val="003E6C8D"/>
    <w:rsid w:val="003E737E"/>
    <w:rsid w:val="003E73C6"/>
    <w:rsid w:val="003E75D0"/>
    <w:rsid w:val="003F0371"/>
    <w:rsid w:val="003F04A1"/>
    <w:rsid w:val="003F087D"/>
    <w:rsid w:val="003F089F"/>
    <w:rsid w:val="003F13C2"/>
    <w:rsid w:val="003F200D"/>
    <w:rsid w:val="003F2F5C"/>
    <w:rsid w:val="003F32E5"/>
    <w:rsid w:val="003F32EE"/>
    <w:rsid w:val="003F3F5D"/>
    <w:rsid w:val="003F401F"/>
    <w:rsid w:val="003F4679"/>
    <w:rsid w:val="003F4C85"/>
    <w:rsid w:val="003F5171"/>
    <w:rsid w:val="003F6567"/>
    <w:rsid w:val="003F688A"/>
    <w:rsid w:val="003F6A81"/>
    <w:rsid w:val="003F6DAB"/>
    <w:rsid w:val="003F7081"/>
    <w:rsid w:val="003F7412"/>
    <w:rsid w:val="003F7797"/>
    <w:rsid w:val="003F7EB7"/>
    <w:rsid w:val="004000E7"/>
    <w:rsid w:val="00400900"/>
    <w:rsid w:val="00401B78"/>
    <w:rsid w:val="0040211F"/>
    <w:rsid w:val="00402D57"/>
    <w:rsid w:val="004037ED"/>
    <w:rsid w:val="00403EDE"/>
    <w:rsid w:val="004043DB"/>
    <w:rsid w:val="004051C5"/>
    <w:rsid w:val="00405C64"/>
    <w:rsid w:val="004063D7"/>
    <w:rsid w:val="004068D0"/>
    <w:rsid w:val="0040725B"/>
    <w:rsid w:val="00407360"/>
    <w:rsid w:val="00407580"/>
    <w:rsid w:val="00407A9C"/>
    <w:rsid w:val="0041003D"/>
    <w:rsid w:val="00410CEA"/>
    <w:rsid w:val="0041105D"/>
    <w:rsid w:val="00411922"/>
    <w:rsid w:val="00411A91"/>
    <w:rsid w:val="0041298B"/>
    <w:rsid w:val="004131A4"/>
    <w:rsid w:val="0041379D"/>
    <w:rsid w:val="00413BA8"/>
    <w:rsid w:val="00413FCB"/>
    <w:rsid w:val="0041594B"/>
    <w:rsid w:val="00415C95"/>
    <w:rsid w:val="00415CC8"/>
    <w:rsid w:val="00415D68"/>
    <w:rsid w:val="00415F01"/>
    <w:rsid w:val="00416057"/>
    <w:rsid w:val="00416B0A"/>
    <w:rsid w:val="0041718A"/>
    <w:rsid w:val="004175FE"/>
    <w:rsid w:val="0041786E"/>
    <w:rsid w:val="00417BB1"/>
    <w:rsid w:val="00420DE8"/>
    <w:rsid w:val="0042117A"/>
    <w:rsid w:val="00421A53"/>
    <w:rsid w:val="00422B80"/>
    <w:rsid w:val="00422BCD"/>
    <w:rsid w:val="00423353"/>
    <w:rsid w:val="00423BFF"/>
    <w:rsid w:val="0042450A"/>
    <w:rsid w:val="00425666"/>
    <w:rsid w:val="004259DD"/>
    <w:rsid w:val="004259FC"/>
    <w:rsid w:val="00425A5B"/>
    <w:rsid w:val="004260C0"/>
    <w:rsid w:val="004263F4"/>
    <w:rsid w:val="004270E6"/>
    <w:rsid w:val="00427FD1"/>
    <w:rsid w:val="00430099"/>
    <w:rsid w:val="004304B2"/>
    <w:rsid w:val="00430E3C"/>
    <w:rsid w:val="0043174C"/>
    <w:rsid w:val="00431FF7"/>
    <w:rsid w:val="004322D6"/>
    <w:rsid w:val="00432BEC"/>
    <w:rsid w:val="0043335A"/>
    <w:rsid w:val="00433950"/>
    <w:rsid w:val="00434A91"/>
    <w:rsid w:val="0043534C"/>
    <w:rsid w:val="00436284"/>
    <w:rsid w:val="004365FF"/>
    <w:rsid w:val="00436665"/>
    <w:rsid w:val="00436CC0"/>
    <w:rsid w:val="0043749D"/>
    <w:rsid w:val="004411A7"/>
    <w:rsid w:val="004414F9"/>
    <w:rsid w:val="00441EC2"/>
    <w:rsid w:val="00442090"/>
    <w:rsid w:val="00442559"/>
    <w:rsid w:val="00442C1E"/>
    <w:rsid w:val="00442D3E"/>
    <w:rsid w:val="00444655"/>
    <w:rsid w:val="00445474"/>
    <w:rsid w:val="004456AE"/>
    <w:rsid w:val="00445AB8"/>
    <w:rsid w:val="004466BE"/>
    <w:rsid w:val="0044695C"/>
    <w:rsid w:val="00446D48"/>
    <w:rsid w:val="004475F1"/>
    <w:rsid w:val="004479B6"/>
    <w:rsid w:val="00450400"/>
    <w:rsid w:val="0045066C"/>
    <w:rsid w:val="00451394"/>
    <w:rsid w:val="0045164A"/>
    <w:rsid w:val="0045242A"/>
    <w:rsid w:val="00452B04"/>
    <w:rsid w:val="00453321"/>
    <w:rsid w:val="004533F7"/>
    <w:rsid w:val="0045440B"/>
    <w:rsid w:val="00454468"/>
    <w:rsid w:val="0045510F"/>
    <w:rsid w:val="004552DE"/>
    <w:rsid w:val="0045583D"/>
    <w:rsid w:val="00456530"/>
    <w:rsid w:val="00456783"/>
    <w:rsid w:val="00456C1F"/>
    <w:rsid w:val="004601FE"/>
    <w:rsid w:val="0046026D"/>
    <w:rsid w:val="00460951"/>
    <w:rsid w:val="00460F3F"/>
    <w:rsid w:val="00461578"/>
    <w:rsid w:val="00461A7C"/>
    <w:rsid w:val="004629F7"/>
    <w:rsid w:val="00462D87"/>
    <w:rsid w:val="004639AB"/>
    <w:rsid w:val="00464913"/>
    <w:rsid w:val="00464BA1"/>
    <w:rsid w:val="00464BD7"/>
    <w:rsid w:val="00465067"/>
    <w:rsid w:val="004659B5"/>
    <w:rsid w:val="00465D65"/>
    <w:rsid w:val="00465E9C"/>
    <w:rsid w:val="0046628E"/>
    <w:rsid w:val="00466324"/>
    <w:rsid w:val="00466777"/>
    <w:rsid w:val="00466783"/>
    <w:rsid w:val="0046744B"/>
    <w:rsid w:val="00467593"/>
    <w:rsid w:val="004676D0"/>
    <w:rsid w:val="00467986"/>
    <w:rsid w:val="00470D54"/>
    <w:rsid w:val="00470FD8"/>
    <w:rsid w:val="00471A7A"/>
    <w:rsid w:val="00473001"/>
    <w:rsid w:val="004736F2"/>
    <w:rsid w:val="00474495"/>
    <w:rsid w:val="004748C8"/>
    <w:rsid w:val="00474B74"/>
    <w:rsid w:val="00474CB4"/>
    <w:rsid w:val="00476FDB"/>
    <w:rsid w:val="004770CE"/>
    <w:rsid w:val="00477638"/>
    <w:rsid w:val="00477A4E"/>
    <w:rsid w:val="00477D4F"/>
    <w:rsid w:val="00480497"/>
    <w:rsid w:val="00480CD2"/>
    <w:rsid w:val="00481490"/>
    <w:rsid w:val="004815EC"/>
    <w:rsid w:val="00482C5D"/>
    <w:rsid w:val="00483D6C"/>
    <w:rsid w:val="00484D79"/>
    <w:rsid w:val="0048543A"/>
    <w:rsid w:val="0048648F"/>
    <w:rsid w:val="00486734"/>
    <w:rsid w:val="004870C2"/>
    <w:rsid w:val="00487596"/>
    <w:rsid w:val="00487CEE"/>
    <w:rsid w:val="00490401"/>
    <w:rsid w:val="00490A6C"/>
    <w:rsid w:val="004916AC"/>
    <w:rsid w:val="004916F5"/>
    <w:rsid w:val="00491BCA"/>
    <w:rsid w:val="00492AE3"/>
    <w:rsid w:val="00493005"/>
    <w:rsid w:val="004934EB"/>
    <w:rsid w:val="0049452D"/>
    <w:rsid w:val="00494A04"/>
    <w:rsid w:val="00495719"/>
    <w:rsid w:val="0049573A"/>
    <w:rsid w:val="00495A52"/>
    <w:rsid w:val="00495B18"/>
    <w:rsid w:val="00496165"/>
    <w:rsid w:val="004971C2"/>
    <w:rsid w:val="004974AC"/>
    <w:rsid w:val="0049772B"/>
    <w:rsid w:val="004A02D2"/>
    <w:rsid w:val="004A0CFE"/>
    <w:rsid w:val="004A1806"/>
    <w:rsid w:val="004A18E7"/>
    <w:rsid w:val="004A1D08"/>
    <w:rsid w:val="004A1DF6"/>
    <w:rsid w:val="004A2A54"/>
    <w:rsid w:val="004A319E"/>
    <w:rsid w:val="004A3996"/>
    <w:rsid w:val="004A3EF2"/>
    <w:rsid w:val="004A439E"/>
    <w:rsid w:val="004A4D42"/>
    <w:rsid w:val="004A6BC7"/>
    <w:rsid w:val="004A70CD"/>
    <w:rsid w:val="004A7289"/>
    <w:rsid w:val="004A7E7E"/>
    <w:rsid w:val="004A7E99"/>
    <w:rsid w:val="004A7FCB"/>
    <w:rsid w:val="004B012E"/>
    <w:rsid w:val="004B0C26"/>
    <w:rsid w:val="004B0F16"/>
    <w:rsid w:val="004B15EF"/>
    <w:rsid w:val="004B163E"/>
    <w:rsid w:val="004B199D"/>
    <w:rsid w:val="004B274C"/>
    <w:rsid w:val="004B3BE1"/>
    <w:rsid w:val="004B5009"/>
    <w:rsid w:val="004B5661"/>
    <w:rsid w:val="004B639E"/>
    <w:rsid w:val="004B68B4"/>
    <w:rsid w:val="004B70DB"/>
    <w:rsid w:val="004B71AF"/>
    <w:rsid w:val="004C000E"/>
    <w:rsid w:val="004C02F0"/>
    <w:rsid w:val="004C03D0"/>
    <w:rsid w:val="004C106C"/>
    <w:rsid w:val="004C1122"/>
    <w:rsid w:val="004C188A"/>
    <w:rsid w:val="004C21DE"/>
    <w:rsid w:val="004C2522"/>
    <w:rsid w:val="004C2E69"/>
    <w:rsid w:val="004C3270"/>
    <w:rsid w:val="004C36B2"/>
    <w:rsid w:val="004C38BE"/>
    <w:rsid w:val="004C3F88"/>
    <w:rsid w:val="004C49B6"/>
    <w:rsid w:val="004C4F18"/>
    <w:rsid w:val="004C6159"/>
    <w:rsid w:val="004C762C"/>
    <w:rsid w:val="004D006D"/>
    <w:rsid w:val="004D007D"/>
    <w:rsid w:val="004D0AF1"/>
    <w:rsid w:val="004D1574"/>
    <w:rsid w:val="004D1C52"/>
    <w:rsid w:val="004D2DD0"/>
    <w:rsid w:val="004D31B9"/>
    <w:rsid w:val="004D3B15"/>
    <w:rsid w:val="004D5F7B"/>
    <w:rsid w:val="004D62DF"/>
    <w:rsid w:val="004D76AA"/>
    <w:rsid w:val="004D772A"/>
    <w:rsid w:val="004D7CCC"/>
    <w:rsid w:val="004E021C"/>
    <w:rsid w:val="004E03E5"/>
    <w:rsid w:val="004E085C"/>
    <w:rsid w:val="004E14F7"/>
    <w:rsid w:val="004E1D62"/>
    <w:rsid w:val="004E29FA"/>
    <w:rsid w:val="004E4598"/>
    <w:rsid w:val="004E535A"/>
    <w:rsid w:val="004E54C6"/>
    <w:rsid w:val="004E58AC"/>
    <w:rsid w:val="004E59EC"/>
    <w:rsid w:val="004E6366"/>
    <w:rsid w:val="004E6A58"/>
    <w:rsid w:val="004E6FEC"/>
    <w:rsid w:val="004E7074"/>
    <w:rsid w:val="004E71B4"/>
    <w:rsid w:val="004E7CCC"/>
    <w:rsid w:val="004F01EE"/>
    <w:rsid w:val="004F0296"/>
    <w:rsid w:val="004F10F4"/>
    <w:rsid w:val="004F11F4"/>
    <w:rsid w:val="004F2644"/>
    <w:rsid w:val="004F29FC"/>
    <w:rsid w:val="004F2CE9"/>
    <w:rsid w:val="004F41C1"/>
    <w:rsid w:val="004F4BDC"/>
    <w:rsid w:val="004F4E88"/>
    <w:rsid w:val="004F55D4"/>
    <w:rsid w:val="004F5846"/>
    <w:rsid w:val="004F586F"/>
    <w:rsid w:val="004F5D69"/>
    <w:rsid w:val="004F5D9E"/>
    <w:rsid w:val="004F64F8"/>
    <w:rsid w:val="004F64FD"/>
    <w:rsid w:val="004F6AF5"/>
    <w:rsid w:val="004F7E95"/>
    <w:rsid w:val="004F7E9F"/>
    <w:rsid w:val="0050019C"/>
    <w:rsid w:val="00500985"/>
    <w:rsid w:val="00500A3A"/>
    <w:rsid w:val="005015FE"/>
    <w:rsid w:val="0050180F"/>
    <w:rsid w:val="00501FE5"/>
    <w:rsid w:val="005025DC"/>
    <w:rsid w:val="00502B20"/>
    <w:rsid w:val="00503516"/>
    <w:rsid w:val="0050364B"/>
    <w:rsid w:val="00503D6B"/>
    <w:rsid w:val="00505344"/>
    <w:rsid w:val="00506516"/>
    <w:rsid w:val="0050734E"/>
    <w:rsid w:val="00510161"/>
    <w:rsid w:val="00511040"/>
    <w:rsid w:val="00511A83"/>
    <w:rsid w:val="0051249F"/>
    <w:rsid w:val="0051369F"/>
    <w:rsid w:val="00513D76"/>
    <w:rsid w:val="00513E20"/>
    <w:rsid w:val="00513F6B"/>
    <w:rsid w:val="00514D3E"/>
    <w:rsid w:val="00516397"/>
    <w:rsid w:val="00516B53"/>
    <w:rsid w:val="00516F2E"/>
    <w:rsid w:val="00517B9C"/>
    <w:rsid w:val="00517D27"/>
    <w:rsid w:val="00517E90"/>
    <w:rsid w:val="00520055"/>
    <w:rsid w:val="00521203"/>
    <w:rsid w:val="0052165A"/>
    <w:rsid w:val="00521F30"/>
    <w:rsid w:val="00522611"/>
    <w:rsid w:val="00523D96"/>
    <w:rsid w:val="0052418B"/>
    <w:rsid w:val="005248D9"/>
    <w:rsid w:val="005249BB"/>
    <w:rsid w:val="00524BE5"/>
    <w:rsid w:val="00524F33"/>
    <w:rsid w:val="00525064"/>
    <w:rsid w:val="00525AA8"/>
    <w:rsid w:val="005267A9"/>
    <w:rsid w:val="0052724B"/>
    <w:rsid w:val="0052761F"/>
    <w:rsid w:val="00527D7D"/>
    <w:rsid w:val="00530310"/>
    <w:rsid w:val="00531D86"/>
    <w:rsid w:val="00531FEB"/>
    <w:rsid w:val="00532151"/>
    <w:rsid w:val="005322C6"/>
    <w:rsid w:val="00532308"/>
    <w:rsid w:val="00533152"/>
    <w:rsid w:val="00533DEE"/>
    <w:rsid w:val="00534382"/>
    <w:rsid w:val="0053525F"/>
    <w:rsid w:val="0053529C"/>
    <w:rsid w:val="00535408"/>
    <w:rsid w:val="00535F65"/>
    <w:rsid w:val="00536865"/>
    <w:rsid w:val="00536B09"/>
    <w:rsid w:val="005370C4"/>
    <w:rsid w:val="00537CD8"/>
    <w:rsid w:val="005412FD"/>
    <w:rsid w:val="005415A7"/>
    <w:rsid w:val="00541C86"/>
    <w:rsid w:val="0054207A"/>
    <w:rsid w:val="005420DE"/>
    <w:rsid w:val="005436F7"/>
    <w:rsid w:val="00543FAA"/>
    <w:rsid w:val="00544914"/>
    <w:rsid w:val="00544E24"/>
    <w:rsid w:val="0054549E"/>
    <w:rsid w:val="00545CF9"/>
    <w:rsid w:val="00545E51"/>
    <w:rsid w:val="00546258"/>
    <w:rsid w:val="005469AB"/>
    <w:rsid w:val="00547269"/>
    <w:rsid w:val="00547A47"/>
    <w:rsid w:val="00547CDB"/>
    <w:rsid w:val="00547E97"/>
    <w:rsid w:val="00547F2F"/>
    <w:rsid w:val="00550341"/>
    <w:rsid w:val="005503D2"/>
    <w:rsid w:val="00551207"/>
    <w:rsid w:val="005514DF"/>
    <w:rsid w:val="005524C9"/>
    <w:rsid w:val="005525E6"/>
    <w:rsid w:val="00552BC9"/>
    <w:rsid w:val="00553023"/>
    <w:rsid w:val="00553958"/>
    <w:rsid w:val="005556AA"/>
    <w:rsid w:val="00555964"/>
    <w:rsid w:val="0055753F"/>
    <w:rsid w:val="00560347"/>
    <w:rsid w:val="00560836"/>
    <w:rsid w:val="005608D4"/>
    <w:rsid w:val="00560C65"/>
    <w:rsid w:val="00561CF6"/>
    <w:rsid w:val="0056356A"/>
    <w:rsid w:val="005638E8"/>
    <w:rsid w:val="00563CAF"/>
    <w:rsid w:val="005645F3"/>
    <w:rsid w:val="0056533F"/>
    <w:rsid w:val="005655C4"/>
    <w:rsid w:val="00565AC4"/>
    <w:rsid w:val="00565E75"/>
    <w:rsid w:val="00565E82"/>
    <w:rsid w:val="00566E75"/>
    <w:rsid w:val="00566EA6"/>
    <w:rsid w:val="005700E4"/>
    <w:rsid w:val="0057088E"/>
    <w:rsid w:val="00570935"/>
    <w:rsid w:val="0057105E"/>
    <w:rsid w:val="00571B8D"/>
    <w:rsid w:val="00571FAD"/>
    <w:rsid w:val="00572331"/>
    <w:rsid w:val="005725A8"/>
    <w:rsid w:val="00572C78"/>
    <w:rsid w:val="00572F1C"/>
    <w:rsid w:val="005735EE"/>
    <w:rsid w:val="00573B2F"/>
    <w:rsid w:val="00574030"/>
    <w:rsid w:val="0057505A"/>
    <w:rsid w:val="005751D9"/>
    <w:rsid w:val="005752AB"/>
    <w:rsid w:val="00575A9D"/>
    <w:rsid w:val="00576906"/>
    <w:rsid w:val="00576A04"/>
    <w:rsid w:val="00577F76"/>
    <w:rsid w:val="00580137"/>
    <w:rsid w:val="0058016A"/>
    <w:rsid w:val="005804A7"/>
    <w:rsid w:val="0058163C"/>
    <w:rsid w:val="00582658"/>
    <w:rsid w:val="00583A02"/>
    <w:rsid w:val="00584314"/>
    <w:rsid w:val="0058514B"/>
    <w:rsid w:val="005869E1"/>
    <w:rsid w:val="00586B1F"/>
    <w:rsid w:val="0058764D"/>
    <w:rsid w:val="005906D2"/>
    <w:rsid w:val="005907DF"/>
    <w:rsid w:val="00590ADE"/>
    <w:rsid w:val="00591CD8"/>
    <w:rsid w:val="00592AB8"/>
    <w:rsid w:val="00592FDC"/>
    <w:rsid w:val="00593502"/>
    <w:rsid w:val="00593853"/>
    <w:rsid w:val="00593DFC"/>
    <w:rsid w:val="00594273"/>
    <w:rsid w:val="00594315"/>
    <w:rsid w:val="00594500"/>
    <w:rsid w:val="00594720"/>
    <w:rsid w:val="00594CFE"/>
    <w:rsid w:val="00594FE2"/>
    <w:rsid w:val="00596137"/>
    <w:rsid w:val="00596BC8"/>
    <w:rsid w:val="005A042A"/>
    <w:rsid w:val="005A0455"/>
    <w:rsid w:val="005A0BB3"/>
    <w:rsid w:val="005A2DB0"/>
    <w:rsid w:val="005A3098"/>
    <w:rsid w:val="005A3C59"/>
    <w:rsid w:val="005A50AD"/>
    <w:rsid w:val="005A5496"/>
    <w:rsid w:val="005A69D5"/>
    <w:rsid w:val="005A6E69"/>
    <w:rsid w:val="005A7077"/>
    <w:rsid w:val="005A74A2"/>
    <w:rsid w:val="005A75E0"/>
    <w:rsid w:val="005A76C6"/>
    <w:rsid w:val="005B1ADC"/>
    <w:rsid w:val="005B1C20"/>
    <w:rsid w:val="005B1F73"/>
    <w:rsid w:val="005B24EE"/>
    <w:rsid w:val="005B27A2"/>
    <w:rsid w:val="005B2961"/>
    <w:rsid w:val="005B301A"/>
    <w:rsid w:val="005B41DF"/>
    <w:rsid w:val="005B4A07"/>
    <w:rsid w:val="005B4D5C"/>
    <w:rsid w:val="005B50D2"/>
    <w:rsid w:val="005B5C33"/>
    <w:rsid w:val="005B5E97"/>
    <w:rsid w:val="005B6FBD"/>
    <w:rsid w:val="005B715F"/>
    <w:rsid w:val="005C0515"/>
    <w:rsid w:val="005C067E"/>
    <w:rsid w:val="005C09D7"/>
    <w:rsid w:val="005C182D"/>
    <w:rsid w:val="005C18E1"/>
    <w:rsid w:val="005C2683"/>
    <w:rsid w:val="005C27F1"/>
    <w:rsid w:val="005C29AD"/>
    <w:rsid w:val="005C29B6"/>
    <w:rsid w:val="005C31C3"/>
    <w:rsid w:val="005C389C"/>
    <w:rsid w:val="005C3E83"/>
    <w:rsid w:val="005C4770"/>
    <w:rsid w:val="005C492E"/>
    <w:rsid w:val="005C4C5F"/>
    <w:rsid w:val="005C4D09"/>
    <w:rsid w:val="005C50CA"/>
    <w:rsid w:val="005C5626"/>
    <w:rsid w:val="005C5C64"/>
    <w:rsid w:val="005C6115"/>
    <w:rsid w:val="005C6662"/>
    <w:rsid w:val="005C6E2E"/>
    <w:rsid w:val="005C73CA"/>
    <w:rsid w:val="005C7C01"/>
    <w:rsid w:val="005C7CC9"/>
    <w:rsid w:val="005D075E"/>
    <w:rsid w:val="005D1163"/>
    <w:rsid w:val="005D18BB"/>
    <w:rsid w:val="005D1C3B"/>
    <w:rsid w:val="005D1FDB"/>
    <w:rsid w:val="005D39DE"/>
    <w:rsid w:val="005D3E19"/>
    <w:rsid w:val="005D3E21"/>
    <w:rsid w:val="005D3ECD"/>
    <w:rsid w:val="005D532F"/>
    <w:rsid w:val="005D535C"/>
    <w:rsid w:val="005D5A5A"/>
    <w:rsid w:val="005D5BAE"/>
    <w:rsid w:val="005D604F"/>
    <w:rsid w:val="005D6129"/>
    <w:rsid w:val="005D66F8"/>
    <w:rsid w:val="005D7837"/>
    <w:rsid w:val="005D7B34"/>
    <w:rsid w:val="005E0C52"/>
    <w:rsid w:val="005E0D3C"/>
    <w:rsid w:val="005E13BE"/>
    <w:rsid w:val="005E1846"/>
    <w:rsid w:val="005E1EE5"/>
    <w:rsid w:val="005E2D5F"/>
    <w:rsid w:val="005E30B1"/>
    <w:rsid w:val="005E326D"/>
    <w:rsid w:val="005E3441"/>
    <w:rsid w:val="005E3BE8"/>
    <w:rsid w:val="005E438C"/>
    <w:rsid w:val="005E46C6"/>
    <w:rsid w:val="005E5C95"/>
    <w:rsid w:val="005E5D6C"/>
    <w:rsid w:val="005E624E"/>
    <w:rsid w:val="005E68F9"/>
    <w:rsid w:val="005E740B"/>
    <w:rsid w:val="005E76C1"/>
    <w:rsid w:val="005E7AEC"/>
    <w:rsid w:val="005E7FEC"/>
    <w:rsid w:val="005F02F6"/>
    <w:rsid w:val="005F030D"/>
    <w:rsid w:val="005F03BA"/>
    <w:rsid w:val="005F06DB"/>
    <w:rsid w:val="005F10C8"/>
    <w:rsid w:val="005F1412"/>
    <w:rsid w:val="005F2094"/>
    <w:rsid w:val="005F33A5"/>
    <w:rsid w:val="005F3448"/>
    <w:rsid w:val="005F3FAF"/>
    <w:rsid w:val="005F4ACA"/>
    <w:rsid w:val="005F528D"/>
    <w:rsid w:val="005F54E9"/>
    <w:rsid w:val="005F56DD"/>
    <w:rsid w:val="005F6219"/>
    <w:rsid w:val="005F6A12"/>
    <w:rsid w:val="005F6DF5"/>
    <w:rsid w:val="005F70C0"/>
    <w:rsid w:val="005F7504"/>
    <w:rsid w:val="005F7B1D"/>
    <w:rsid w:val="005F7F97"/>
    <w:rsid w:val="00600E41"/>
    <w:rsid w:val="00600F44"/>
    <w:rsid w:val="00601191"/>
    <w:rsid w:val="006014ED"/>
    <w:rsid w:val="0060295C"/>
    <w:rsid w:val="00602E71"/>
    <w:rsid w:val="0060320B"/>
    <w:rsid w:val="0060357E"/>
    <w:rsid w:val="006040F8"/>
    <w:rsid w:val="0060577F"/>
    <w:rsid w:val="0060584E"/>
    <w:rsid w:val="00605ACA"/>
    <w:rsid w:val="00606617"/>
    <w:rsid w:val="00607B96"/>
    <w:rsid w:val="00610885"/>
    <w:rsid w:val="00611BEC"/>
    <w:rsid w:val="00612808"/>
    <w:rsid w:val="00612F9C"/>
    <w:rsid w:val="0061409D"/>
    <w:rsid w:val="006142D2"/>
    <w:rsid w:val="006148CE"/>
    <w:rsid w:val="00614EBE"/>
    <w:rsid w:val="00614F54"/>
    <w:rsid w:val="006153E0"/>
    <w:rsid w:val="006158BE"/>
    <w:rsid w:val="00615ADF"/>
    <w:rsid w:val="00616067"/>
    <w:rsid w:val="00616520"/>
    <w:rsid w:val="00616554"/>
    <w:rsid w:val="0061756E"/>
    <w:rsid w:val="00620C47"/>
    <w:rsid w:val="0062112C"/>
    <w:rsid w:val="00621B22"/>
    <w:rsid w:val="00621BB4"/>
    <w:rsid w:val="006233FA"/>
    <w:rsid w:val="00623521"/>
    <w:rsid w:val="006235C0"/>
    <w:rsid w:val="00623A28"/>
    <w:rsid w:val="006241AF"/>
    <w:rsid w:val="00625207"/>
    <w:rsid w:val="00625F95"/>
    <w:rsid w:val="00625FAC"/>
    <w:rsid w:val="00627482"/>
    <w:rsid w:val="00627A1E"/>
    <w:rsid w:val="0063009E"/>
    <w:rsid w:val="00630540"/>
    <w:rsid w:val="006307C9"/>
    <w:rsid w:val="00631886"/>
    <w:rsid w:val="00631988"/>
    <w:rsid w:val="00632807"/>
    <w:rsid w:val="00632A23"/>
    <w:rsid w:val="00633102"/>
    <w:rsid w:val="00633698"/>
    <w:rsid w:val="006338E7"/>
    <w:rsid w:val="00633B99"/>
    <w:rsid w:val="00634085"/>
    <w:rsid w:val="006343F9"/>
    <w:rsid w:val="00634843"/>
    <w:rsid w:val="00634889"/>
    <w:rsid w:val="00634A82"/>
    <w:rsid w:val="00634DDA"/>
    <w:rsid w:val="00634E08"/>
    <w:rsid w:val="006362FF"/>
    <w:rsid w:val="006365D7"/>
    <w:rsid w:val="006365E7"/>
    <w:rsid w:val="00636929"/>
    <w:rsid w:val="00636A0A"/>
    <w:rsid w:val="0063778B"/>
    <w:rsid w:val="00637C33"/>
    <w:rsid w:val="0064063F"/>
    <w:rsid w:val="006406D0"/>
    <w:rsid w:val="006419C6"/>
    <w:rsid w:val="00641CCB"/>
    <w:rsid w:val="00642900"/>
    <w:rsid w:val="006436A6"/>
    <w:rsid w:val="006436FE"/>
    <w:rsid w:val="00643F49"/>
    <w:rsid w:val="0064406F"/>
    <w:rsid w:val="00644279"/>
    <w:rsid w:val="00644606"/>
    <w:rsid w:val="006466A1"/>
    <w:rsid w:val="00646BFE"/>
    <w:rsid w:val="00646D9A"/>
    <w:rsid w:val="00647326"/>
    <w:rsid w:val="0064754D"/>
    <w:rsid w:val="006475C4"/>
    <w:rsid w:val="006509B0"/>
    <w:rsid w:val="00651201"/>
    <w:rsid w:val="00651ABB"/>
    <w:rsid w:val="00651EE3"/>
    <w:rsid w:val="00652499"/>
    <w:rsid w:val="006533C4"/>
    <w:rsid w:val="00653915"/>
    <w:rsid w:val="00653C4D"/>
    <w:rsid w:val="00654838"/>
    <w:rsid w:val="0065592A"/>
    <w:rsid w:val="00656585"/>
    <w:rsid w:val="00657304"/>
    <w:rsid w:val="00657D83"/>
    <w:rsid w:val="00657FD6"/>
    <w:rsid w:val="00661548"/>
    <w:rsid w:val="00661FD5"/>
    <w:rsid w:val="00661FFF"/>
    <w:rsid w:val="00662ED0"/>
    <w:rsid w:val="00664768"/>
    <w:rsid w:val="006653A3"/>
    <w:rsid w:val="00665965"/>
    <w:rsid w:val="00665DF4"/>
    <w:rsid w:val="00666083"/>
    <w:rsid w:val="00666363"/>
    <w:rsid w:val="00667492"/>
    <w:rsid w:val="0066785C"/>
    <w:rsid w:val="00667DBD"/>
    <w:rsid w:val="00667F41"/>
    <w:rsid w:val="00671063"/>
    <w:rsid w:val="00672212"/>
    <w:rsid w:val="0067260A"/>
    <w:rsid w:val="00673062"/>
    <w:rsid w:val="00673247"/>
    <w:rsid w:val="0067357F"/>
    <w:rsid w:val="00673C36"/>
    <w:rsid w:val="00674738"/>
    <w:rsid w:val="00674A2D"/>
    <w:rsid w:val="00675B96"/>
    <w:rsid w:val="00675D98"/>
    <w:rsid w:val="00675F5F"/>
    <w:rsid w:val="006761CB"/>
    <w:rsid w:val="00676E68"/>
    <w:rsid w:val="006777AF"/>
    <w:rsid w:val="006804A8"/>
    <w:rsid w:val="00680717"/>
    <w:rsid w:val="006807F6"/>
    <w:rsid w:val="00680C26"/>
    <w:rsid w:val="00680CD6"/>
    <w:rsid w:val="00680E04"/>
    <w:rsid w:val="00680ED9"/>
    <w:rsid w:val="0068141B"/>
    <w:rsid w:val="00681685"/>
    <w:rsid w:val="00681F9F"/>
    <w:rsid w:val="0068225A"/>
    <w:rsid w:val="006825CE"/>
    <w:rsid w:val="00682BE8"/>
    <w:rsid w:val="00684412"/>
    <w:rsid w:val="00684979"/>
    <w:rsid w:val="00684F3E"/>
    <w:rsid w:val="006851F8"/>
    <w:rsid w:val="00685CDE"/>
    <w:rsid w:val="00686412"/>
    <w:rsid w:val="00686BD4"/>
    <w:rsid w:val="00687041"/>
    <w:rsid w:val="00687657"/>
    <w:rsid w:val="00687D4D"/>
    <w:rsid w:val="00687E50"/>
    <w:rsid w:val="00687F73"/>
    <w:rsid w:val="00690751"/>
    <w:rsid w:val="006907DC"/>
    <w:rsid w:val="00690D3A"/>
    <w:rsid w:val="00690F48"/>
    <w:rsid w:val="006918E0"/>
    <w:rsid w:val="00691C5A"/>
    <w:rsid w:val="006927BB"/>
    <w:rsid w:val="00693426"/>
    <w:rsid w:val="00693850"/>
    <w:rsid w:val="00693893"/>
    <w:rsid w:val="00693984"/>
    <w:rsid w:val="00694070"/>
    <w:rsid w:val="00694C47"/>
    <w:rsid w:val="006951BA"/>
    <w:rsid w:val="006955A1"/>
    <w:rsid w:val="006957EB"/>
    <w:rsid w:val="006958BF"/>
    <w:rsid w:val="006958D6"/>
    <w:rsid w:val="00695AF5"/>
    <w:rsid w:val="006962A7"/>
    <w:rsid w:val="0069674E"/>
    <w:rsid w:val="00696C97"/>
    <w:rsid w:val="006A049F"/>
    <w:rsid w:val="006A055B"/>
    <w:rsid w:val="006A0A40"/>
    <w:rsid w:val="006A0D3E"/>
    <w:rsid w:val="006A0D49"/>
    <w:rsid w:val="006A19DB"/>
    <w:rsid w:val="006A2A09"/>
    <w:rsid w:val="006A3287"/>
    <w:rsid w:val="006A337C"/>
    <w:rsid w:val="006A3456"/>
    <w:rsid w:val="006A3D35"/>
    <w:rsid w:val="006A3D62"/>
    <w:rsid w:val="006A412B"/>
    <w:rsid w:val="006A43A2"/>
    <w:rsid w:val="006A47F5"/>
    <w:rsid w:val="006A4E87"/>
    <w:rsid w:val="006A4EF4"/>
    <w:rsid w:val="006A50DB"/>
    <w:rsid w:val="006A635D"/>
    <w:rsid w:val="006A6D65"/>
    <w:rsid w:val="006A6EFB"/>
    <w:rsid w:val="006A7089"/>
    <w:rsid w:val="006A73D3"/>
    <w:rsid w:val="006A7AEE"/>
    <w:rsid w:val="006B04B1"/>
    <w:rsid w:val="006B0A8F"/>
    <w:rsid w:val="006B0B1F"/>
    <w:rsid w:val="006B1075"/>
    <w:rsid w:val="006B1301"/>
    <w:rsid w:val="006B15BF"/>
    <w:rsid w:val="006B1CC3"/>
    <w:rsid w:val="006B1D2A"/>
    <w:rsid w:val="006B258B"/>
    <w:rsid w:val="006B27D6"/>
    <w:rsid w:val="006B2EB0"/>
    <w:rsid w:val="006B3FDD"/>
    <w:rsid w:val="006B4565"/>
    <w:rsid w:val="006B48B1"/>
    <w:rsid w:val="006B5A10"/>
    <w:rsid w:val="006B5E9B"/>
    <w:rsid w:val="006B5F33"/>
    <w:rsid w:val="006B6179"/>
    <w:rsid w:val="006B683E"/>
    <w:rsid w:val="006B697A"/>
    <w:rsid w:val="006B6D4F"/>
    <w:rsid w:val="006B6E2E"/>
    <w:rsid w:val="006B756F"/>
    <w:rsid w:val="006B7755"/>
    <w:rsid w:val="006B797B"/>
    <w:rsid w:val="006B7FED"/>
    <w:rsid w:val="006C097F"/>
    <w:rsid w:val="006C0A51"/>
    <w:rsid w:val="006C1B85"/>
    <w:rsid w:val="006C2551"/>
    <w:rsid w:val="006C25DE"/>
    <w:rsid w:val="006C3084"/>
    <w:rsid w:val="006C4387"/>
    <w:rsid w:val="006C4697"/>
    <w:rsid w:val="006C4825"/>
    <w:rsid w:val="006C4903"/>
    <w:rsid w:val="006C5685"/>
    <w:rsid w:val="006C5FC0"/>
    <w:rsid w:val="006C624A"/>
    <w:rsid w:val="006C6BBD"/>
    <w:rsid w:val="006C6DAC"/>
    <w:rsid w:val="006D00F4"/>
    <w:rsid w:val="006D1EF0"/>
    <w:rsid w:val="006D201E"/>
    <w:rsid w:val="006D223E"/>
    <w:rsid w:val="006D2387"/>
    <w:rsid w:val="006D242E"/>
    <w:rsid w:val="006D2B2C"/>
    <w:rsid w:val="006D2C12"/>
    <w:rsid w:val="006D3571"/>
    <w:rsid w:val="006D430D"/>
    <w:rsid w:val="006D4772"/>
    <w:rsid w:val="006D5468"/>
    <w:rsid w:val="006D5679"/>
    <w:rsid w:val="006E076E"/>
    <w:rsid w:val="006E0DD3"/>
    <w:rsid w:val="006E1890"/>
    <w:rsid w:val="006E198E"/>
    <w:rsid w:val="006E1A07"/>
    <w:rsid w:val="006E1EF1"/>
    <w:rsid w:val="006E1FEC"/>
    <w:rsid w:val="006E28A3"/>
    <w:rsid w:val="006E3942"/>
    <w:rsid w:val="006E4D7D"/>
    <w:rsid w:val="006E559C"/>
    <w:rsid w:val="006E5754"/>
    <w:rsid w:val="006E5809"/>
    <w:rsid w:val="006E5E96"/>
    <w:rsid w:val="006E6277"/>
    <w:rsid w:val="006E67EE"/>
    <w:rsid w:val="006E687F"/>
    <w:rsid w:val="006E7B99"/>
    <w:rsid w:val="006E7BBB"/>
    <w:rsid w:val="006E7EC6"/>
    <w:rsid w:val="006F02E4"/>
    <w:rsid w:val="006F1803"/>
    <w:rsid w:val="006F1A8E"/>
    <w:rsid w:val="006F2583"/>
    <w:rsid w:val="006F29BB"/>
    <w:rsid w:val="006F2AB7"/>
    <w:rsid w:val="006F35AF"/>
    <w:rsid w:val="006F35CB"/>
    <w:rsid w:val="006F371D"/>
    <w:rsid w:val="006F3A2C"/>
    <w:rsid w:val="006F3C93"/>
    <w:rsid w:val="006F3EB9"/>
    <w:rsid w:val="006F42AA"/>
    <w:rsid w:val="006F4821"/>
    <w:rsid w:val="006F4A83"/>
    <w:rsid w:val="006F5097"/>
    <w:rsid w:val="006F57EA"/>
    <w:rsid w:val="006F725A"/>
    <w:rsid w:val="006F7BC7"/>
    <w:rsid w:val="00700481"/>
    <w:rsid w:val="007006F3"/>
    <w:rsid w:val="0070088D"/>
    <w:rsid w:val="0070153A"/>
    <w:rsid w:val="007026A8"/>
    <w:rsid w:val="0070274B"/>
    <w:rsid w:val="007032A9"/>
    <w:rsid w:val="00704715"/>
    <w:rsid w:val="00704844"/>
    <w:rsid w:val="00704B39"/>
    <w:rsid w:val="007058F5"/>
    <w:rsid w:val="00705F61"/>
    <w:rsid w:val="00705FB4"/>
    <w:rsid w:val="0070638B"/>
    <w:rsid w:val="0070656B"/>
    <w:rsid w:val="0070673C"/>
    <w:rsid w:val="007067FE"/>
    <w:rsid w:val="00707917"/>
    <w:rsid w:val="00710356"/>
    <w:rsid w:val="00710384"/>
    <w:rsid w:val="00710794"/>
    <w:rsid w:val="007109D8"/>
    <w:rsid w:val="0071169C"/>
    <w:rsid w:val="00711760"/>
    <w:rsid w:val="00711E22"/>
    <w:rsid w:val="0071293A"/>
    <w:rsid w:val="00713086"/>
    <w:rsid w:val="0071384C"/>
    <w:rsid w:val="00713F9A"/>
    <w:rsid w:val="00714B1E"/>
    <w:rsid w:val="00714E6F"/>
    <w:rsid w:val="007170CD"/>
    <w:rsid w:val="0071717F"/>
    <w:rsid w:val="0071743C"/>
    <w:rsid w:val="00717E23"/>
    <w:rsid w:val="00720207"/>
    <w:rsid w:val="007203C1"/>
    <w:rsid w:val="00720D64"/>
    <w:rsid w:val="007214FB"/>
    <w:rsid w:val="00721DC8"/>
    <w:rsid w:val="0072242D"/>
    <w:rsid w:val="00722483"/>
    <w:rsid w:val="00722A4F"/>
    <w:rsid w:val="00724888"/>
    <w:rsid w:val="007248CF"/>
    <w:rsid w:val="00724C6E"/>
    <w:rsid w:val="007255C2"/>
    <w:rsid w:val="00725D6D"/>
    <w:rsid w:val="00726190"/>
    <w:rsid w:val="007262DB"/>
    <w:rsid w:val="007271CD"/>
    <w:rsid w:val="00727223"/>
    <w:rsid w:val="00727B69"/>
    <w:rsid w:val="00727FA0"/>
    <w:rsid w:val="0073002E"/>
    <w:rsid w:val="00730165"/>
    <w:rsid w:val="007301CA"/>
    <w:rsid w:val="0073031E"/>
    <w:rsid w:val="007317E4"/>
    <w:rsid w:val="00732103"/>
    <w:rsid w:val="00732A9F"/>
    <w:rsid w:val="00732CDB"/>
    <w:rsid w:val="007334E0"/>
    <w:rsid w:val="0073469A"/>
    <w:rsid w:val="00735629"/>
    <w:rsid w:val="00735B88"/>
    <w:rsid w:val="00735DE4"/>
    <w:rsid w:val="00735ECC"/>
    <w:rsid w:val="00736AA9"/>
    <w:rsid w:val="007370CB"/>
    <w:rsid w:val="00740112"/>
    <w:rsid w:val="007409D1"/>
    <w:rsid w:val="00740C10"/>
    <w:rsid w:val="00740C6F"/>
    <w:rsid w:val="00741BC6"/>
    <w:rsid w:val="00742090"/>
    <w:rsid w:val="00742127"/>
    <w:rsid w:val="0074289A"/>
    <w:rsid w:val="00742EF1"/>
    <w:rsid w:val="00742F04"/>
    <w:rsid w:val="00744459"/>
    <w:rsid w:val="00744916"/>
    <w:rsid w:val="0074528E"/>
    <w:rsid w:val="007459AE"/>
    <w:rsid w:val="00746190"/>
    <w:rsid w:val="00746952"/>
    <w:rsid w:val="00746C88"/>
    <w:rsid w:val="00747871"/>
    <w:rsid w:val="007478AB"/>
    <w:rsid w:val="007478B5"/>
    <w:rsid w:val="00747D3E"/>
    <w:rsid w:val="00750A7F"/>
    <w:rsid w:val="007522D7"/>
    <w:rsid w:val="0075257F"/>
    <w:rsid w:val="00752939"/>
    <w:rsid w:val="0075297A"/>
    <w:rsid w:val="00752C1F"/>
    <w:rsid w:val="00752EE6"/>
    <w:rsid w:val="00753A99"/>
    <w:rsid w:val="00753D91"/>
    <w:rsid w:val="00755429"/>
    <w:rsid w:val="00755F1A"/>
    <w:rsid w:val="0075620C"/>
    <w:rsid w:val="007567FD"/>
    <w:rsid w:val="00756B08"/>
    <w:rsid w:val="007620D4"/>
    <w:rsid w:val="00762982"/>
    <w:rsid w:val="007630BB"/>
    <w:rsid w:val="007636AF"/>
    <w:rsid w:val="00763A8D"/>
    <w:rsid w:val="00763AE1"/>
    <w:rsid w:val="00763BFC"/>
    <w:rsid w:val="007644F6"/>
    <w:rsid w:val="00764981"/>
    <w:rsid w:val="00764BD7"/>
    <w:rsid w:val="0076522C"/>
    <w:rsid w:val="007656C8"/>
    <w:rsid w:val="0076571E"/>
    <w:rsid w:val="0076591B"/>
    <w:rsid w:val="00765F9E"/>
    <w:rsid w:val="00766B5E"/>
    <w:rsid w:val="007671A9"/>
    <w:rsid w:val="00767579"/>
    <w:rsid w:val="007708C1"/>
    <w:rsid w:val="0077090F"/>
    <w:rsid w:val="00770AEA"/>
    <w:rsid w:val="00770EF6"/>
    <w:rsid w:val="0077136F"/>
    <w:rsid w:val="00771C46"/>
    <w:rsid w:val="00771C6A"/>
    <w:rsid w:val="007722F6"/>
    <w:rsid w:val="00772A06"/>
    <w:rsid w:val="00773B58"/>
    <w:rsid w:val="00773BAA"/>
    <w:rsid w:val="00774130"/>
    <w:rsid w:val="007753C6"/>
    <w:rsid w:val="0077545B"/>
    <w:rsid w:val="0077578F"/>
    <w:rsid w:val="00775BC0"/>
    <w:rsid w:val="00776254"/>
    <w:rsid w:val="00776A36"/>
    <w:rsid w:val="00777F31"/>
    <w:rsid w:val="007803C3"/>
    <w:rsid w:val="00780C70"/>
    <w:rsid w:val="007812BB"/>
    <w:rsid w:val="007815BA"/>
    <w:rsid w:val="00781F67"/>
    <w:rsid w:val="00782ACD"/>
    <w:rsid w:val="00782B0B"/>
    <w:rsid w:val="00782CD9"/>
    <w:rsid w:val="007830EF"/>
    <w:rsid w:val="007832E2"/>
    <w:rsid w:val="00783CF2"/>
    <w:rsid w:val="00783DFA"/>
    <w:rsid w:val="00784830"/>
    <w:rsid w:val="00784D07"/>
    <w:rsid w:val="00784EA2"/>
    <w:rsid w:val="00785B0F"/>
    <w:rsid w:val="00785D4B"/>
    <w:rsid w:val="007868BD"/>
    <w:rsid w:val="0078701E"/>
    <w:rsid w:val="00787062"/>
    <w:rsid w:val="0078749B"/>
    <w:rsid w:val="00787C54"/>
    <w:rsid w:val="00790286"/>
    <w:rsid w:val="0079067D"/>
    <w:rsid w:val="00791918"/>
    <w:rsid w:val="007921B3"/>
    <w:rsid w:val="007927D6"/>
    <w:rsid w:val="00792D21"/>
    <w:rsid w:val="00793C93"/>
    <w:rsid w:val="00794016"/>
    <w:rsid w:val="00794118"/>
    <w:rsid w:val="007941EA"/>
    <w:rsid w:val="00794476"/>
    <w:rsid w:val="00794CF3"/>
    <w:rsid w:val="007951FA"/>
    <w:rsid w:val="00795BF0"/>
    <w:rsid w:val="00797426"/>
    <w:rsid w:val="00797760"/>
    <w:rsid w:val="00797ACE"/>
    <w:rsid w:val="007A11D6"/>
    <w:rsid w:val="007A1284"/>
    <w:rsid w:val="007A17D7"/>
    <w:rsid w:val="007A19AA"/>
    <w:rsid w:val="007A204E"/>
    <w:rsid w:val="007A328B"/>
    <w:rsid w:val="007A3422"/>
    <w:rsid w:val="007A3677"/>
    <w:rsid w:val="007A37BC"/>
    <w:rsid w:val="007A4849"/>
    <w:rsid w:val="007A4E70"/>
    <w:rsid w:val="007A574E"/>
    <w:rsid w:val="007A5E1C"/>
    <w:rsid w:val="007A64BC"/>
    <w:rsid w:val="007A6568"/>
    <w:rsid w:val="007A6F44"/>
    <w:rsid w:val="007A722B"/>
    <w:rsid w:val="007A746C"/>
    <w:rsid w:val="007A76C5"/>
    <w:rsid w:val="007B0E68"/>
    <w:rsid w:val="007B10B9"/>
    <w:rsid w:val="007B10C1"/>
    <w:rsid w:val="007B154B"/>
    <w:rsid w:val="007B29AF"/>
    <w:rsid w:val="007B2F0A"/>
    <w:rsid w:val="007B378B"/>
    <w:rsid w:val="007B48CC"/>
    <w:rsid w:val="007B55ED"/>
    <w:rsid w:val="007B5E5D"/>
    <w:rsid w:val="007B654B"/>
    <w:rsid w:val="007B66DA"/>
    <w:rsid w:val="007B6CBC"/>
    <w:rsid w:val="007B70F2"/>
    <w:rsid w:val="007B7D61"/>
    <w:rsid w:val="007C05C8"/>
    <w:rsid w:val="007C136D"/>
    <w:rsid w:val="007C1A9B"/>
    <w:rsid w:val="007C40B9"/>
    <w:rsid w:val="007C4B33"/>
    <w:rsid w:val="007C548D"/>
    <w:rsid w:val="007C560F"/>
    <w:rsid w:val="007C59E0"/>
    <w:rsid w:val="007C69C3"/>
    <w:rsid w:val="007C74C2"/>
    <w:rsid w:val="007C7778"/>
    <w:rsid w:val="007C7E5A"/>
    <w:rsid w:val="007D0913"/>
    <w:rsid w:val="007D0FBB"/>
    <w:rsid w:val="007D186C"/>
    <w:rsid w:val="007D1C1D"/>
    <w:rsid w:val="007D215A"/>
    <w:rsid w:val="007D24EA"/>
    <w:rsid w:val="007D2715"/>
    <w:rsid w:val="007D2803"/>
    <w:rsid w:val="007D31F7"/>
    <w:rsid w:val="007D3954"/>
    <w:rsid w:val="007D3AF7"/>
    <w:rsid w:val="007D43BE"/>
    <w:rsid w:val="007D4E28"/>
    <w:rsid w:val="007D4E32"/>
    <w:rsid w:val="007D5175"/>
    <w:rsid w:val="007D5328"/>
    <w:rsid w:val="007D5763"/>
    <w:rsid w:val="007D65B0"/>
    <w:rsid w:val="007D683F"/>
    <w:rsid w:val="007E002D"/>
    <w:rsid w:val="007E10BF"/>
    <w:rsid w:val="007E17AE"/>
    <w:rsid w:val="007E17C4"/>
    <w:rsid w:val="007E1CA0"/>
    <w:rsid w:val="007E2C85"/>
    <w:rsid w:val="007E2C8B"/>
    <w:rsid w:val="007E3CCC"/>
    <w:rsid w:val="007E4144"/>
    <w:rsid w:val="007E458F"/>
    <w:rsid w:val="007E4AB1"/>
    <w:rsid w:val="007E4D6B"/>
    <w:rsid w:val="007E519D"/>
    <w:rsid w:val="007E5F45"/>
    <w:rsid w:val="007E6184"/>
    <w:rsid w:val="007E76D3"/>
    <w:rsid w:val="007E78A4"/>
    <w:rsid w:val="007E78CD"/>
    <w:rsid w:val="007E79E1"/>
    <w:rsid w:val="007F0132"/>
    <w:rsid w:val="007F02F2"/>
    <w:rsid w:val="007F037E"/>
    <w:rsid w:val="007F048A"/>
    <w:rsid w:val="007F07FE"/>
    <w:rsid w:val="007F15A1"/>
    <w:rsid w:val="007F35B1"/>
    <w:rsid w:val="007F3748"/>
    <w:rsid w:val="007F45F6"/>
    <w:rsid w:val="007F493D"/>
    <w:rsid w:val="007F4EE5"/>
    <w:rsid w:val="007F4F11"/>
    <w:rsid w:val="007F5148"/>
    <w:rsid w:val="007F6047"/>
    <w:rsid w:val="007F608C"/>
    <w:rsid w:val="007F68A9"/>
    <w:rsid w:val="007F728C"/>
    <w:rsid w:val="007F7B0D"/>
    <w:rsid w:val="007F7CC9"/>
    <w:rsid w:val="007F7D42"/>
    <w:rsid w:val="008003B5"/>
    <w:rsid w:val="00800889"/>
    <w:rsid w:val="00800F93"/>
    <w:rsid w:val="008010F9"/>
    <w:rsid w:val="00802C95"/>
    <w:rsid w:val="00803126"/>
    <w:rsid w:val="008032B4"/>
    <w:rsid w:val="00804264"/>
    <w:rsid w:val="0080451D"/>
    <w:rsid w:val="00804EC0"/>
    <w:rsid w:val="008051B6"/>
    <w:rsid w:val="00806A61"/>
    <w:rsid w:val="008079B6"/>
    <w:rsid w:val="00810DD8"/>
    <w:rsid w:val="00811450"/>
    <w:rsid w:val="008114DA"/>
    <w:rsid w:val="00812683"/>
    <w:rsid w:val="008129FB"/>
    <w:rsid w:val="008139E4"/>
    <w:rsid w:val="00813F33"/>
    <w:rsid w:val="008147F7"/>
    <w:rsid w:val="00814A8B"/>
    <w:rsid w:val="00815932"/>
    <w:rsid w:val="00816250"/>
    <w:rsid w:val="008166A5"/>
    <w:rsid w:val="008177D7"/>
    <w:rsid w:val="00817E2A"/>
    <w:rsid w:val="00820825"/>
    <w:rsid w:val="008208FB"/>
    <w:rsid w:val="00820CBF"/>
    <w:rsid w:val="0082139E"/>
    <w:rsid w:val="00821A06"/>
    <w:rsid w:val="0082295E"/>
    <w:rsid w:val="00823B2E"/>
    <w:rsid w:val="008246DE"/>
    <w:rsid w:val="00824E8A"/>
    <w:rsid w:val="0082515B"/>
    <w:rsid w:val="00825E5C"/>
    <w:rsid w:val="008267D3"/>
    <w:rsid w:val="00826990"/>
    <w:rsid w:val="00826EC8"/>
    <w:rsid w:val="00826ECE"/>
    <w:rsid w:val="0082726C"/>
    <w:rsid w:val="00830BAF"/>
    <w:rsid w:val="00830C53"/>
    <w:rsid w:val="008315C5"/>
    <w:rsid w:val="00831633"/>
    <w:rsid w:val="00831B1A"/>
    <w:rsid w:val="00832725"/>
    <w:rsid w:val="00832FE9"/>
    <w:rsid w:val="00833236"/>
    <w:rsid w:val="00833337"/>
    <w:rsid w:val="008337B8"/>
    <w:rsid w:val="008339DE"/>
    <w:rsid w:val="008342CF"/>
    <w:rsid w:val="0083482D"/>
    <w:rsid w:val="00834B32"/>
    <w:rsid w:val="00835585"/>
    <w:rsid w:val="008360D8"/>
    <w:rsid w:val="0083634C"/>
    <w:rsid w:val="008364A5"/>
    <w:rsid w:val="00836A39"/>
    <w:rsid w:val="00840615"/>
    <w:rsid w:val="00842A9B"/>
    <w:rsid w:val="0084325C"/>
    <w:rsid w:val="0084363A"/>
    <w:rsid w:val="00844395"/>
    <w:rsid w:val="00844D44"/>
    <w:rsid w:val="00844EDC"/>
    <w:rsid w:val="0084667A"/>
    <w:rsid w:val="00846B89"/>
    <w:rsid w:val="008474EA"/>
    <w:rsid w:val="008475A7"/>
    <w:rsid w:val="00850131"/>
    <w:rsid w:val="00850473"/>
    <w:rsid w:val="0085075E"/>
    <w:rsid w:val="008516B4"/>
    <w:rsid w:val="00851E5A"/>
    <w:rsid w:val="008522D0"/>
    <w:rsid w:val="00852740"/>
    <w:rsid w:val="0085278F"/>
    <w:rsid w:val="00852CC1"/>
    <w:rsid w:val="00852F06"/>
    <w:rsid w:val="008537E9"/>
    <w:rsid w:val="0085384A"/>
    <w:rsid w:val="008538D1"/>
    <w:rsid w:val="00853EA1"/>
    <w:rsid w:val="008541B6"/>
    <w:rsid w:val="0085426F"/>
    <w:rsid w:val="008544E9"/>
    <w:rsid w:val="0085481D"/>
    <w:rsid w:val="00855046"/>
    <w:rsid w:val="0085513E"/>
    <w:rsid w:val="00855659"/>
    <w:rsid w:val="008556FE"/>
    <w:rsid w:val="00855DB5"/>
    <w:rsid w:val="00856366"/>
    <w:rsid w:val="00856CF2"/>
    <w:rsid w:val="008572A5"/>
    <w:rsid w:val="008573E4"/>
    <w:rsid w:val="008577D9"/>
    <w:rsid w:val="008577EA"/>
    <w:rsid w:val="00857992"/>
    <w:rsid w:val="0086068A"/>
    <w:rsid w:val="00860B77"/>
    <w:rsid w:val="008610B9"/>
    <w:rsid w:val="00861273"/>
    <w:rsid w:val="0086169D"/>
    <w:rsid w:val="00861F91"/>
    <w:rsid w:val="00862082"/>
    <w:rsid w:val="00862670"/>
    <w:rsid w:val="00862851"/>
    <w:rsid w:val="00863271"/>
    <w:rsid w:val="0086373D"/>
    <w:rsid w:val="00863B53"/>
    <w:rsid w:val="00863DB6"/>
    <w:rsid w:val="00864424"/>
    <w:rsid w:val="00864FE7"/>
    <w:rsid w:val="00865354"/>
    <w:rsid w:val="00865719"/>
    <w:rsid w:val="008663C6"/>
    <w:rsid w:val="008668D1"/>
    <w:rsid w:val="0086703F"/>
    <w:rsid w:val="00867270"/>
    <w:rsid w:val="00867ACD"/>
    <w:rsid w:val="008710AB"/>
    <w:rsid w:val="00872B68"/>
    <w:rsid w:val="008731E8"/>
    <w:rsid w:val="00873567"/>
    <w:rsid w:val="0087443E"/>
    <w:rsid w:val="00874D20"/>
    <w:rsid w:val="008758E4"/>
    <w:rsid w:val="00875C7B"/>
    <w:rsid w:val="00876B87"/>
    <w:rsid w:val="00876BBD"/>
    <w:rsid w:val="00876C2F"/>
    <w:rsid w:val="00877485"/>
    <w:rsid w:val="008778C5"/>
    <w:rsid w:val="008800D0"/>
    <w:rsid w:val="00880169"/>
    <w:rsid w:val="008803BF"/>
    <w:rsid w:val="00880E85"/>
    <w:rsid w:val="008811D5"/>
    <w:rsid w:val="008815DD"/>
    <w:rsid w:val="00881F38"/>
    <w:rsid w:val="0088256E"/>
    <w:rsid w:val="00882F11"/>
    <w:rsid w:val="0088350A"/>
    <w:rsid w:val="00883CE1"/>
    <w:rsid w:val="00884ADF"/>
    <w:rsid w:val="0088597B"/>
    <w:rsid w:val="00886F32"/>
    <w:rsid w:val="00887FDB"/>
    <w:rsid w:val="008907CF"/>
    <w:rsid w:val="00890D20"/>
    <w:rsid w:val="00890D50"/>
    <w:rsid w:val="00892D96"/>
    <w:rsid w:val="00892EC6"/>
    <w:rsid w:val="00893465"/>
    <w:rsid w:val="00893DD8"/>
    <w:rsid w:val="0089510B"/>
    <w:rsid w:val="00895AB3"/>
    <w:rsid w:val="00896921"/>
    <w:rsid w:val="00896DBF"/>
    <w:rsid w:val="00896F68"/>
    <w:rsid w:val="00897023"/>
    <w:rsid w:val="0089729B"/>
    <w:rsid w:val="0089753A"/>
    <w:rsid w:val="008A0BA7"/>
    <w:rsid w:val="008A133C"/>
    <w:rsid w:val="008A1545"/>
    <w:rsid w:val="008A20A0"/>
    <w:rsid w:val="008A22E0"/>
    <w:rsid w:val="008A2617"/>
    <w:rsid w:val="008A2E58"/>
    <w:rsid w:val="008A3650"/>
    <w:rsid w:val="008A37DC"/>
    <w:rsid w:val="008A3D41"/>
    <w:rsid w:val="008A50B1"/>
    <w:rsid w:val="008A5579"/>
    <w:rsid w:val="008A5DBC"/>
    <w:rsid w:val="008A600B"/>
    <w:rsid w:val="008A6179"/>
    <w:rsid w:val="008A625D"/>
    <w:rsid w:val="008A6D9F"/>
    <w:rsid w:val="008A71CC"/>
    <w:rsid w:val="008A7635"/>
    <w:rsid w:val="008B02FE"/>
    <w:rsid w:val="008B0963"/>
    <w:rsid w:val="008B09CC"/>
    <w:rsid w:val="008B3115"/>
    <w:rsid w:val="008B324D"/>
    <w:rsid w:val="008B3521"/>
    <w:rsid w:val="008B362C"/>
    <w:rsid w:val="008B3881"/>
    <w:rsid w:val="008B40A6"/>
    <w:rsid w:val="008B4956"/>
    <w:rsid w:val="008B4AD4"/>
    <w:rsid w:val="008B5709"/>
    <w:rsid w:val="008B5733"/>
    <w:rsid w:val="008B59D0"/>
    <w:rsid w:val="008B5F19"/>
    <w:rsid w:val="008B5FA6"/>
    <w:rsid w:val="008B7146"/>
    <w:rsid w:val="008B7490"/>
    <w:rsid w:val="008B7BF1"/>
    <w:rsid w:val="008C06C4"/>
    <w:rsid w:val="008C1864"/>
    <w:rsid w:val="008C1B56"/>
    <w:rsid w:val="008C21DE"/>
    <w:rsid w:val="008C2992"/>
    <w:rsid w:val="008C30E3"/>
    <w:rsid w:val="008C32F0"/>
    <w:rsid w:val="008C3463"/>
    <w:rsid w:val="008C3A36"/>
    <w:rsid w:val="008C3AEF"/>
    <w:rsid w:val="008C3E4C"/>
    <w:rsid w:val="008C4EAB"/>
    <w:rsid w:val="008C5A34"/>
    <w:rsid w:val="008C61F6"/>
    <w:rsid w:val="008C74E4"/>
    <w:rsid w:val="008C7628"/>
    <w:rsid w:val="008C773C"/>
    <w:rsid w:val="008C7B27"/>
    <w:rsid w:val="008C7E2F"/>
    <w:rsid w:val="008C7F54"/>
    <w:rsid w:val="008D099E"/>
    <w:rsid w:val="008D09E3"/>
    <w:rsid w:val="008D14F1"/>
    <w:rsid w:val="008D1706"/>
    <w:rsid w:val="008D18EB"/>
    <w:rsid w:val="008D1916"/>
    <w:rsid w:val="008D244E"/>
    <w:rsid w:val="008D267C"/>
    <w:rsid w:val="008D27C5"/>
    <w:rsid w:val="008D2F09"/>
    <w:rsid w:val="008D367B"/>
    <w:rsid w:val="008D371B"/>
    <w:rsid w:val="008D38AA"/>
    <w:rsid w:val="008D3976"/>
    <w:rsid w:val="008D3FCE"/>
    <w:rsid w:val="008D40D6"/>
    <w:rsid w:val="008D4316"/>
    <w:rsid w:val="008D4500"/>
    <w:rsid w:val="008D4BFA"/>
    <w:rsid w:val="008D5D86"/>
    <w:rsid w:val="008D7411"/>
    <w:rsid w:val="008D78E5"/>
    <w:rsid w:val="008E01D6"/>
    <w:rsid w:val="008E03E2"/>
    <w:rsid w:val="008E0773"/>
    <w:rsid w:val="008E14F6"/>
    <w:rsid w:val="008E1C3A"/>
    <w:rsid w:val="008E21A0"/>
    <w:rsid w:val="008E30CF"/>
    <w:rsid w:val="008E3728"/>
    <w:rsid w:val="008E5652"/>
    <w:rsid w:val="008E57BC"/>
    <w:rsid w:val="008E5838"/>
    <w:rsid w:val="008E60F9"/>
    <w:rsid w:val="008E6DF5"/>
    <w:rsid w:val="008F01EB"/>
    <w:rsid w:val="008F07FE"/>
    <w:rsid w:val="008F0B6D"/>
    <w:rsid w:val="008F0CD2"/>
    <w:rsid w:val="008F13D3"/>
    <w:rsid w:val="008F5107"/>
    <w:rsid w:val="008F5387"/>
    <w:rsid w:val="008F5613"/>
    <w:rsid w:val="008F667E"/>
    <w:rsid w:val="008F6D1C"/>
    <w:rsid w:val="008F6FB3"/>
    <w:rsid w:val="008F731F"/>
    <w:rsid w:val="008F732D"/>
    <w:rsid w:val="008F7937"/>
    <w:rsid w:val="009000BB"/>
    <w:rsid w:val="009003CD"/>
    <w:rsid w:val="00900545"/>
    <w:rsid w:val="009006AE"/>
    <w:rsid w:val="009009A0"/>
    <w:rsid w:val="009009B1"/>
    <w:rsid w:val="0090210D"/>
    <w:rsid w:val="009023EE"/>
    <w:rsid w:val="00902986"/>
    <w:rsid w:val="0090317E"/>
    <w:rsid w:val="00903332"/>
    <w:rsid w:val="00903C2C"/>
    <w:rsid w:val="0090416D"/>
    <w:rsid w:val="009041F5"/>
    <w:rsid w:val="009061F2"/>
    <w:rsid w:val="00906FEC"/>
    <w:rsid w:val="009076A6"/>
    <w:rsid w:val="00907D48"/>
    <w:rsid w:val="0091002E"/>
    <w:rsid w:val="009102CF"/>
    <w:rsid w:val="009104C3"/>
    <w:rsid w:val="0091050A"/>
    <w:rsid w:val="00910AEA"/>
    <w:rsid w:val="00910C61"/>
    <w:rsid w:val="00911141"/>
    <w:rsid w:val="009117CB"/>
    <w:rsid w:val="00911A1F"/>
    <w:rsid w:val="00911D79"/>
    <w:rsid w:val="00912677"/>
    <w:rsid w:val="00912A07"/>
    <w:rsid w:val="00912EBF"/>
    <w:rsid w:val="00913090"/>
    <w:rsid w:val="00914683"/>
    <w:rsid w:val="00914B46"/>
    <w:rsid w:val="00914CC5"/>
    <w:rsid w:val="00915572"/>
    <w:rsid w:val="00915FB8"/>
    <w:rsid w:val="009169F2"/>
    <w:rsid w:val="00916CBB"/>
    <w:rsid w:val="009204F0"/>
    <w:rsid w:val="0092197C"/>
    <w:rsid w:val="00921D40"/>
    <w:rsid w:val="0092261C"/>
    <w:rsid w:val="00923070"/>
    <w:rsid w:val="009236E0"/>
    <w:rsid w:val="00923D69"/>
    <w:rsid w:val="009248FE"/>
    <w:rsid w:val="00924F11"/>
    <w:rsid w:val="00925600"/>
    <w:rsid w:val="00926217"/>
    <w:rsid w:val="009264B4"/>
    <w:rsid w:val="009264F3"/>
    <w:rsid w:val="009278BD"/>
    <w:rsid w:val="0093040C"/>
    <w:rsid w:val="009317D1"/>
    <w:rsid w:val="00932AA7"/>
    <w:rsid w:val="00932C31"/>
    <w:rsid w:val="00933936"/>
    <w:rsid w:val="00933C75"/>
    <w:rsid w:val="0093401B"/>
    <w:rsid w:val="00934027"/>
    <w:rsid w:val="00934619"/>
    <w:rsid w:val="00934961"/>
    <w:rsid w:val="009357F6"/>
    <w:rsid w:val="009359B0"/>
    <w:rsid w:val="00935D19"/>
    <w:rsid w:val="0093607C"/>
    <w:rsid w:val="00936450"/>
    <w:rsid w:val="009364BA"/>
    <w:rsid w:val="009366A9"/>
    <w:rsid w:val="00937B9C"/>
    <w:rsid w:val="00937DC6"/>
    <w:rsid w:val="009402B7"/>
    <w:rsid w:val="0094152D"/>
    <w:rsid w:val="00941676"/>
    <w:rsid w:val="00941B79"/>
    <w:rsid w:val="00942689"/>
    <w:rsid w:val="009427B5"/>
    <w:rsid w:val="00943314"/>
    <w:rsid w:val="0094367A"/>
    <w:rsid w:val="00943FF3"/>
    <w:rsid w:val="009448C5"/>
    <w:rsid w:val="00944DFE"/>
    <w:rsid w:val="00944E8A"/>
    <w:rsid w:val="009452E7"/>
    <w:rsid w:val="00945CEB"/>
    <w:rsid w:val="009463E6"/>
    <w:rsid w:val="0094647B"/>
    <w:rsid w:val="009468B2"/>
    <w:rsid w:val="00947334"/>
    <w:rsid w:val="00947477"/>
    <w:rsid w:val="00947DCE"/>
    <w:rsid w:val="009502CA"/>
    <w:rsid w:val="00950EF1"/>
    <w:rsid w:val="00951175"/>
    <w:rsid w:val="0095124F"/>
    <w:rsid w:val="009512FC"/>
    <w:rsid w:val="00951337"/>
    <w:rsid w:val="00951763"/>
    <w:rsid w:val="00951E81"/>
    <w:rsid w:val="00952AC2"/>
    <w:rsid w:val="00953599"/>
    <w:rsid w:val="00954CF6"/>
    <w:rsid w:val="00955101"/>
    <w:rsid w:val="00955204"/>
    <w:rsid w:val="00955D4D"/>
    <w:rsid w:val="00956276"/>
    <w:rsid w:val="009567F1"/>
    <w:rsid w:val="00956953"/>
    <w:rsid w:val="00960669"/>
    <w:rsid w:val="00961501"/>
    <w:rsid w:val="00961731"/>
    <w:rsid w:val="00961D1F"/>
    <w:rsid w:val="009627DA"/>
    <w:rsid w:val="00962BE2"/>
    <w:rsid w:val="00962D38"/>
    <w:rsid w:val="00963360"/>
    <w:rsid w:val="00963C6E"/>
    <w:rsid w:val="00965026"/>
    <w:rsid w:val="0096524B"/>
    <w:rsid w:val="00965B2C"/>
    <w:rsid w:val="00965EC6"/>
    <w:rsid w:val="0096681C"/>
    <w:rsid w:val="00966839"/>
    <w:rsid w:val="00967640"/>
    <w:rsid w:val="00967F7A"/>
    <w:rsid w:val="00970A64"/>
    <w:rsid w:val="009717E7"/>
    <w:rsid w:val="00971D18"/>
    <w:rsid w:val="0097252E"/>
    <w:rsid w:val="009736E2"/>
    <w:rsid w:val="00973783"/>
    <w:rsid w:val="009737E5"/>
    <w:rsid w:val="00973C5D"/>
    <w:rsid w:val="009742D1"/>
    <w:rsid w:val="00975382"/>
    <w:rsid w:val="00975DC7"/>
    <w:rsid w:val="00976581"/>
    <w:rsid w:val="009769BB"/>
    <w:rsid w:val="00976A60"/>
    <w:rsid w:val="00976CF3"/>
    <w:rsid w:val="0097734E"/>
    <w:rsid w:val="00980146"/>
    <w:rsid w:val="009813DB"/>
    <w:rsid w:val="00981717"/>
    <w:rsid w:val="00981C4C"/>
    <w:rsid w:val="0098283E"/>
    <w:rsid w:val="00982CEF"/>
    <w:rsid w:val="00983135"/>
    <w:rsid w:val="00984610"/>
    <w:rsid w:val="00984C7C"/>
    <w:rsid w:val="009855CC"/>
    <w:rsid w:val="0098639A"/>
    <w:rsid w:val="009863CA"/>
    <w:rsid w:val="0098719D"/>
    <w:rsid w:val="009879C1"/>
    <w:rsid w:val="0099006E"/>
    <w:rsid w:val="00990FD6"/>
    <w:rsid w:val="0099121E"/>
    <w:rsid w:val="009919EB"/>
    <w:rsid w:val="00991B64"/>
    <w:rsid w:val="00991F42"/>
    <w:rsid w:val="00992D40"/>
    <w:rsid w:val="00992E7E"/>
    <w:rsid w:val="00993C4C"/>
    <w:rsid w:val="00993DC8"/>
    <w:rsid w:val="00993FA2"/>
    <w:rsid w:val="00994FA9"/>
    <w:rsid w:val="00995606"/>
    <w:rsid w:val="00995FDC"/>
    <w:rsid w:val="0099658D"/>
    <w:rsid w:val="00996867"/>
    <w:rsid w:val="00996CFD"/>
    <w:rsid w:val="0099719C"/>
    <w:rsid w:val="0099787B"/>
    <w:rsid w:val="00997A80"/>
    <w:rsid w:val="009A0237"/>
    <w:rsid w:val="009A0788"/>
    <w:rsid w:val="009A1D28"/>
    <w:rsid w:val="009A251E"/>
    <w:rsid w:val="009A2D87"/>
    <w:rsid w:val="009A2FF8"/>
    <w:rsid w:val="009A4045"/>
    <w:rsid w:val="009A4B44"/>
    <w:rsid w:val="009A4E6C"/>
    <w:rsid w:val="009A50A7"/>
    <w:rsid w:val="009A51FB"/>
    <w:rsid w:val="009A59B4"/>
    <w:rsid w:val="009A5FDE"/>
    <w:rsid w:val="009A62B4"/>
    <w:rsid w:val="009A664C"/>
    <w:rsid w:val="009A6910"/>
    <w:rsid w:val="009A6DC6"/>
    <w:rsid w:val="009A72C3"/>
    <w:rsid w:val="009A7317"/>
    <w:rsid w:val="009A7735"/>
    <w:rsid w:val="009A7FE6"/>
    <w:rsid w:val="009B03CA"/>
    <w:rsid w:val="009B0521"/>
    <w:rsid w:val="009B0C43"/>
    <w:rsid w:val="009B1250"/>
    <w:rsid w:val="009B135E"/>
    <w:rsid w:val="009B13E7"/>
    <w:rsid w:val="009B18E2"/>
    <w:rsid w:val="009B29B3"/>
    <w:rsid w:val="009B2F53"/>
    <w:rsid w:val="009B3272"/>
    <w:rsid w:val="009B55C7"/>
    <w:rsid w:val="009B5BD2"/>
    <w:rsid w:val="009B61DB"/>
    <w:rsid w:val="009B6210"/>
    <w:rsid w:val="009B6A94"/>
    <w:rsid w:val="009B6CC5"/>
    <w:rsid w:val="009B7E80"/>
    <w:rsid w:val="009C0B6F"/>
    <w:rsid w:val="009C0C58"/>
    <w:rsid w:val="009C175C"/>
    <w:rsid w:val="009C1C32"/>
    <w:rsid w:val="009C1C56"/>
    <w:rsid w:val="009C3003"/>
    <w:rsid w:val="009C3116"/>
    <w:rsid w:val="009C3ACF"/>
    <w:rsid w:val="009C3C73"/>
    <w:rsid w:val="009C3ED9"/>
    <w:rsid w:val="009C41F8"/>
    <w:rsid w:val="009C44E5"/>
    <w:rsid w:val="009C4627"/>
    <w:rsid w:val="009C468C"/>
    <w:rsid w:val="009C50A1"/>
    <w:rsid w:val="009C55BC"/>
    <w:rsid w:val="009C57AA"/>
    <w:rsid w:val="009C5BA2"/>
    <w:rsid w:val="009C6F40"/>
    <w:rsid w:val="009C731C"/>
    <w:rsid w:val="009D1B81"/>
    <w:rsid w:val="009D234D"/>
    <w:rsid w:val="009D2615"/>
    <w:rsid w:val="009D264A"/>
    <w:rsid w:val="009D2CAE"/>
    <w:rsid w:val="009D31E4"/>
    <w:rsid w:val="009D32BE"/>
    <w:rsid w:val="009D3814"/>
    <w:rsid w:val="009D3E05"/>
    <w:rsid w:val="009D42BE"/>
    <w:rsid w:val="009D445A"/>
    <w:rsid w:val="009D4D08"/>
    <w:rsid w:val="009D5A1C"/>
    <w:rsid w:val="009D5A88"/>
    <w:rsid w:val="009D6287"/>
    <w:rsid w:val="009D64A4"/>
    <w:rsid w:val="009D78C7"/>
    <w:rsid w:val="009D7C5A"/>
    <w:rsid w:val="009D7E3D"/>
    <w:rsid w:val="009E0915"/>
    <w:rsid w:val="009E0E30"/>
    <w:rsid w:val="009E138D"/>
    <w:rsid w:val="009E1A3E"/>
    <w:rsid w:val="009E35F4"/>
    <w:rsid w:val="009E3BB5"/>
    <w:rsid w:val="009E40CE"/>
    <w:rsid w:val="009E44ED"/>
    <w:rsid w:val="009E47F2"/>
    <w:rsid w:val="009E4946"/>
    <w:rsid w:val="009E559E"/>
    <w:rsid w:val="009E56B6"/>
    <w:rsid w:val="009E63C2"/>
    <w:rsid w:val="009E68EE"/>
    <w:rsid w:val="009E742A"/>
    <w:rsid w:val="009F0749"/>
    <w:rsid w:val="009F088E"/>
    <w:rsid w:val="009F111E"/>
    <w:rsid w:val="009F1286"/>
    <w:rsid w:val="009F14B5"/>
    <w:rsid w:val="009F2BB4"/>
    <w:rsid w:val="009F2CBA"/>
    <w:rsid w:val="009F310E"/>
    <w:rsid w:val="009F37D5"/>
    <w:rsid w:val="009F5358"/>
    <w:rsid w:val="009F5E27"/>
    <w:rsid w:val="009F5E58"/>
    <w:rsid w:val="009F6014"/>
    <w:rsid w:val="009F6B6F"/>
    <w:rsid w:val="009F6FE0"/>
    <w:rsid w:val="009F76E8"/>
    <w:rsid w:val="009F7767"/>
    <w:rsid w:val="009F7B78"/>
    <w:rsid w:val="009F7FE4"/>
    <w:rsid w:val="00A00390"/>
    <w:rsid w:val="00A004F9"/>
    <w:rsid w:val="00A00646"/>
    <w:rsid w:val="00A00B0B"/>
    <w:rsid w:val="00A00DFF"/>
    <w:rsid w:val="00A01924"/>
    <w:rsid w:val="00A01F5D"/>
    <w:rsid w:val="00A021A1"/>
    <w:rsid w:val="00A02338"/>
    <w:rsid w:val="00A02350"/>
    <w:rsid w:val="00A0267E"/>
    <w:rsid w:val="00A028E7"/>
    <w:rsid w:val="00A0335C"/>
    <w:rsid w:val="00A04BB7"/>
    <w:rsid w:val="00A05151"/>
    <w:rsid w:val="00A05806"/>
    <w:rsid w:val="00A058EE"/>
    <w:rsid w:val="00A0636C"/>
    <w:rsid w:val="00A064A5"/>
    <w:rsid w:val="00A0713C"/>
    <w:rsid w:val="00A07152"/>
    <w:rsid w:val="00A07A0E"/>
    <w:rsid w:val="00A07C81"/>
    <w:rsid w:val="00A109A6"/>
    <w:rsid w:val="00A10CC7"/>
    <w:rsid w:val="00A11517"/>
    <w:rsid w:val="00A118FF"/>
    <w:rsid w:val="00A1224B"/>
    <w:rsid w:val="00A12A85"/>
    <w:rsid w:val="00A137FA"/>
    <w:rsid w:val="00A13955"/>
    <w:rsid w:val="00A1422A"/>
    <w:rsid w:val="00A15194"/>
    <w:rsid w:val="00A151DF"/>
    <w:rsid w:val="00A15597"/>
    <w:rsid w:val="00A15A18"/>
    <w:rsid w:val="00A1670D"/>
    <w:rsid w:val="00A1671B"/>
    <w:rsid w:val="00A16AFB"/>
    <w:rsid w:val="00A16B0F"/>
    <w:rsid w:val="00A16EDC"/>
    <w:rsid w:val="00A16F54"/>
    <w:rsid w:val="00A179F7"/>
    <w:rsid w:val="00A17C38"/>
    <w:rsid w:val="00A17D5D"/>
    <w:rsid w:val="00A2041E"/>
    <w:rsid w:val="00A22305"/>
    <w:rsid w:val="00A22C2E"/>
    <w:rsid w:val="00A2454E"/>
    <w:rsid w:val="00A24D72"/>
    <w:rsid w:val="00A25452"/>
    <w:rsid w:val="00A25503"/>
    <w:rsid w:val="00A25701"/>
    <w:rsid w:val="00A257C1"/>
    <w:rsid w:val="00A26999"/>
    <w:rsid w:val="00A26ADA"/>
    <w:rsid w:val="00A2731E"/>
    <w:rsid w:val="00A27599"/>
    <w:rsid w:val="00A27CE8"/>
    <w:rsid w:val="00A3002A"/>
    <w:rsid w:val="00A303C7"/>
    <w:rsid w:val="00A30789"/>
    <w:rsid w:val="00A311DE"/>
    <w:rsid w:val="00A31A5F"/>
    <w:rsid w:val="00A31F19"/>
    <w:rsid w:val="00A3295C"/>
    <w:rsid w:val="00A32E25"/>
    <w:rsid w:val="00A33539"/>
    <w:rsid w:val="00A339A6"/>
    <w:rsid w:val="00A33A4E"/>
    <w:rsid w:val="00A34385"/>
    <w:rsid w:val="00A34828"/>
    <w:rsid w:val="00A34B18"/>
    <w:rsid w:val="00A34D9E"/>
    <w:rsid w:val="00A35628"/>
    <w:rsid w:val="00A35FA4"/>
    <w:rsid w:val="00A362CE"/>
    <w:rsid w:val="00A402EB"/>
    <w:rsid w:val="00A40DDE"/>
    <w:rsid w:val="00A410FC"/>
    <w:rsid w:val="00A414E1"/>
    <w:rsid w:val="00A41592"/>
    <w:rsid w:val="00A41981"/>
    <w:rsid w:val="00A42CFE"/>
    <w:rsid w:val="00A44910"/>
    <w:rsid w:val="00A4501B"/>
    <w:rsid w:val="00A45923"/>
    <w:rsid w:val="00A45996"/>
    <w:rsid w:val="00A459B8"/>
    <w:rsid w:val="00A467E5"/>
    <w:rsid w:val="00A468DE"/>
    <w:rsid w:val="00A47945"/>
    <w:rsid w:val="00A47B7E"/>
    <w:rsid w:val="00A47E9B"/>
    <w:rsid w:val="00A50235"/>
    <w:rsid w:val="00A51895"/>
    <w:rsid w:val="00A518B4"/>
    <w:rsid w:val="00A51E75"/>
    <w:rsid w:val="00A52BDA"/>
    <w:rsid w:val="00A52D78"/>
    <w:rsid w:val="00A5417D"/>
    <w:rsid w:val="00A544FC"/>
    <w:rsid w:val="00A546D9"/>
    <w:rsid w:val="00A54929"/>
    <w:rsid w:val="00A54E6D"/>
    <w:rsid w:val="00A55EF4"/>
    <w:rsid w:val="00A55F67"/>
    <w:rsid w:val="00A56ECC"/>
    <w:rsid w:val="00A571F0"/>
    <w:rsid w:val="00A5778A"/>
    <w:rsid w:val="00A57A0F"/>
    <w:rsid w:val="00A57C43"/>
    <w:rsid w:val="00A6055F"/>
    <w:rsid w:val="00A6121C"/>
    <w:rsid w:val="00A6260B"/>
    <w:rsid w:val="00A6372F"/>
    <w:rsid w:val="00A637BD"/>
    <w:rsid w:val="00A64317"/>
    <w:rsid w:val="00A64567"/>
    <w:rsid w:val="00A6612D"/>
    <w:rsid w:val="00A6621C"/>
    <w:rsid w:val="00A66C99"/>
    <w:rsid w:val="00A66F74"/>
    <w:rsid w:val="00A70F2D"/>
    <w:rsid w:val="00A711E2"/>
    <w:rsid w:val="00A714BE"/>
    <w:rsid w:val="00A72213"/>
    <w:rsid w:val="00A72722"/>
    <w:rsid w:val="00A727F1"/>
    <w:rsid w:val="00A731BD"/>
    <w:rsid w:val="00A734D1"/>
    <w:rsid w:val="00A743BF"/>
    <w:rsid w:val="00A74409"/>
    <w:rsid w:val="00A745AF"/>
    <w:rsid w:val="00A74E14"/>
    <w:rsid w:val="00A7526B"/>
    <w:rsid w:val="00A75519"/>
    <w:rsid w:val="00A7578B"/>
    <w:rsid w:val="00A7606D"/>
    <w:rsid w:val="00A763EF"/>
    <w:rsid w:val="00A768E2"/>
    <w:rsid w:val="00A76D30"/>
    <w:rsid w:val="00A772BF"/>
    <w:rsid w:val="00A77C8F"/>
    <w:rsid w:val="00A80418"/>
    <w:rsid w:val="00A80DE3"/>
    <w:rsid w:val="00A81341"/>
    <w:rsid w:val="00A8216B"/>
    <w:rsid w:val="00A8237A"/>
    <w:rsid w:val="00A8300F"/>
    <w:rsid w:val="00A83203"/>
    <w:rsid w:val="00A83622"/>
    <w:rsid w:val="00A83A76"/>
    <w:rsid w:val="00A83D88"/>
    <w:rsid w:val="00A83E51"/>
    <w:rsid w:val="00A84358"/>
    <w:rsid w:val="00A84AF4"/>
    <w:rsid w:val="00A8504C"/>
    <w:rsid w:val="00A858F8"/>
    <w:rsid w:val="00A86160"/>
    <w:rsid w:val="00A8666E"/>
    <w:rsid w:val="00A86764"/>
    <w:rsid w:val="00A90130"/>
    <w:rsid w:val="00A9020E"/>
    <w:rsid w:val="00A905A8"/>
    <w:rsid w:val="00A908C8"/>
    <w:rsid w:val="00A91494"/>
    <w:rsid w:val="00A91577"/>
    <w:rsid w:val="00A922BE"/>
    <w:rsid w:val="00A93146"/>
    <w:rsid w:val="00A94448"/>
    <w:rsid w:val="00A947DE"/>
    <w:rsid w:val="00A95C3A"/>
    <w:rsid w:val="00A95D12"/>
    <w:rsid w:val="00A9612F"/>
    <w:rsid w:val="00A969C6"/>
    <w:rsid w:val="00A97379"/>
    <w:rsid w:val="00A974E3"/>
    <w:rsid w:val="00A97ACA"/>
    <w:rsid w:val="00AA0494"/>
    <w:rsid w:val="00AA0CEB"/>
    <w:rsid w:val="00AA1155"/>
    <w:rsid w:val="00AA11F7"/>
    <w:rsid w:val="00AA24D6"/>
    <w:rsid w:val="00AA27A7"/>
    <w:rsid w:val="00AA2D3F"/>
    <w:rsid w:val="00AA3142"/>
    <w:rsid w:val="00AA3E7C"/>
    <w:rsid w:val="00AA4350"/>
    <w:rsid w:val="00AA57CF"/>
    <w:rsid w:val="00AA5E66"/>
    <w:rsid w:val="00AA6005"/>
    <w:rsid w:val="00AA65FB"/>
    <w:rsid w:val="00AA68E2"/>
    <w:rsid w:val="00AA72EA"/>
    <w:rsid w:val="00AA7407"/>
    <w:rsid w:val="00AA74D0"/>
    <w:rsid w:val="00AA79FE"/>
    <w:rsid w:val="00AA7A73"/>
    <w:rsid w:val="00AA7EC2"/>
    <w:rsid w:val="00AB0717"/>
    <w:rsid w:val="00AB07B6"/>
    <w:rsid w:val="00AB09F9"/>
    <w:rsid w:val="00AB18BC"/>
    <w:rsid w:val="00AB1E5C"/>
    <w:rsid w:val="00AB201E"/>
    <w:rsid w:val="00AB270A"/>
    <w:rsid w:val="00AB2AFB"/>
    <w:rsid w:val="00AB345D"/>
    <w:rsid w:val="00AB4229"/>
    <w:rsid w:val="00AB4552"/>
    <w:rsid w:val="00AB4810"/>
    <w:rsid w:val="00AB51CC"/>
    <w:rsid w:val="00AB54FD"/>
    <w:rsid w:val="00AB5867"/>
    <w:rsid w:val="00AB6102"/>
    <w:rsid w:val="00AB65AA"/>
    <w:rsid w:val="00AB7593"/>
    <w:rsid w:val="00AB7936"/>
    <w:rsid w:val="00AC1789"/>
    <w:rsid w:val="00AC219C"/>
    <w:rsid w:val="00AC368E"/>
    <w:rsid w:val="00AC4112"/>
    <w:rsid w:val="00AC434E"/>
    <w:rsid w:val="00AC4C93"/>
    <w:rsid w:val="00AC5DD5"/>
    <w:rsid w:val="00AC6559"/>
    <w:rsid w:val="00AC6727"/>
    <w:rsid w:val="00AC6F5B"/>
    <w:rsid w:val="00AC71C5"/>
    <w:rsid w:val="00AC7CC4"/>
    <w:rsid w:val="00AD0AF6"/>
    <w:rsid w:val="00AD0DB9"/>
    <w:rsid w:val="00AD1967"/>
    <w:rsid w:val="00AD1B8A"/>
    <w:rsid w:val="00AD241C"/>
    <w:rsid w:val="00AD28C5"/>
    <w:rsid w:val="00AD35EA"/>
    <w:rsid w:val="00AD5069"/>
    <w:rsid w:val="00AD58F3"/>
    <w:rsid w:val="00AD5984"/>
    <w:rsid w:val="00AD5DC3"/>
    <w:rsid w:val="00AD607C"/>
    <w:rsid w:val="00AD71DE"/>
    <w:rsid w:val="00AE006D"/>
    <w:rsid w:val="00AE0761"/>
    <w:rsid w:val="00AE1385"/>
    <w:rsid w:val="00AE1643"/>
    <w:rsid w:val="00AE2236"/>
    <w:rsid w:val="00AE2F3C"/>
    <w:rsid w:val="00AE34A7"/>
    <w:rsid w:val="00AE37D7"/>
    <w:rsid w:val="00AE3DF3"/>
    <w:rsid w:val="00AE3FC8"/>
    <w:rsid w:val="00AE4235"/>
    <w:rsid w:val="00AE4816"/>
    <w:rsid w:val="00AE496E"/>
    <w:rsid w:val="00AE5165"/>
    <w:rsid w:val="00AE5480"/>
    <w:rsid w:val="00AE6B10"/>
    <w:rsid w:val="00AF0A3C"/>
    <w:rsid w:val="00AF109D"/>
    <w:rsid w:val="00AF1E41"/>
    <w:rsid w:val="00AF20BB"/>
    <w:rsid w:val="00AF27CF"/>
    <w:rsid w:val="00AF292A"/>
    <w:rsid w:val="00AF2DAA"/>
    <w:rsid w:val="00AF2E0F"/>
    <w:rsid w:val="00AF3575"/>
    <w:rsid w:val="00AF38C7"/>
    <w:rsid w:val="00AF49B3"/>
    <w:rsid w:val="00AF4A45"/>
    <w:rsid w:val="00AF57F7"/>
    <w:rsid w:val="00AF6639"/>
    <w:rsid w:val="00AF692A"/>
    <w:rsid w:val="00AF6E14"/>
    <w:rsid w:val="00AF7DA7"/>
    <w:rsid w:val="00AF7EBA"/>
    <w:rsid w:val="00B0013C"/>
    <w:rsid w:val="00B00357"/>
    <w:rsid w:val="00B003B1"/>
    <w:rsid w:val="00B00486"/>
    <w:rsid w:val="00B00877"/>
    <w:rsid w:val="00B008AF"/>
    <w:rsid w:val="00B01241"/>
    <w:rsid w:val="00B0171A"/>
    <w:rsid w:val="00B01835"/>
    <w:rsid w:val="00B01D64"/>
    <w:rsid w:val="00B02B54"/>
    <w:rsid w:val="00B02E8C"/>
    <w:rsid w:val="00B03101"/>
    <w:rsid w:val="00B038D4"/>
    <w:rsid w:val="00B049DE"/>
    <w:rsid w:val="00B04D8D"/>
    <w:rsid w:val="00B0568B"/>
    <w:rsid w:val="00B059A8"/>
    <w:rsid w:val="00B05B53"/>
    <w:rsid w:val="00B05CC5"/>
    <w:rsid w:val="00B06A63"/>
    <w:rsid w:val="00B06EF5"/>
    <w:rsid w:val="00B06F5A"/>
    <w:rsid w:val="00B07484"/>
    <w:rsid w:val="00B1013B"/>
    <w:rsid w:val="00B11438"/>
    <w:rsid w:val="00B11567"/>
    <w:rsid w:val="00B11B35"/>
    <w:rsid w:val="00B11EB8"/>
    <w:rsid w:val="00B12022"/>
    <w:rsid w:val="00B12C76"/>
    <w:rsid w:val="00B139E9"/>
    <w:rsid w:val="00B13D12"/>
    <w:rsid w:val="00B14A7D"/>
    <w:rsid w:val="00B14CAF"/>
    <w:rsid w:val="00B15F7A"/>
    <w:rsid w:val="00B17AEC"/>
    <w:rsid w:val="00B20342"/>
    <w:rsid w:val="00B2162B"/>
    <w:rsid w:val="00B21722"/>
    <w:rsid w:val="00B22055"/>
    <w:rsid w:val="00B2286A"/>
    <w:rsid w:val="00B228E2"/>
    <w:rsid w:val="00B23186"/>
    <w:rsid w:val="00B231DA"/>
    <w:rsid w:val="00B23A3E"/>
    <w:rsid w:val="00B23AAF"/>
    <w:rsid w:val="00B23AF5"/>
    <w:rsid w:val="00B24238"/>
    <w:rsid w:val="00B249EA"/>
    <w:rsid w:val="00B24BA1"/>
    <w:rsid w:val="00B2554C"/>
    <w:rsid w:val="00B26735"/>
    <w:rsid w:val="00B26A7C"/>
    <w:rsid w:val="00B27F74"/>
    <w:rsid w:val="00B30943"/>
    <w:rsid w:val="00B30B01"/>
    <w:rsid w:val="00B30B9A"/>
    <w:rsid w:val="00B314D9"/>
    <w:rsid w:val="00B3234D"/>
    <w:rsid w:val="00B3279F"/>
    <w:rsid w:val="00B327C6"/>
    <w:rsid w:val="00B32921"/>
    <w:rsid w:val="00B32FB2"/>
    <w:rsid w:val="00B341B4"/>
    <w:rsid w:val="00B34313"/>
    <w:rsid w:val="00B35845"/>
    <w:rsid w:val="00B35EA1"/>
    <w:rsid w:val="00B35F27"/>
    <w:rsid w:val="00B35F63"/>
    <w:rsid w:val="00B36043"/>
    <w:rsid w:val="00B363DD"/>
    <w:rsid w:val="00B36997"/>
    <w:rsid w:val="00B36AA7"/>
    <w:rsid w:val="00B36CD9"/>
    <w:rsid w:val="00B37B21"/>
    <w:rsid w:val="00B37FA4"/>
    <w:rsid w:val="00B406C3"/>
    <w:rsid w:val="00B40998"/>
    <w:rsid w:val="00B41393"/>
    <w:rsid w:val="00B41A37"/>
    <w:rsid w:val="00B420EE"/>
    <w:rsid w:val="00B42942"/>
    <w:rsid w:val="00B43311"/>
    <w:rsid w:val="00B43FFF"/>
    <w:rsid w:val="00B44374"/>
    <w:rsid w:val="00B44B0E"/>
    <w:rsid w:val="00B453AD"/>
    <w:rsid w:val="00B4576B"/>
    <w:rsid w:val="00B4612B"/>
    <w:rsid w:val="00B474D0"/>
    <w:rsid w:val="00B501C5"/>
    <w:rsid w:val="00B50906"/>
    <w:rsid w:val="00B5264E"/>
    <w:rsid w:val="00B527F8"/>
    <w:rsid w:val="00B52D09"/>
    <w:rsid w:val="00B53522"/>
    <w:rsid w:val="00B544B1"/>
    <w:rsid w:val="00B5498F"/>
    <w:rsid w:val="00B54A13"/>
    <w:rsid w:val="00B54B2D"/>
    <w:rsid w:val="00B5581D"/>
    <w:rsid w:val="00B56D41"/>
    <w:rsid w:val="00B57B01"/>
    <w:rsid w:val="00B57F8B"/>
    <w:rsid w:val="00B60100"/>
    <w:rsid w:val="00B60216"/>
    <w:rsid w:val="00B60AC3"/>
    <w:rsid w:val="00B61457"/>
    <w:rsid w:val="00B617A6"/>
    <w:rsid w:val="00B62022"/>
    <w:rsid w:val="00B624F9"/>
    <w:rsid w:val="00B63864"/>
    <w:rsid w:val="00B63E7A"/>
    <w:rsid w:val="00B649D8"/>
    <w:rsid w:val="00B65681"/>
    <w:rsid w:val="00B65755"/>
    <w:rsid w:val="00B65767"/>
    <w:rsid w:val="00B65D33"/>
    <w:rsid w:val="00B65EF0"/>
    <w:rsid w:val="00B66435"/>
    <w:rsid w:val="00B66DCD"/>
    <w:rsid w:val="00B66E46"/>
    <w:rsid w:val="00B66FEC"/>
    <w:rsid w:val="00B6740F"/>
    <w:rsid w:val="00B678B9"/>
    <w:rsid w:val="00B67D52"/>
    <w:rsid w:val="00B7031C"/>
    <w:rsid w:val="00B70684"/>
    <w:rsid w:val="00B70847"/>
    <w:rsid w:val="00B70C90"/>
    <w:rsid w:val="00B711D1"/>
    <w:rsid w:val="00B7176A"/>
    <w:rsid w:val="00B71AB1"/>
    <w:rsid w:val="00B72FF8"/>
    <w:rsid w:val="00B73270"/>
    <w:rsid w:val="00B74625"/>
    <w:rsid w:val="00B748C5"/>
    <w:rsid w:val="00B74CB5"/>
    <w:rsid w:val="00B753E5"/>
    <w:rsid w:val="00B75E13"/>
    <w:rsid w:val="00B75F56"/>
    <w:rsid w:val="00B75F64"/>
    <w:rsid w:val="00B769F7"/>
    <w:rsid w:val="00B8214A"/>
    <w:rsid w:val="00B824FC"/>
    <w:rsid w:val="00B82CFD"/>
    <w:rsid w:val="00B832FA"/>
    <w:rsid w:val="00B83376"/>
    <w:rsid w:val="00B849EB"/>
    <w:rsid w:val="00B84E11"/>
    <w:rsid w:val="00B85AAB"/>
    <w:rsid w:val="00B8610E"/>
    <w:rsid w:val="00B863C1"/>
    <w:rsid w:val="00B864C7"/>
    <w:rsid w:val="00B86A72"/>
    <w:rsid w:val="00B86A77"/>
    <w:rsid w:val="00B87287"/>
    <w:rsid w:val="00B872BD"/>
    <w:rsid w:val="00B87495"/>
    <w:rsid w:val="00B877F6"/>
    <w:rsid w:val="00B87AEA"/>
    <w:rsid w:val="00B87BAB"/>
    <w:rsid w:val="00B9023C"/>
    <w:rsid w:val="00B903EF"/>
    <w:rsid w:val="00B907D5"/>
    <w:rsid w:val="00B90940"/>
    <w:rsid w:val="00B90B46"/>
    <w:rsid w:val="00B91852"/>
    <w:rsid w:val="00B91AAC"/>
    <w:rsid w:val="00B91C30"/>
    <w:rsid w:val="00B927D5"/>
    <w:rsid w:val="00B939E4"/>
    <w:rsid w:val="00B9474B"/>
    <w:rsid w:val="00B94952"/>
    <w:rsid w:val="00B9540E"/>
    <w:rsid w:val="00B95E67"/>
    <w:rsid w:val="00B95F54"/>
    <w:rsid w:val="00B96138"/>
    <w:rsid w:val="00B96952"/>
    <w:rsid w:val="00B96DCF"/>
    <w:rsid w:val="00B978FC"/>
    <w:rsid w:val="00BA09A9"/>
    <w:rsid w:val="00BA130D"/>
    <w:rsid w:val="00BA1B2E"/>
    <w:rsid w:val="00BA2033"/>
    <w:rsid w:val="00BA2E35"/>
    <w:rsid w:val="00BA32A7"/>
    <w:rsid w:val="00BA4B73"/>
    <w:rsid w:val="00BA65DC"/>
    <w:rsid w:val="00BA65F9"/>
    <w:rsid w:val="00BA6C80"/>
    <w:rsid w:val="00BA6E1D"/>
    <w:rsid w:val="00BA7318"/>
    <w:rsid w:val="00BA7866"/>
    <w:rsid w:val="00BA789C"/>
    <w:rsid w:val="00BA7A62"/>
    <w:rsid w:val="00BB02A7"/>
    <w:rsid w:val="00BB0456"/>
    <w:rsid w:val="00BB04C7"/>
    <w:rsid w:val="00BB07F8"/>
    <w:rsid w:val="00BB09DD"/>
    <w:rsid w:val="00BB1000"/>
    <w:rsid w:val="00BB1FD0"/>
    <w:rsid w:val="00BB2DC4"/>
    <w:rsid w:val="00BB303E"/>
    <w:rsid w:val="00BB327C"/>
    <w:rsid w:val="00BB407D"/>
    <w:rsid w:val="00BB4B0E"/>
    <w:rsid w:val="00BB4FC0"/>
    <w:rsid w:val="00BB58BA"/>
    <w:rsid w:val="00BB5BC8"/>
    <w:rsid w:val="00BB735B"/>
    <w:rsid w:val="00BB7651"/>
    <w:rsid w:val="00BB7673"/>
    <w:rsid w:val="00BB7A4E"/>
    <w:rsid w:val="00BC04FC"/>
    <w:rsid w:val="00BC0647"/>
    <w:rsid w:val="00BC0CD5"/>
    <w:rsid w:val="00BC0CE4"/>
    <w:rsid w:val="00BC2579"/>
    <w:rsid w:val="00BC2870"/>
    <w:rsid w:val="00BC32C8"/>
    <w:rsid w:val="00BC4456"/>
    <w:rsid w:val="00BC4ABF"/>
    <w:rsid w:val="00BC59C5"/>
    <w:rsid w:val="00BC5B64"/>
    <w:rsid w:val="00BC5FF7"/>
    <w:rsid w:val="00BC6431"/>
    <w:rsid w:val="00BC6A70"/>
    <w:rsid w:val="00BC7507"/>
    <w:rsid w:val="00BC7548"/>
    <w:rsid w:val="00BD00A3"/>
    <w:rsid w:val="00BD00A6"/>
    <w:rsid w:val="00BD01FB"/>
    <w:rsid w:val="00BD0751"/>
    <w:rsid w:val="00BD0B04"/>
    <w:rsid w:val="00BD122C"/>
    <w:rsid w:val="00BD1BAA"/>
    <w:rsid w:val="00BD1F53"/>
    <w:rsid w:val="00BD220F"/>
    <w:rsid w:val="00BD24E0"/>
    <w:rsid w:val="00BD4702"/>
    <w:rsid w:val="00BD5F95"/>
    <w:rsid w:val="00BD6BE0"/>
    <w:rsid w:val="00BD6DE8"/>
    <w:rsid w:val="00BD7C18"/>
    <w:rsid w:val="00BE02FD"/>
    <w:rsid w:val="00BE03C0"/>
    <w:rsid w:val="00BE0E92"/>
    <w:rsid w:val="00BE1296"/>
    <w:rsid w:val="00BE1A39"/>
    <w:rsid w:val="00BE1D22"/>
    <w:rsid w:val="00BE2180"/>
    <w:rsid w:val="00BE3462"/>
    <w:rsid w:val="00BE35FD"/>
    <w:rsid w:val="00BE3841"/>
    <w:rsid w:val="00BE63D5"/>
    <w:rsid w:val="00BE644D"/>
    <w:rsid w:val="00BE741E"/>
    <w:rsid w:val="00BE7784"/>
    <w:rsid w:val="00BE7CD9"/>
    <w:rsid w:val="00BE7F4F"/>
    <w:rsid w:val="00BF01D9"/>
    <w:rsid w:val="00BF0270"/>
    <w:rsid w:val="00BF08BD"/>
    <w:rsid w:val="00BF16BE"/>
    <w:rsid w:val="00BF172A"/>
    <w:rsid w:val="00BF2685"/>
    <w:rsid w:val="00BF2783"/>
    <w:rsid w:val="00BF3052"/>
    <w:rsid w:val="00BF357F"/>
    <w:rsid w:val="00BF35C5"/>
    <w:rsid w:val="00BF41DA"/>
    <w:rsid w:val="00BF42A8"/>
    <w:rsid w:val="00BF4708"/>
    <w:rsid w:val="00BF4D99"/>
    <w:rsid w:val="00BF5669"/>
    <w:rsid w:val="00BF70F1"/>
    <w:rsid w:val="00BF719B"/>
    <w:rsid w:val="00BF7650"/>
    <w:rsid w:val="00C00097"/>
    <w:rsid w:val="00C00B7F"/>
    <w:rsid w:val="00C00CF7"/>
    <w:rsid w:val="00C00F65"/>
    <w:rsid w:val="00C01278"/>
    <w:rsid w:val="00C01B3C"/>
    <w:rsid w:val="00C03075"/>
    <w:rsid w:val="00C031D9"/>
    <w:rsid w:val="00C03499"/>
    <w:rsid w:val="00C04555"/>
    <w:rsid w:val="00C05941"/>
    <w:rsid w:val="00C06EA9"/>
    <w:rsid w:val="00C06EC3"/>
    <w:rsid w:val="00C073ED"/>
    <w:rsid w:val="00C10CAA"/>
    <w:rsid w:val="00C10D99"/>
    <w:rsid w:val="00C116F4"/>
    <w:rsid w:val="00C118A7"/>
    <w:rsid w:val="00C12882"/>
    <w:rsid w:val="00C14314"/>
    <w:rsid w:val="00C15141"/>
    <w:rsid w:val="00C15AC9"/>
    <w:rsid w:val="00C15EF1"/>
    <w:rsid w:val="00C15FA7"/>
    <w:rsid w:val="00C17653"/>
    <w:rsid w:val="00C203CB"/>
    <w:rsid w:val="00C21A40"/>
    <w:rsid w:val="00C21ED6"/>
    <w:rsid w:val="00C23D45"/>
    <w:rsid w:val="00C24653"/>
    <w:rsid w:val="00C24656"/>
    <w:rsid w:val="00C24EFF"/>
    <w:rsid w:val="00C25258"/>
    <w:rsid w:val="00C25DCB"/>
    <w:rsid w:val="00C26580"/>
    <w:rsid w:val="00C267F9"/>
    <w:rsid w:val="00C2728E"/>
    <w:rsid w:val="00C31281"/>
    <w:rsid w:val="00C31603"/>
    <w:rsid w:val="00C321DB"/>
    <w:rsid w:val="00C323D1"/>
    <w:rsid w:val="00C3329A"/>
    <w:rsid w:val="00C333F5"/>
    <w:rsid w:val="00C3348D"/>
    <w:rsid w:val="00C33DF0"/>
    <w:rsid w:val="00C34280"/>
    <w:rsid w:val="00C34843"/>
    <w:rsid w:val="00C3523D"/>
    <w:rsid w:val="00C357C4"/>
    <w:rsid w:val="00C361D7"/>
    <w:rsid w:val="00C37765"/>
    <w:rsid w:val="00C40685"/>
    <w:rsid w:val="00C40D8B"/>
    <w:rsid w:val="00C423F7"/>
    <w:rsid w:val="00C42B86"/>
    <w:rsid w:val="00C42E36"/>
    <w:rsid w:val="00C43574"/>
    <w:rsid w:val="00C436D4"/>
    <w:rsid w:val="00C43EB9"/>
    <w:rsid w:val="00C447D2"/>
    <w:rsid w:val="00C457F7"/>
    <w:rsid w:val="00C46B54"/>
    <w:rsid w:val="00C47756"/>
    <w:rsid w:val="00C47A35"/>
    <w:rsid w:val="00C51002"/>
    <w:rsid w:val="00C5255D"/>
    <w:rsid w:val="00C52605"/>
    <w:rsid w:val="00C528FE"/>
    <w:rsid w:val="00C53190"/>
    <w:rsid w:val="00C534E6"/>
    <w:rsid w:val="00C543CA"/>
    <w:rsid w:val="00C54C7F"/>
    <w:rsid w:val="00C54D56"/>
    <w:rsid w:val="00C55121"/>
    <w:rsid w:val="00C55676"/>
    <w:rsid w:val="00C561D9"/>
    <w:rsid w:val="00C56AE0"/>
    <w:rsid w:val="00C579C9"/>
    <w:rsid w:val="00C60652"/>
    <w:rsid w:val="00C60F34"/>
    <w:rsid w:val="00C6164F"/>
    <w:rsid w:val="00C61A1C"/>
    <w:rsid w:val="00C61BE9"/>
    <w:rsid w:val="00C636D9"/>
    <w:rsid w:val="00C63B66"/>
    <w:rsid w:val="00C65121"/>
    <w:rsid w:val="00C6530F"/>
    <w:rsid w:val="00C65BC9"/>
    <w:rsid w:val="00C66CA0"/>
    <w:rsid w:val="00C66E93"/>
    <w:rsid w:val="00C700C4"/>
    <w:rsid w:val="00C70952"/>
    <w:rsid w:val="00C70DA0"/>
    <w:rsid w:val="00C72294"/>
    <w:rsid w:val="00C72C15"/>
    <w:rsid w:val="00C73269"/>
    <w:rsid w:val="00C73BA3"/>
    <w:rsid w:val="00C747E9"/>
    <w:rsid w:val="00C75F21"/>
    <w:rsid w:val="00C7683B"/>
    <w:rsid w:val="00C76D43"/>
    <w:rsid w:val="00C80BD7"/>
    <w:rsid w:val="00C80FF7"/>
    <w:rsid w:val="00C81611"/>
    <w:rsid w:val="00C818CC"/>
    <w:rsid w:val="00C8199B"/>
    <w:rsid w:val="00C82B1B"/>
    <w:rsid w:val="00C82C73"/>
    <w:rsid w:val="00C83876"/>
    <w:rsid w:val="00C8427D"/>
    <w:rsid w:val="00C849EE"/>
    <w:rsid w:val="00C857A2"/>
    <w:rsid w:val="00C86070"/>
    <w:rsid w:val="00C860F7"/>
    <w:rsid w:val="00C86FE7"/>
    <w:rsid w:val="00C87065"/>
    <w:rsid w:val="00C900FC"/>
    <w:rsid w:val="00C90105"/>
    <w:rsid w:val="00C90404"/>
    <w:rsid w:val="00C9071A"/>
    <w:rsid w:val="00C90856"/>
    <w:rsid w:val="00C925D0"/>
    <w:rsid w:val="00C929F8"/>
    <w:rsid w:val="00C941BF"/>
    <w:rsid w:val="00C94549"/>
    <w:rsid w:val="00C945E1"/>
    <w:rsid w:val="00C95212"/>
    <w:rsid w:val="00C95297"/>
    <w:rsid w:val="00C95811"/>
    <w:rsid w:val="00C96846"/>
    <w:rsid w:val="00C968CD"/>
    <w:rsid w:val="00C96EAF"/>
    <w:rsid w:val="00C97061"/>
    <w:rsid w:val="00C972DB"/>
    <w:rsid w:val="00C97484"/>
    <w:rsid w:val="00C9770F"/>
    <w:rsid w:val="00C977BB"/>
    <w:rsid w:val="00C97AE7"/>
    <w:rsid w:val="00C97C3A"/>
    <w:rsid w:val="00C97D6C"/>
    <w:rsid w:val="00CA062E"/>
    <w:rsid w:val="00CA097A"/>
    <w:rsid w:val="00CA0A9C"/>
    <w:rsid w:val="00CA1890"/>
    <w:rsid w:val="00CA19D2"/>
    <w:rsid w:val="00CA2A2D"/>
    <w:rsid w:val="00CA2FDE"/>
    <w:rsid w:val="00CA3375"/>
    <w:rsid w:val="00CA4ABA"/>
    <w:rsid w:val="00CA4E4E"/>
    <w:rsid w:val="00CA4F78"/>
    <w:rsid w:val="00CA52CB"/>
    <w:rsid w:val="00CA6579"/>
    <w:rsid w:val="00CA71FB"/>
    <w:rsid w:val="00CA736A"/>
    <w:rsid w:val="00CB0439"/>
    <w:rsid w:val="00CB064C"/>
    <w:rsid w:val="00CB0C95"/>
    <w:rsid w:val="00CB0DDB"/>
    <w:rsid w:val="00CB1200"/>
    <w:rsid w:val="00CB12D1"/>
    <w:rsid w:val="00CB135C"/>
    <w:rsid w:val="00CB1794"/>
    <w:rsid w:val="00CB2132"/>
    <w:rsid w:val="00CB2CB6"/>
    <w:rsid w:val="00CB2D14"/>
    <w:rsid w:val="00CB2FBE"/>
    <w:rsid w:val="00CB33B5"/>
    <w:rsid w:val="00CB4720"/>
    <w:rsid w:val="00CB4894"/>
    <w:rsid w:val="00CB5B93"/>
    <w:rsid w:val="00CB5D1A"/>
    <w:rsid w:val="00CB6459"/>
    <w:rsid w:val="00CB6F07"/>
    <w:rsid w:val="00CB6F56"/>
    <w:rsid w:val="00CB76F2"/>
    <w:rsid w:val="00CB7A4A"/>
    <w:rsid w:val="00CC0691"/>
    <w:rsid w:val="00CC0BAB"/>
    <w:rsid w:val="00CC0CCA"/>
    <w:rsid w:val="00CC1180"/>
    <w:rsid w:val="00CC12F4"/>
    <w:rsid w:val="00CC1E0F"/>
    <w:rsid w:val="00CC1FCB"/>
    <w:rsid w:val="00CC338D"/>
    <w:rsid w:val="00CC418F"/>
    <w:rsid w:val="00CC451F"/>
    <w:rsid w:val="00CC508A"/>
    <w:rsid w:val="00CC59F8"/>
    <w:rsid w:val="00CC5D3E"/>
    <w:rsid w:val="00CC60DC"/>
    <w:rsid w:val="00CC661C"/>
    <w:rsid w:val="00CC7918"/>
    <w:rsid w:val="00CD09A4"/>
    <w:rsid w:val="00CD29AB"/>
    <w:rsid w:val="00CD3741"/>
    <w:rsid w:val="00CD3FBD"/>
    <w:rsid w:val="00CD545D"/>
    <w:rsid w:val="00CD5A2D"/>
    <w:rsid w:val="00CD65A9"/>
    <w:rsid w:val="00CD66AD"/>
    <w:rsid w:val="00CD75B7"/>
    <w:rsid w:val="00CE050F"/>
    <w:rsid w:val="00CE0575"/>
    <w:rsid w:val="00CE1BAA"/>
    <w:rsid w:val="00CE2166"/>
    <w:rsid w:val="00CE27EE"/>
    <w:rsid w:val="00CE3A2B"/>
    <w:rsid w:val="00CE3EEA"/>
    <w:rsid w:val="00CE4288"/>
    <w:rsid w:val="00CE5018"/>
    <w:rsid w:val="00CE54BB"/>
    <w:rsid w:val="00CE6588"/>
    <w:rsid w:val="00CE6689"/>
    <w:rsid w:val="00CE68C6"/>
    <w:rsid w:val="00CF07B0"/>
    <w:rsid w:val="00CF0CB8"/>
    <w:rsid w:val="00CF147C"/>
    <w:rsid w:val="00CF1CD3"/>
    <w:rsid w:val="00CF22A2"/>
    <w:rsid w:val="00CF26DD"/>
    <w:rsid w:val="00CF28FE"/>
    <w:rsid w:val="00CF2938"/>
    <w:rsid w:val="00CF2950"/>
    <w:rsid w:val="00CF2B68"/>
    <w:rsid w:val="00CF30D2"/>
    <w:rsid w:val="00CF341D"/>
    <w:rsid w:val="00CF38BF"/>
    <w:rsid w:val="00CF45F7"/>
    <w:rsid w:val="00CF51B7"/>
    <w:rsid w:val="00CF54AD"/>
    <w:rsid w:val="00CF5517"/>
    <w:rsid w:val="00CF7015"/>
    <w:rsid w:val="00CF73E3"/>
    <w:rsid w:val="00CF7410"/>
    <w:rsid w:val="00CF7733"/>
    <w:rsid w:val="00D01C89"/>
    <w:rsid w:val="00D026FF"/>
    <w:rsid w:val="00D037B7"/>
    <w:rsid w:val="00D04670"/>
    <w:rsid w:val="00D04D6F"/>
    <w:rsid w:val="00D054B1"/>
    <w:rsid w:val="00D06060"/>
    <w:rsid w:val="00D06143"/>
    <w:rsid w:val="00D0663A"/>
    <w:rsid w:val="00D070F2"/>
    <w:rsid w:val="00D07872"/>
    <w:rsid w:val="00D07A02"/>
    <w:rsid w:val="00D07C2C"/>
    <w:rsid w:val="00D11046"/>
    <w:rsid w:val="00D11BA3"/>
    <w:rsid w:val="00D11FDF"/>
    <w:rsid w:val="00D126AB"/>
    <w:rsid w:val="00D12A4A"/>
    <w:rsid w:val="00D132DC"/>
    <w:rsid w:val="00D13979"/>
    <w:rsid w:val="00D146D8"/>
    <w:rsid w:val="00D14A4F"/>
    <w:rsid w:val="00D14CB4"/>
    <w:rsid w:val="00D15689"/>
    <w:rsid w:val="00D15ABA"/>
    <w:rsid w:val="00D1674D"/>
    <w:rsid w:val="00D16D7B"/>
    <w:rsid w:val="00D17143"/>
    <w:rsid w:val="00D17395"/>
    <w:rsid w:val="00D17416"/>
    <w:rsid w:val="00D1746F"/>
    <w:rsid w:val="00D17A0C"/>
    <w:rsid w:val="00D17DD7"/>
    <w:rsid w:val="00D17E0C"/>
    <w:rsid w:val="00D17E77"/>
    <w:rsid w:val="00D202EE"/>
    <w:rsid w:val="00D203D3"/>
    <w:rsid w:val="00D2048B"/>
    <w:rsid w:val="00D21BB8"/>
    <w:rsid w:val="00D21E07"/>
    <w:rsid w:val="00D22B33"/>
    <w:rsid w:val="00D22F54"/>
    <w:rsid w:val="00D24437"/>
    <w:rsid w:val="00D24567"/>
    <w:rsid w:val="00D2484B"/>
    <w:rsid w:val="00D24C10"/>
    <w:rsid w:val="00D24F72"/>
    <w:rsid w:val="00D256B4"/>
    <w:rsid w:val="00D25F39"/>
    <w:rsid w:val="00D27000"/>
    <w:rsid w:val="00D270FA"/>
    <w:rsid w:val="00D300C6"/>
    <w:rsid w:val="00D30D76"/>
    <w:rsid w:val="00D3186D"/>
    <w:rsid w:val="00D31A3B"/>
    <w:rsid w:val="00D32479"/>
    <w:rsid w:val="00D32D57"/>
    <w:rsid w:val="00D3409A"/>
    <w:rsid w:val="00D34E94"/>
    <w:rsid w:val="00D3626E"/>
    <w:rsid w:val="00D364A3"/>
    <w:rsid w:val="00D37B56"/>
    <w:rsid w:val="00D40107"/>
    <w:rsid w:val="00D40388"/>
    <w:rsid w:val="00D40CAD"/>
    <w:rsid w:val="00D419D6"/>
    <w:rsid w:val="00D42670"/>
    <w:rsid w:val="00D428F9"/>
    <w:rsid w:val="00D43738"/>
    <w:rsid w:val="00D43A8A"/>
    <w:rsid w:val="00D43C22"/>
    <w:rsid w:val="00D4510A"/>
    <w:rsid w:val="00D45293"/>
    <w:rsid w:val="00D45AA3"/>
    <w:rsid w:val="00D45CC6"/>
    <w:rsid w:val="00D4646E"/>
    <w:rsid w:val="00D46594"/>
    <w:rsid w:val="00D465D6"/>
    <w:rsid w:val="00D46C7C"/>
    <w:rsid w:val="00D47715"/>
    <w:rsid w:val="00D506D0"/>
    <w:rsid w:val="00D506EA"/>
    <w:rsid w:val="00D50810"/>
    <w:rsid w:val="00D51F65"/>
    <w:rsid w:val="00D52351"/>
    <w:rsid w:val="00D52921"/>
    <w:rsid w:val="00D52E05"/>
    <w:rsid w:val="00D52EA1"/>
    <w:rsid w:val="00D5323B"/>
    <w:rsid w:val="00D53814"/>
    <w:rsid w:val="00D543B7"/>
    <w:rsid w:val="00D54845"/>
    <w:rsid w:val="00D5543C"/>
    <w:rsid w:val="00D56F6B"/>
    <w:rsid w:val="00D575D0"/>
    <w:rsid w:val="00D579E1"/>
    <w:rsid w:val="00D57A78"/>
    <w:rsid w:val="00D57D23"/>
    <w:rsid w:val="00D57E00"/>
    <w:rsid w:val="00D6000D"/>
    <w:rsid w:val="00D6070C"/>
    <w:rsid w:val="00D60992"/>
    <w:rsid w:val="00D60F7C"/>
    <w:rsid w:val="00D613CD"/>
    <w:rsid w:val="00D6189C"/>
    <w:rsid w:val="00D61914"/>
    <w:rsid w:val="00D61BE6"/>
    <w:rsid w:val="00D61EDF"/>
    <w:rsid w:val="00D62272"/>
    <w:rsid w:val="00D6244F"/>
    <w:rsid w:val="00D62D80"/>
    <w:rsid w:val="00D63AFF"/>
    <w:rsid w:val="00D64B03"/>
    <w:rsid w:val="00D65895"/>
    <w:rsid w:val="00D65B0B"/>
    <w:rsid w:val="00D65D1C"/>
    <w:rsid w:val="00D65DA9"/>
    <w:rsid w:val="00D665F0"/>
    <w:rsid w:val="00D66D73"/>
    <w:rsid w:val="00D670B1"/>
    <w:rsid w:val="00D676AB"/>
    <w:rsid w:val="00D70582"/>
    <w:rsid w:val="00D718E4"/>
    <w:rsid w:val="00D71E16"/>
    <w:rsid w:val="00D71EA7"/>
    <w:rsid w:val="00D71EBE"/>
    <w:rsid w:val="00D721F6"/>
    <w:rsid w:val="00D727FD"/>
    <w:rsid w:val="00D7299E"/>
    <w:rsid w:val="00D732DC"/>
    <w:rsid w:val="00D7346C"/>
    <w:rsid w:val="00D73841"/>
    <w:rsid w:val="00D738F4"/>
    <w:rsid w:val="00D73A4D"/>
    <w:rsid w:val="00D74502"/>
    <w:rsid w:val="00D75545"/>
    <w:rsid w:val="00D75BD9"/>
    <w:rsid w:val="00D764ED"/>
    <w:rsid w:val="00D76BA3"/>
    <w:rsid w:val="00D76C2F"/>
    <w:rsid w:val="00D76E1E"/>
    <w:rsid w:val="00D77289"/>
    <w:rsid w:val="00D7765F"/>
    <w:rsid w:val="00D77979"/>
    <w:rsid w:val="00D77DB1"/>
    <w:rsid w:val="00D77DDA"/>
    <w:rsid w:val="00D77F90"/>
    <w:rsid w:val="00D80236"/>
    <w:rsid w:val="00D80AE1"/>
    <w:rsid w:val="00D81675"/>
    <w:rsid w:val="00D8179F"/>
    <w:rsid w:val="00D81897"/>
    <w:rsid w:val="00D82216"/>
    <w:rsid w:val="00D82F85"/>
    <w:rsid w:val="00D83376"/>
    <w:rsid w:val="00D83BE3"/>
    <w:rsid w:val="00D844B0"/>
    <w:rsid w:val="00D8456B"/>
    <w:rsid w:val="00D84E1B"/>
    <w:rsid w:val="00D8528F"/>
    <w:rsid w:val="00D875AF"/>
    <w:rsid w:val="00D8792F"/>
    <w:rsid w:val="00D87EB3"/>
    <w:rsid w:val="00D90596"/>
    <w:rsid w:val="00D90889"/>
    <w:rsid w:val="00D90F6A"/>
    <w:rsid w:val="00D918BA"/>
    <w:rsid w:val="00D91D1B"/>
    <w:rsid w:val="00D91EC5"/>
    <w:rsid w:val="00D9276C"/>
    <w:rsid w:val="00D92FC9"/>
    <w:rsid w:val="00D933E4"/>
    <w:rsid w:val="00D93C17"/>
    <w:rsid w:val="00D93E40"/>
    <w:rsid w:val="00D94C16"/>
    <w:rsid w:val="00D95732"/>
    <w:rsid w:val="00D957E7"/>
    <w:rsid w:val="00D95C08"/>
    <w:rsid w:val="00D96197"/>
    <w:rsid w:val="00D96CEE"/>
    <w:rsid w:val="00D9792D"/>
    <w:rsid w:val="00D97980"/>
    <w:rsid w:val="00D97DB4"/>
    <w:rsid w:val="00D97FB9"/>
    <w:rsid w:val="00DA0379"/>
    <w:rsid w:val="00DA0A0A"/>
    <w:rsid w:val="00DA0E2A"/>
    <w:rsid w:val="00DA1306"/>
    <w:rsid w:val="00DA18B3"/>
    <w:rsid w:val="00DA192C"/>
    <w:rsid w:val="00DA21C7"/>
    <w:rsid w:val="00DA22D8"/>
    <w:rsid w:val="00DA289B"/>
    <w:rsid w:val="00DA29B9"/>
    <w:rsid w:val="00DA2E6B"/>
    <w:rsid w:val="00DA3289"/>
    <w:rsid w:val="00DA3B73"/>
    <w:rsid w:val="00DA41BC"/>
    <w:rsid w:val="00DA47DE"/>
    <w:rsid w:val="00DA5091"/>
    <w:rsid w:val="00DA57DF"/>
    <w:rsid w:val="00DA592B"/>
    <w:rsid w:val="00DA7B68"/>
    <w:rsid w:val="00DB03B7"/>
    <w:rsid w:val="00DB0541"/>
    <w:rsid w:val="00DB0D12"/>
    <w:rsid w:val="00DB10B1"/>
    <w:rsid w:val="00DB1617"/>
    <w:rsid w:val="00DB1975"/>
    <w:rsid w:val="00DB1D96"/>
    <w:rsid w:val="00DB2E43"/>
    <w:rsid w:val="00DB327F"/>
    <w:rsid w:val="00DB3F2B"/>
    <w:rsid w:val="00DB3F2F"/>
    <w:rsid w:val="00DB3FD2"/>
    <w:rsid w:val="00DB67E8"/>
    <w:rsid w:val="00DB6862"/>
    <w:rsid w:val="00DB6DA1"/>
    <w:rsid w:val="00DB78EB"/>
    <w:rsid w:val="00DB7B8F"/>
    <w:rsid w:val="00DC09D8"/>
    <w:rsid w:val="00DC196A"/>
    <w:rsid w:val="00DC2350"/>
    <w:rsid w:val="00DC276A"/>
    <w:rsid w:val="00DC27E9"/>
    <w:rsid w:val="00DC2DDA"/>
    <w:rsid w:val="00DC302A"/>
    <w:rsid w:val="00DC37D0"/>
    <w:rsid w:val="00DC42F3"/>
    <w:rsid w:val="00DC450F"/>
    <w:rsid w:val="00DC4CB7"/>
    <w:rsid w:val="00DC5483"/>
    <w:rsid w:val="00DC5C7C"/>
    <w:rsid w:val="00DC5EA2"/>
    <w:rsid w:val="00DC704A"/>
    <w:rsid w:val="00DC75BB"/>
    <w:rsid w:val="00DD0336"/>
    <w:rsid w:val="00DD0BAE"/>
    <w:rsid w:val="00DD272F"/>
    <w:rsid w:val="00DD3CF7"/>
    <w:rsid w:val="00DD4571"/>
    <w:rsid w:val="00DD4650"/>
    <w:rsid w:val="00DD4CCB"/>
    <w:rsid w:val="00DD6470"/>
    <w:rsid w:val="00DD653F"/>
    <w:rsid w:val="00DD7256"/>
    <w:rsid w:val="00DD7281"/>
    <w:rsid w:val="00DD79AE"/>
    <w:rsid w:val="00DE2996"/>
    <w:rsid w:val="00DE2FDF"/>
    <w:rsid w:val="00DE3B3E"/>
    <w:rsid w:val="00DE520B"/>
    <w:rsid w:val="00DE5273"/>
    <w:rsid w:val="00DE680D"/>
    <w:rsid w:val="00DE7000"/>
    <w:rsid w:val="00DE7C3E"/>
    <w:rsid w:val="00DF0496"/>
    <w:rsid w:val="00DF0873"/>
    <w:rsid w:val="00DF15FE"/>
    <w:rsid w:val="00DF16F9"/>
    <w:rsid w:val="00DF1EEC"/>
    <w:rsid w:val="00DF1F1F"/>
    <w:rsid w:val="00DF2F0F"/>
    <w:rsid w:val="00DF3027"/>
    <w:rsid w:val="00DF3269"/>
    <w:rsid w:val="00DF440F"/>
    <w:rsid w:val="00DF48C9"/>
    <w:rsid w:val="00DF4C68"/>
    <w:rsid w:val="00DF53FA"/>
    <w:rsid w:val="00DF555C"/>
    <w:rsid w:val="00DF5D5D"/>
    <w:rsid w:val="00DF60AC"/>
    <w:rsid w:val="00DF6F9E"/>
    <w:rsid w:val="00E0035B"/>
    <w:rsid w:val="00E014DB"/>
    <w:rsid w:val="00E01F0A"/>
    <w:rsid w:val="00E026DA"/>
    <w:rsid w:val="00E02C02"/>
    <w:rsid w:val="00E02EA8"/>
    <w:rsid w:val="00E03003"/>
    <w:rsid w:val="00E031E9"/>
    <w:rsid w:val="00E0327A"/>
    <w:rsid w:val="00E0357B"/>
    <w:rsid w:val="00E038D1"/>
    <w:rsid w:val="00E03B9A"/>
    <w:rsid w:val="00E04A49"/>
    <w:rsid w:val="00E04AF8"/>
    <w:rsid w:val="00E060C4"/>
    <w:rsid w:val="00E068E1"/>
    <w:rsid w:val="00E06A03"/>
    <w:rsid w:val="00E076B4"/>
    <w:rsid w:val="00E107D4"/>
    <w:rsid w:val="00E10962"/>
    <w:rsid w:val="00E1295C"/>
    <w:rsid w:val="00E14032"/>
    <w:rsid w:val="00E1438F"/>
    <w:rsid w:val="00E14804"/>
    <w:rsid w:val="00E14D8F"/>
    <w:rsid w:val="00E14E88"/>
    <w:rsid w:val="00E1513C"/>
    <w:rsid w:val="00E15878"/>
    <w:rsid w:val="00E172F8"/>
    <w:rsid w:val="00E17BCE"/>
    <w:rsid w:val="00E20994"/>
    <w:rsid w:val="00E21058"/>
    <w:rsid w:val="00E21076"/>
    <w:rsid w:val="00E21493"/>
    <w:rsid w:val="00E215FD"/>
    <w:rsid w:val="00E22057"/>
    <w:rsid w:val="00E229C2"/>
    <w:rsid w:val="00E23243"/>
    <w:rsid w:val="00E23322"/>
    <w:rsid w:val="00E24FC5"/>
    <w:rsid w:val="00E25E90"/>
    <w:rsid w:val="00E27550"/>
    <w:rsid w:val="00E27C3E"/>
    <w:rsid w:val="00E27F39"/>
    <w:rsid w:val="00E303E7"/>
    <w:rsid w:val="00E313BD"/>
    <w:rsid w:val="00E31538"/>
    <w:rsid w:val="00E3189C"/>
    <w:rsid w:val="00E31B13"/>
    <w:rsid w:val="00E32A1A"/>
    <w:rsid w:val="00E33830"/>
    <w:rsid w:val="00E33DA3"/>
    <w:rsid w:val="00E34DAE"/>
    <w:rsid w:val="00E35A34"/>
    <w:rsid w:val="00E37939"/>
    <w:rsid w:val="00E4051F"/>
    <w:rsid w:val="00E40BE0"/>
    <w:rsid w:val="00E42B30"/>
    <w:rsid w:val="00E42C80"/>
    <w:rsid w:val="00E43128"/>
    <w:rsid w:val="00E433DC"/>
    <w:rsid w:val="00E43C35"/>
    <w:rsid w:val="00E44E66"/>
    <w:rsid w:val="00E46F0F"/>
    <w:rsid w:val="00E4722D"/>
    <w:rsid w:val="00E476D4"/>
    <w:rsid w:val="00E503CA"/>
    <w:rsid w:val="00E504A2"/>
    <w:rsid w:val="00E50ADC"/>
    <w:rsid w:val="00E50B0E"/>
    <w:rsid w:val="00E51C84"/>
    <w:rsid w:val="00E521CC"/>
    <w:rsid w:val="00E52BC8"/>
    <w:rsid w:val="00E5342F"/>
    <w:rsid w:val="00E537B7"/>
    <w:rsid w:val="00E5451B"/>
    <w:rsid w:val="00E5464F"/>
    <w:rsid w:val="00E54EA3"/>
    <w:rsid w:val="00E54ED2"/>
    <w:rsid w:val="00E55174"/>
    <w:rsid w:val="00E55425"/>
    <w:rsid w:val="00E55D31"/>
    <w:rsid w:val="00E60018"/>
    <w:rsid w:val="00E60135"/>
    <w:rsid w:val="00E6050E"/>
    <w:rsid w:val="00E6059A"/>
    <w:rsid w:val="00E6089F"/>
    <w:rsid w:val="00E608C0"/>
    <w:rsid w:val="00E60A57"/>
    <w:rsid w:val="00E60B76"/>
    <w:rsid w:val="00E60B88"/>
    <w:rsid w:val="00E6138D"/>
    <w:rsid w:val="00E613CA"/>
    <w:rsid w:val="00E62065"/>
    <w:rsid w:val="00E6229A"/>
    <w:rsid w:val="00E62371"/>
    <w:rsid w:val="00E63653"/>
    <w:rsid w:val="00E6368B"/>
    <w:rsid w:val="00E64163"/>
    <w:rsid w:val="00E647A0"/>
    <w:rsid w:val="00E64E72"/>
    <w:rsid w:val="00E64ECF"/>
    <w:rsid w:val="00E65863"/>
    <w:rsid w:val="00E65B2F"/>
    <w:rsid w:val="00E65EFE"/>
    <w:rsid w:val="00E6618A"/>
    <w:rsid w:val="00E66CCF"/>
    <w:rsid w:val="00E66E5B"/>
    <w:rsid w:val="00E67015"/>
    <w:rsid w:val="00E67546"/>
    <w:rsid w:val="00E67FDF"/>
    <w:rsid w:val="00E70D0E"/>
    <w:rsid w:val="00E71AEF"/>
    <w:rsid w:val="00E726CF"/>
    <w:rsid w:val="00E72EC2"/>
    <w:rsid w:val="00E730C0"/>
    <w:rsid w:val="00E73528"/>
    <w:rsid w:val="00E73A27"/>
    <w:rsid w:val="00E74630"/>
    <w:rsid w:val="00E75331"/>
    <w:rsid w:val="00E75833"/>
    <w:rsid w:val="00E75A77"/>
    <w:rsid w:val="00E75ABD"/>
    <w:rsid w:val="00E766B1"/>
    <w:rsid w:val="00E76CE1"/>
    <w:rsid w:val="00E771C8"/>
    <w:rsid w:val="00E7764B"/>
    <w:rsid w:val="00E80266"/>
    <w:rsid w:val="00E8084B"/>
    <w:rsid w:val="00E80FE1"/>
    <w:rsid w:val="00E81728"/>
    <w:rsid w:val="00E823C6"/>
    <w:rsid w:val="00E828B6"/>
    <w:rsid w:val="00E83479"/>
    <w:rsid w:val="00E84470"/>
    <w:rsid w:val="00E8629A"/>
    <w:rsid w:val="00E86C66"/>
    <w:rsid w:val="00E871F9"/>
    <w:rsid w:val="00E87A24"/>
    <w:rsid w:val="00E87E7D"/>
    <w:rsid w:val="00E87F46"/>
    <w:rsid w:val="00E901F3"/>
    <w:rsid w:val="00E904FB"/>
    <w:rsid w:val="00E906B7"/>
    <w:rsid w:val="00E907C0"/>
    <w:rsid w:val="00E91E3B"/>
    <w:rsid w:val="00E9291A"/>
    <w:rsid w:val="00E9371B"/>
    <w:rsid w:val="00E93C0D"/>
    <w:rsid w:val="00E949CE"/>
    <w:rsid w:val="00E949D2"/>
    <w:rsid w:val="00E94D6C"/>
    <w:rsid w:val="00E95651"/>
    <w:rsid w:val="00E9619B"/>
    <w:rsid w:val="00E96220"/>
    <w:rsid w:val="00E965D6"/>
    <w:rsid w:val="00E96A8A"/>
    <w:rsid w:val="00E974F7"/>
    <w:rsid w:val="00E97AC8"/>
    <w:rsid w:val="00EA00B0"/>
    <w:rsid w:val="00EA052F"/>
    <w:rsid w:val="00EA14CF"/>
    <w:rsid w:val="00EA1825"/>
    <w:rsid w:val="00EA1882"/>
    <w:rsid w:val="00EA200A"/>
    <w:rsid w:val="00EA2DE9"/>
    <w:rsid w:val="00EA3064"/>
    <w:rsid w:val="00EA36DE"/>
    <w:rsid w:val="00EA3D03"/>
    <w:rsid w:val="00EA42E2"/>
    <w:rsid w:val="00EA51ED"/>
    <w:rsid w:val="00EA5A0C"/>
    <w:rsid w:val="00EA6134"/>
    <w:rsid w:val="00EA62D0"/>
    <w:rsid w:val="00EA646C"/>
    <w:rsid w:val="00EA74DE"/>
    <w:rsid w:val="00EA75E2"/>
    <w:rsid w:val="00EA7B74"/>
    <w:rsid w:val="00EB038F"/>
    <w:rsid w:val="00EB1BFE"/>
    <w:rsid w:val="00EB23E5"/>
    <w:rsid w:val="00EB24C4"/>
    <w:rsid w:val="00EB27C5"/>
    <w:rsid w:val="00EB2B34"/>
    <w:rsid w:val="00EB3AB9"/>
    <w:rsid w:val="00EB3C9D"/>
    <w:rsid w:val="00EB4918"/>
    <w:rsid w:val="00EB5032"/>
    <w:rsid w:val="00EB5507"/>
    <w:rsid w:val="00EB5873"/>
    <w:rsid w:val="00EB695D"/>
    <w:rsid w:val="00EB6AE1"/>
    <w:rsid w:val="00EB7614"/>
    <w:rsid w:val="00EB769A"/>
    <w:rsid w:val="00EB7D5A"/>
    <w:rsid w:val="00EC02EB"/>
    <w:rsid w:val="00EC0F6E"/>
    <w:rsid w:val="00EC102E"/>
    <w:rsid w:val="00EC1BA2"/>
    <w:rsid w:val="00EC26B4"/>
    <w:rsid w:val="00EC2829"/>
    <w:rsid w:val="00EC2EAA"/>
    <w:rsid w:val="00EC2EC2"/>
    <w:rsid w:val="00EC31C6"/>
    <w:rsid w:val="00EC3645"/>
    <w:rsid w:val="00EC392D"/>
    <w:rsid w:val="00EC4DA6"/>
    <w:rsid w:val="00EC5D3F"/>
    <w:rsid w:val="00EC5E99"/>
    <w:rsid w:val="00EC6267"/>
    <w:rsid w:val="00EC667A"/>
    <w:rsid w:val="00EC6AC5"/>
    <w:rsid w:val="00EC6B7D"/>
    <w:rsid w:val="00EC7E66"/>
    <w:rsid w:val="00ED0A84"/>
    <w:rsid w:val="00ED0EAF"/>
    <w:rsid w:val="00ED1B32"/>
    <w:rsid w:val="00ED2468"/>
    <w:rsid w:val="00ED2EF4"/>
    <w:rsid w:val="00ED4ADB"/>
    <w:rsid w:val="00ED4B61"/>
    <w:rsid w:val="00ED4BD3"/>
    <w:rsid w:val="00ED4C8F"/>
    <w:rsid w:val="00ED5713"/>
    <w:rsid w:val="00ED5D52"/>
    <w:rsid w:val="00ED5E77"/>
    <w:rsid w:val="00ED5F4B"/>
    <w:rsid w:val="00ED5FF2"/>
    <w:rsid w:val="00ED60C2"/>
    <w:rsid w:val="00ED665C"/>
    <w:rsid w:val="00ED6858"/>
    <w:rsid w:val="00ED6865"/>
    <w:rsid w:val="00ED6BAE"/>
    <w:rsid w:val="00ED6E6A"/>
    <w:rsid w:val="00ED7398"/>
    <w:rsid w:val="00ED79D7"/>
    <w:rsid w:val="00EE09D3"/>
    <w:rsid w:val="00EE105B"/>
    <w:rsid w:val="00EE1E47"/>
    <w:rsid w:val="00EE23F1"/>
    <w:rsid w:val="00EE2BF2"/>
    <w:rsid w:val="00EE39BE"/>
    <w:rsid w:val="00EE4320"/>
    <w:rsid w:val="00EE54F7"/>
    <w:rsid w:val="00EE57BF"/>
    <w:rsid w:val="00EE5E95"/>
    <w:rsid w:val="00EE6794"/>
    <w:rsid w:val="00EF0110"/>
    <w:rsid w:val="00EF021A"/>
    <w:rsid w:val="00EF0568"/>
    <w:rsid w:val="00EF0D71"/>
    <w:rsid w:val="00EF101E"/>
    <w:rsid w:val="00EF1506"/>
    <w:rsid w:val="00EF1FFD"/>
    <w:rsid w:val="00EF2446"/>
    <w:rsid w:val="00EF2981"/>
    <w:rsid w:val="00EF2A42"/>
    <w:rsid w:val="00EF3539"/>
    <w:rsid w:val="00EF37CA"/>
    <w:rsid w:val="00EF3E6B"/>
    <w:rsid w:val="00EF3E88"/>
    <w:rsid w:val="00EF5187"/>
    <w:rsid w:val="00EF6818"/>
    <w:rsid w:val="00F00080"/>
    <w:rsid w:val="00F002AE"/>
    <w:rsid w:val="00F006F6"/>
    <w:rsid w:val="00F00F95"/>
    <w:rsid w:val="00F013C3"/>
    <w:rsid w:val="00F01585"/>
    <w:rsid w:val="00F01817"/>
    <w:rsid w:val="00F0191E"/>
    <w:rsid w:val="00F01B82"/>
    <w:rsid w:val="00F029B6"/>
    <w:rsid w:val="00F02AC9"/>
    <w:rsid w:val="00F02CB1"/>
    <w:rsid w:val="00F02EFB"/>
    <w:rsid w:val="00F02F4E"/>
    <w:rsid w:val="00F032C8"/>
    <w:rsid w:val="00F03509"/>
    <w:rsid w:val="00F03806"/>
    <w:rsid w:val="00F04140"/>
    <w:rsid w:val="00F041BD"/>
    <w:rsid w:val="00F04353"/>
    <w:rsid w:val="00F04CB1"/>
    <w:rsid w:val="00F05694"/>
    <w:rsid w:val="00F05EFE"/>
    <w:rsid w:val="00F060C9"/>
    <w:rsid w:val="00F0628F"/>
    <w:rsid w:val="00F0744A"/>
    <w:rsid w:val="00F076AA"/>
    <w:rsid w:val="00F100F6"/>
    <w:rsid w:val="00F10B84"/>
    <w:rsid w:val="00F10BD7"/>
    <w:rsid w:val="00F10FF8"/>
    <w:rsid w:val="00F111BF"/>
    <w:rsid w:val="00F1190F"/>
    <w:rsid w:val="00F11921"/>
    <w:rsid w:val="00F12746"/>
    <w:rsid w:val="00F12D04"/>
    <w:rsid w:val="00F136EA"/>
    <w:rsid w:val="00F1392E"/>
    <w:rsid w:val="00F13B24"/>
    <w:rsid w:val="00F13FE1"/>
    <w:rsid w:val="00F14ABB"/>
    <w:rsid w:val="00F1508C"/>
    <w:rsid w:val="00F1521C"/>
    <w:rsid w:val="00F152B6"/>
    <w:rsid w:val="00F16650"/>
    <w:rsid w:val="00F16B5E"/>
    <w:rsid w:val="00F17B41"/>
    <w:rsid w:val="00F213CB"/>
    <w:rsid w:val="00F21A2A"/>
    <w:rsid w:val="00F21C68"/>
    <w:rsid w:val="00F22459"/>
    <w:rsid w:val="00F2272F"/>
    <w:rsid w:val="00F22839"/>
    <w:rsid w:val="00F23A22"/>
    <w:rsid w:val="00F23A96"/>
    <w:rsid w:val="00F23AD7"/>
    <w:rsid w:val="00F23DCE"/>
    <w:rsid w:val="00F245DA"/>
    <w:rsid w:val="00F256EA"/>
    <w:rsid w:val="00F25826"/>
    <w:rsid w:val="00F25966"/>
    <w:rsid w:val="00F25D0A"/>
    <w:rsid w:val="00F26114"/>
    <w:rsid w:val="00F26A0F"/>
    <w:rsid w:val="00F26C0D"/>
    <w:rsid w:val="00F27184"/>
    <w:rsid w:val="00F27661"/>
    <w:rsid w:val="00F27B4D"/>
    <w:rsid w:val="00F27DA2"/>
    <w:rsid w:val="00F27DC6"/>
    <w:rsid w:val="00F305F0"/>
    <w:rsid w:val="00F30754"/>
    <w:rsid w:val="00F30CE1"/>
    <w:rsid w:val="00F3174E"/>
    <w:rsid w:val="00F319E1"/>
    <w:rsid w:val="00F31C1B"/>
    <w:rsid w:val="00F32BD9"/>
    <w:rsid w:val="00F335FF"/>
    <w:rsid w:val="00F34176"/>
    <w:rsid w:val="00F34B39"/>
    <w:rsid w:val="00F34DBD"/>
    <w:rsid w:val="00F35875"/>
    <w:rsid w:val="00F35FBA"/>
    <w:rsid w:val="00F361D7"/>
    <w:rsid w:val="00F36322"/>
    <w:rsid w:val="00F36B0C"/>
    <w:rsid w:val="00F36D40"/>
    <w:rsid w:val="00F37125"/>
    <w:rsid w:val="00F37773"/>
    <w:rsid w:val="00F37CC6"/>
    <w:rsid w:val="00F404BD"/>
    <w:rsid w:val="00F404FA"/>
    <w:rsid w:val="00F40907"/>
    <w:rsid w:val="00F4177A"/>
    <w:rsid w:val="00F4183F"/>
    <w:rsid w:val="00F42D39"/>
    <w:rsid w:val="00F437A8"/>
    <w:rsid w:val="00F441BE"/>
    <w:rsid w:val="00F447A4"/>
    <w:rsid w:val="00F44E83"/>
    <w:rsid w:val="00F45416"/>
    <w:rsid w:val="00F458AF"/>
    <w:rsid w:val="00F4591C"/>
    <w:rsid w:val="00F45E43"/>
    <w:rsid w:val="00F47489"/>
    <w:rsid w:val="00F502F6"/>
    <w:rsid w:val="00F5035E"/>
    <w:rsid w:val="00F505F7"/>
    <w:rsid w:val="00F50D44"/>
    <w:rsid w:val="00F51F9A"/>
    <w:rsid w:val="00F521E4"/>
    <w:rsid w:val="00F53700"/>
    <w:rsid w:val="00F53FAC"/>
    <w:rsid w:val="00F54531"/>
    <w:rsid w:val="00F54EA9"/>
    <w:rsid w:val="00F54FF8"/>
    <w:rsid w:val="00F553FA"/>
    <w:rsid w:val="00F55EE1"/>
    <w:rsid w:val="00F56295"/>
    <w:rsid w:val="00F567D8"/>
    <w:rsid w:val="00F56CB9"/>
    <w:rsid w:val="00F56EA0"/>
    <w:rsid w:val="00F57129"/>
    <w:rsid w:val="00F60638"/>
    <w:rsid w:val="00F6065A"/>
    <w:rsid w:val="00F6140F"/>
    <w:rsid w:val="00F616A2"/>
    <w:rsid w:val="00F61D35"/>
    <w:rsid w:val="00F61D52"/>
    <w:rsid w:val="00F61F44"/>
    <w:rsid w:val="00F631E6"/>
    <w:rsid w:val="00F6342E"/>
    <w:rsid w:val="00F6383D"/>
    <w:rsid w:val="00F6427F"/>
    <w:rsid w:val="00F64324"/>
    <w:rsid w:val="00F64D64"/>
    <w:rsid w:val="00F6562D"/>
    <w:rsid w:val="00F66255"/>
    <w:rsid w:val="00F66C95"/>
    <w:rsid w:val="00F66F8C"/>
    <w:rsid w:val="00F67E5B"/>
    <w:rsid w:val="00F7021A"/>
    <w:rsid w:val="00F703AD"/>
    <w:rsid w:val="00F70618"/>
    <w:rsid w:val="00F711E6"/>
    <w:rsid w:val="00F712F9"/>
    <w:rsid w:val="00F71401"/>
    <w:rsid w:val="00F7172B"/>
    <w:rsid w:val="00F71BFF"/>
    <w:rsid w:val="00F71CBE"/>
    <w:rsid w:val="00F71CFE"/>
    <w:rsid w:val="00F71DED"/>
    <w:rsid w:val="00F72203"/>
    <w:rsid w:val="00F72B5A"/>
    <w:rsid w:val="00F72DDC"/>
    <w:rsid w:val="00F73628"/>
    <w:rsid w:val="00F7417A"/>
    <w:rsid w:val="00F74A51"/>
    <w:rsid w:val="00F753DE"/>
    <w:rsid w:val="00F7671E"/>
    <w:rsid w:val="00F76DC3"/>
    <w:rsid w:val="00F7763A"/>
    <w:rsid w:val="00F77859"/>
    <w:rsid w:val="00F77A46"/>
    <w:rsid w:val="00F77DD3"/>
    <w:rsid w:val="00F8097D"/>
    <w:rsid w:val="00F820B9"/>
    <w:rsid w:val="00F82236"/>
    <w:rsid w:val="00F82694"/>
    <w:rsid w:val="00F82EEA"/>
    <w:rsid w:val="00F8314B"/>
    <w:rsid w:val="00F8328A"/>
    <w:rsid w:val="00F832CE"/>
    <w:rsid w:val="00F8344D"/>
    <w:rsid w:val="00F8381A"/>
    <w:rsid w:val="00F83E64"/>
    <w:rsid w:val="00F83F9A"/>
    <w:rsid w:val="00F83FA0"/>
    <w:rsid w:val="00F84606"/>
    <w:rsid w:val="00F84979"/>
    <w:rsid w:val="00F84F28"/>
    <w:rsid w:val="00F85A5A"/>
    <w:rsid w:val="00F85F19"/>
    <w:rsid w:val="00F87004"/>
    <w:rsid w:val="00F8726A"/>
    <w:rsid w:val="00F875AA"/>
    <w:rsid w:val="00F90407"/>
    <w:rsid w:val="00F90728"/>
    <w:rsid w:val="00F927DF"/>
    <w:rsid w:val="00F92866"/>
    <w:rsid w:val="00F93382"/>
    <w:rsid w:val="00F9363F"/>
    <w:rsid w:val="00F9401F"/>
    <w:rsid w:val="00F971EA"/>
    <w:rsid w:val="00FA0C97"/>
    <w:rsid w:val="00FA0E5E"/>
    <w:rsid w:val="00FA1116"/>
    <w:rsid w:val="00FA15A7"/>
    <w:rsid w:val="00FA1941"/>
    <w:rsid w:val="00FA1AB6"/>
    <w:rsid w:val="00FA1B99"/>
    <w:rsid w:val="00FA25DD"/>
    <w:rsid w:val="00FA2D8B"/>
    <w:rsid w:val="00FA2D8E"/>
    <w:rsid w:val="00FA2DF5"/>
    <w:rsid w:val="00FA4841"/>
    <w:rsid w:val="00FA4E11"/>
    <w:rsid w:val="00FA50B9"/>
    <w:rsid w:val="00FA5177"/>
    <w:rsid w:val="00FA5B6A"/>
    <w:rsid w:val="00FA5D43"/>
    <w:rsid w:val="00FA64CB"/>
    <w:rsid w:val="00FA6A8A"/>
    <w:rsid w:val="00FA6CC3"/>
    <w:rsid w:val="00FA6E6B"/>
    <w:rsid w:val="00FA7CEA"/>
    <w:rsid w:val="00FB0A57"/>
    <w:rsid w:val="00FB0E1F"/>
    <w:rsid w:val="00FB15D8"/>
    <w:rsid w:val="00FB1942"/>
    <w:rsid w:val="00FB271E"/>
    <w:rsid w:val="00FB2895"/>
    <w:rsid w:val="00FB2C7E"/>
    <w:rsid w:val="00FB45C0"/>
    <w:rsid w:val="00FB59D4"/>
    <w:rsid w:val="00FB5DFA"/>
    <w:rsid w:val="00FB6C70"/>
    <w:rsid w:val="00FB6CD4"/>
    <w:rsid w:val="00FB7346"/>
    <w:rsid w:val="00FB7AF3"/>
    <w:rsid w:val="00FB7C35"/>
    <w:rsid w:val="00FC0311"/>
    <w:rsid w:val="00FC0A57"/>
    <w:rsid w:val="00FC0BA0"/>
    <w:rsid w:val="00FC0C94"/>
    <w:rsid w:val="00FC11EE"/>
    <w:rsid w:val="00FC19A6"/>
    <w:rsid w:val="00FC2331"/>
    <w:rsid w:val="00FC292F"/>
    <w:rsid w:val="00FC3CA1"/>
    <w:rsid w:val="00FC3CF1"/>
    <w:rsid w:val="00FC3ECD"/>
    <w:rsid w:val="00FC3F7C"/>
    <w:rsid w:val="00FC4006"/>
    <w:rsid w:val="00FC47C5"/>
    <w:rsid w:val="00FC4840"/>
    <w:rsid w:val="00FC4C69"/>
    <w:rsid w:val="00FC510B"/>
    <w:rsid w:val="00FC5D5C"/>
    <w:rsid w:val="00FC68B4"/>
    <w:rsid w:val="00FC70E0"/>
    <w:rsid w:val="00FD0521"/>
    <w:rsid w:val="00FD0CCE"/>
    <w:rsid w:val="00FD0F13"/>
    <w:rsid w:val="00FD1710"/>
    <w:rsid w:val="00FD238E"/>
    <w:rsid w:val="00FD2856"/>
    <w:rsid w:val="00FD3338"/>
    <w:rsid w:val="00FD341F"/>
    <w:rsid w:val="00FD4B62"/>
    <w:rsid w:val="00FD5157"/>
    <w:rsid w:val="00FD5FD6"/>
    <w:rsid w:val="00FD6E59"/>
    <w:rsid w:val="00FD7145"/>
    <w:rsid w:val="00FD7450"/>
    <w:rsid w:val="00FE0665"/>
    <w:rsid w:val="00FE0FF8"/>
    <w:rsid w:val="00FE1521"/>
    <w:rsid w:val="00FE1E6D"/>
    <w:rsid w:val="00FE2358"/>
    <w:rsid w:val="00FE2C5D"/>
    <w:rsid w:val="00FE2D02"/>
    <w:rsid w:val="00FE2FBE"/>
    <w:rsid w:val="00FE48CD"/>
    <w:rsid w:val="00FE5EB4"/>
    <w:rsid w:val="00FE67EF"/>
    <w:rsid w:val="00FF00F7"/>
    <w:rsid w:val="00FF02BA"/>
    <w:rsid w:val="00FF0DB3"/>
    <w:rsid w:val="00FF1466"/>
    <w:rsid w:val="00FF171A"/>
    <w:rsid w:val="00FF1BF9"/>
    <w:rsid w:val="00FF27DD"/>
    <w:rsid w:val="00FF2B0A"/>
    <w:rsid w:val="00FF341E"/>
    <w:rsid w:val="00FF344A"/>
    <w:rsid w:val="00FF39AE"/>
    <w:rsid w:val="00FF3F69"/>
    <w:rsid w:val="00FF4431"/>
    <w:rsid w:val="00FF4E6E"/>
    <w:rsid w:val="00FF5A2D"/>
    <w:rsid w:val="00FF5EC0"/>
    <w:rsid w:val="00FF6047"/>
    <w:rsid w:val="00FF644C"/>
    <w:rsid w:val="00FF70EF"/>
    <w:rsid w:val="25CE89A5"/>
    <w:rsid w:val="2E527AA5"/>
    <w:rsid w:val="4BA52F54"/>
    <w:rsid w:val="605532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2"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C0"/>
    <w:pPr>
      <w:keepLines/>
      <w:spacing w:before="120" w:after="120" w:line="240" w:lineRule="exact"/>
    </w:pPr>
    <w:rPr>
      <w:rFonts w:cs="Times New Roman (Body CS)"/>
      <w:sz w:val="20"/>
    </w:rPr>
  </w:style>
  <w:style w:type="paragraph" w:styleId="Heading1">
    <w:name w:val="heading 1"/>
    <w:basedOn w:val="Normal"/>
    <w:next w:val="Normal"/>
    <w:link w:val="Heading1Char"/>
    <w:qFormat/>
    <w:rsid w:val="00C43574"/>
    <w:pPr>
      <w:pageBreakBefore/>
      <w:numPr>
        <w:numId w:val="3"/>
      </w:numPr>
      <w:snapToGrid w:val="0"/>
      <w:spacing w:before="0" w:after="720" w:line="720" w:lineRule="exact"/>
      <w:outlineLvl w:val="0"/>
    </w:pPr>
    <w:rPr>
      <w:rFonts w:asciiTheme="majorHAnsi" w:hAnsiTheme="majorHAnsi"/>
      <w:b/>
      <w:bCs/>
      <w:spacing w:val="-14"/>
      <w:sz w:val="60"/>
      <w:szCs w:val="60"/>
    </w:rPr>
  </w:style>
  <w:style w:type="paragraph" w:styleId="Heading2">
    <w:name w:val="heading 2"/>
    <w:basedOn w:val="Normal"/>
    <w:next w:val="Normal"/>
    <w:link w:val="Heading2Char"/>
    <w:qFormat/>
    <w:rsid w:val="00057740"/>
    <w:pPr>
      <w:keepNext/>
      <w:numPr>
        <w:ilvl w:val="1"/>
        <w:numId w:val="3"/>
      </w:numPr>
      <w:spacing w:before="360" w:after="240" w:line="320" w:lineRule="exact"/>
      <w:outlineLvl w:val="1"/>
    </w:pPr>
    <w:rPr>
      <w:rFonts w:asciiTheme="majorHAnsi" w:eastAsiaTheme="majorEastAsia" w:hAnsiTheme="majorHAnsi" w:cstheme="majorBidi"/>
      <w:b/>
      <w:bCs/>
      <w:color w:val="1369EA" w:themeColor="accent1"/>
      <w:sz w:val="28"/>
      <w:szCs w:val="28"/>
      <w:lang w:val="en-GB"/>
    </w:rPr>
  </w:style>
  <w:style w:type="paragraph" w:styleId="Heading3">
    <w:name w:val="heading 3"/>
    <w:basedOn w:val="Heading4"/>
    <w:next w:val="Normal"/>
    <w:link w:val="Heading3Char"/>
    <w:qFormat/>
    <w:rsid w:val="00462D87"/>
    <w:pPr>
      <w:numPr>
        <w:ilvl w:val="2"/>
        <w:numId w:val="3"/>
      </w:numPr>
      <w:spacing w:before="360" w:after="180"/>
      <w:outlineLvl w:val="2"/>
    </w:pPr>
    <w:rPr>
      <w:sz w:val="24"/>
    </w:rPr>
  </w:style>
  <w:style w:type="paragraph" w:styleId="Heading4">
    <w:name w:val="heading 4"/>
    <w:basedOn w:val="Normal"/>
    <w:next w:val="Normal"/>
    <w:link w:val="Heading4Char"/>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Heading5">
    <w:name w:val="heading 5"/>
    <w:basedOn w:val="Normal"/>
    <w:next w:val="Normal"/>
    <w:link w:val="Heading5Char"/>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MDRF1">
    <w:name w:val="IMDRF1"/>
    <w:basedOn w:val="TableNormal"/>
    <w:uiPriority w:val="99"/>
    <w:rsid w:val="00A83A76"/>
    <w:rPr>
      <w:sz w:val="20"/>
    </w:rPr>
    <w:tblPr>
      <w:tblStyleRowBandSize w:val="1"/>
      <w:tblBorders>
        <w:bottom w:val="single" w:sz="4" w:space="0" w:color="1369EA" w:themeColor="accent1"/>
      </w:tblBorders>
    </w:tblPr>
    <w:tblStylePr w:type="firstRow">
      <w:rPr>
        <w:b/>
        <w:color w:val="FFFFFF" w:themeColor="background1"/>
      </w:rPr>
      <w:tblPr/>
      <w:tcPr>
        <w:shd w:val="clear" w:color="auto" w:fill="1369EA" w:themeFill="accent1"/>
      </w:tcPr>
    </w:tblStylePr>
    <w:tblStylePr w:type="band2Horz">
      <w:tblPr/>
      <w:tcPr>
        <w:shd w:val="clear" w:color="auto" w:fill="D7EAFA" w:themeFill="text2" w:themeFillTint="1A"/>
      </w:tcPr>
    </w:tblStylePr>
  </w:style>
  <w:style w:type="paragraph" w:styleId="HTMLAddress">
    <w:name w:val="HTML Address"/>
    <w:basedOn w:val="Normal"/>
    <w:link w:val="HTMLAddressChar"/>
    <w:uiPriority w:val="99"/>
    <w:semiHidden/>
    <w:rsid w:val="00AF49B3"/>
    <w:pPr>
      <w:spacing w:before="0" w:after="0" w:line="240" w:lineRule="auto"/>
    </w:pPr>
    <w:rPr>
      <w:i/>
      <w:iCs/>
    </w:rPr>
  </w:style>
  <w:style w:type="paragraph" w:styleId="Footer">
    <w:name w:val="footer"/>
    <w:basedOn w:val="Normal"/>
    <w:link w:val="FooterChar"/>
    <w:uiPriority w:val="99"/>
    <w:unhideWhenUsed/>
    <w:rsid w:val="003C3B0D"/>
    <w:pPr>
      <w:tabs>
        <w:tab w:val="right" w:pos="10206"/>
      </w:tabs>
      <w:spacing w:before="0" w:after="0" w:line="240" w:lineRule="auto"/>
      <w:ind w:right="-2552"/>
    </w:pPr>
    <w:rPr>
      <w:b/>
      <w:sz w:val="18"/>
    </w:rPr>
  </w:style>
  <w:style w:type="character" w:customStyle="1" w:styleId="FooterChar">
    <w:name w:val="Footer Char"/>
    <w:basedOn w:val="DefaultParagraphFont"/>
    <w:link w:val="Footer"/>
    <w:uiPriority w:val="99"/>
    <w:rsid w:val="006235C0"/>
    <w:rPr>
      <w:rFonts w:cs="Times New Roman (Body CS)"/>
      <w:b/>
      <w:sz w:val="18"/>
    </w:rPr>
  </w:style>
  <w:style w:type="character" w:customStyle="1" w:styleId="Heading1Char">
    <w:name w:val="Heading 1 Char"/>
    <w:basedOn w:val="DefaultParagraphFont"/>
    <w:link w:val="Heading1"/>
    <w:rsid w:val="00840615"/>
    <w:rPr>
      <w:rFonts w:asciiTheme="majorHAnsi" w:hAnsiTheme="majorHAnsi" w:cs="Times New Roman (Body CS)"/>
      <w:b/>
      <w:bCs/>
      <w:spacing w:val="-14"/>
      <w:sz w:val="60"/>
      <w:szCs w:val="60"/>
    </w:rPr>
  </w:style>
  <w:style w:type="character" w:styleId="PageNumber">
    <w:name w:val="page number"/>
    <w:basedOn w:val="DefaultParagraphFont"/>
    <w:uiPriority w:val="99"/>
    <w:semiHidden/>
    <w:unhideWhenUsed/>
    <w:rsid w:val="0097252E"/>
  </w:style>
  <w:style w:type="table" w:styleId="TableGrid">
    <w:name w:val="Table Grid"/>
    <w:basedOn w:val="TableNormal"/>
    <w:uiPriority w:val="39"/>
    <w:rsid w:val="00EA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Document Type"/>
    <w:basedOn w:val="Normal"/>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Heading4Char">
    <w:name w:val="Heading 4 Char"/>
    <w:basedOn w:val="DefaultParagraphFont"/>
    <w:link w:val="Heading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Heading2Char">
    <w:name w:val="Heading 2 Char"/>
    <w:basedOn w:val="DefaultParagraphFont"/>
    <w:link w:val="Heading2"/>
    <w:rsid w:val="00840615"/>
    <w:rPr>
      <w:rFonts w:asciiTheme="majorHAnsi" w:eastAsiaTheme="majorEastAsia" w:hAnsiTheme="majorHAnsi" w:cstheme="majorBidi"/>
      <w:b/>
      <w:bCs/>
      <w:color w:val="1369EA" w:themeColor="accent1"/>
      <w:sz w:val="28"/>
      <w:szCs w:val="28"/>
      <w:lang w:val="en-GB"/>
    </w:rPr>
  </w:style>
  <w:style w:type="character" w:customStyle="1" w:styleId="Heading3Char">
    <w:name w:val="Heading 3 Char"/>
    <w:basedOn w:val="DefaultParagraphFont"/>
    <w:link w:val="Heading3"/>
    <w:rsid w:val="00462D87"/>
    <w:rPr>
      <w:rFonts w:asciiTheme="majorHAnsi" w:eastAsiaTheme="majorEastAsia" w:hAnsiTheme="majorHAnsi" w:cstheme="minorHAnsi"/>
      <w:b/>
      <w:color w:val="1369EA" w:themeColor="accent1"/>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Normal"/>
    <w:uiPriority w:val="24"/>
    <w:qFormat/>
    <w:rsid w:val="0017418F"/>
    <w:rPr>
      <w:sz w:val="28"/>
      <w:szCs w:val="40"/>
    </w:rPr>
  </w:style>
  <w:style w:type="paragraph" w:customStyle="1" w:styleId="Visitourwebsite">
    <w:name w:val="Visit our website"/>
    <w:basedOn w:val="Normal"/>
    <w:uiPriority w:val="15"/>
    <w:qFormat/>
    <w:rsid w:val="00821A06"/>
    <w:pPr>
      <w:spacing w:before="0" w:after="720" w:line="240" w:lineRule="auto"/>
    </w:pPr>
    <w:rPr>
      <w:b/>
      <w:bCs/>
      <w:spacing w:val="-14"/>
      <w:sz w:val="44"/>
      <w:szCs w:val="44"/>
    </w:rPr>
  </w:style>
  <w:style w:type="paragraph" w:customStyle="1" w:styleId="Introduction">
    <w:name w:val="Introduction"/>
    <w:basedOn w:val="Normal"/>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ListNumber2">
    <w:name w:val="List Number 2"/>
    <w:basedOn w:val="Normal"/>
    <w:uiPriority w:val="99"/>
    <w:semiHidden/>
    <w:rsid w:val="00445474"/>
    <w:pPr>
      <w:numPr>
        <w:numId w:val="1"/>
      </w:numPr>
      <w:contextualSpacing/>
    </w:pPr>
  </w:style>
  <w:style w:type="paragraph" w:customStyle="1" w:styleId="NormalNumbered">
    <w:name w:val="Normal Numbered"/>
    <w:basedOn w:val="Normal"/>
    <w:uiPriority w:val="2"/>
    <w:qFormat/>
    <w:rsid w:val="00C43574"/>
  </w:style>
  <w:style w:type="paragraph" w:styleId="Caption">
    <w:name w:val="caption"/>
    <w:basedOn w:val="Normal"/>
    <w:next w:val="Normal"/>
    <w:uiPriority w:val="10"/>
    <w:qFormat/>
    <w:rsid w:val="00601191"/>
    <w:pPr>
      <w:spacing w:before="240" w:after="360"/>
    </w:pPr>
    <w:rPr>
      <w:b/>
      <w:bCs/>
      <w:i/>
      <w:iCs/>
      <w:sz w:val="16"/>
      <w:szCs w:val="21"/>
    </w:rPr>
  </w:style>
  <w:style w:type="paragraph" w:styleId="Header">
    <w:name w:val="header"/>
    <w:basedOn w:val="Normal"/>
    <w:link w:val="HeaderChar"/>
    <w:uiPriority w:val="99"/>
    <w:unhideWhenUsed/>
    <w:rsid w:val="003C3B0D"/>
    <w:pPr>
      <w:tabs>
        <w:tab w:val="right" w:pos="8505"/>
      </w:tabs>
      <w:spacing w:line="240" w:lineRule="auto"/>
    </w:pPr>
    <w:rPr>
      <w:color w:val="7B7B7B" w:themeColor="background2" w:themeShade="80"/>
    </w:rPr>
  </w:style>
  <w:style w:type="character" w:customStyle="1" w:styleId="HeaderChar">
    <w:name w:val="Header Char"/>
    <w:basedOn w:val="DefaultParagraphFont"/>
    <w:link w:val="Header"/>
    <w:uiPriority w:val="99"/>
    <w:rsid w:val="006235C0"/>
    <w:rPr>
      <w:rFonts w:cs="Times New Roman (Body CS)"/>
      <w:color w:val="7B7B7B" w:themeColor="background2" w:themeShade="80"/>
      <w:sz w:val="20"/>
    </w:rPr>
  </w:style>
  <w:style w:type="paragraph" w:customStyle="1" w:styleId="URL">
    <w:name w:val="URL"/>
    <w:basedOn w:val="Normal"/>
    <w:uiPriority w:val="16"/>
    <w:qFormat/>
    <w:rsid w:val="00821A06"/>
    <w:rPr>
      <w:sz w:val="26"/>
      <w:szCs w:val="26"/>
    </w:rPr>
  </w:style>
  <w:style w:type="paragraph" w:customStyle="1" w:styleId="Disclaimer">
    <w:name w:val="Disclaimer"/>
    <w:basedOn w:val="Normal"/>
    <w:uiPriority w:val="18"/>
    <w:qFormat/>
    <w:rsid w:val="00821A06"/>
    <w:pPr>
      <w:spacing w:before="0" w:after="80" w:line="200" w:lineRule="exact"/>
    </w:pPr>
    <w:rPr>
      <w:sz w:val="16"/>
      <w:szCs w:val="20"/>
    </w:rPr>
  </w:style>
  <w:style w:type="character" w:customStyle="1" w:styleId="HTMLAddressChar">
    <w:name w:val="HTML Address Char"/>
    <w:basedOn w:val="DefaultParagraphFont"/>
    <w:link w:val="HTMLAddress"/>
    <w:uiPriority w:val="99"/>
    <w:semiHidden/>
    <w:rsid w:val="00914CC5"/>
    <w:rPr>
      <w:rFonts w:cs="Times New Roman (Body CS)"/>
      <w:i/>
      <w:iCs/>
      <w:sz w:val="20"/>
    </w:rPr>
  </w:style>
  <w:style w:type="numbering" w:customStyle="1" w:styleId="IMDRFBullets">
    <w:name w:val="IMDRF Bullets"/>
    <w:uiPriority w:val="99"/>
    <w:rsid w:val="005B24EE"/>
    <w:pPr>
      <w:numPr>
        <w:numId w:val="2"/>
      </w:numPr>
    </w:pPr>
  </w:style>
  <w:style w:type="numbering" w:customStyle="1" w:styleId="IMDRFN1">
    <w:name w:val="IMDRF N1"/>
    <w:uiPriority w:val="99"/>
    <w:rsid w:val="00462D87"/>
    <w:pPr>
      <w:numPr>
        <w:numId w:val="5"/>
      </w:numPr>
    </w:pPr>
  </w:style>
  <w:style w:type="character" w:customStyle="1" w:styleId="Heading5Char">
    <w:name w:val="Heading 5 Char"/>
    <w:basedOn w:val="DefaultParagraphFont"/>
    <w:link w:val="Heading5"/>
    <w:uiPriority w:val="39"/>
    <w:semiHidden/>
    <w:rsid w:val="00914CC5"/>
    <w:rPr>
      <w:rFonts w:asciiTheme="majorHAnsi" w:eastAsiaTheme="majorEastAsia" w:hAnsiTheme="majorHAnsi" w:cstheme="majorBidi"/>
      <w:color w:val="0E4EAF" w:themeColor="accent1" w:themeShade="BF"/>
      <w:sz w:val="20"/>
    </w:rPr>
  </w:style>
  <w:style w:type="character" w:styleId="HTMLAcronym">
    <w:name w:val="HTML Acronym"/>
    <w:basedOn w:val="DefaultParagraphFont"/>
    <w:uiPriority w:val="99"/>
    <w:semiHidden/>
    <w:rsid w:val="005B24EE"/>
  </w:style>
  <w:style w:type="paragraph" w:styleId="TOC1">
    <w:name w:val="toc 1"/>
    <w:basedOn w:val="Normal"/>
    <w:next w:val="Normal"/>
    <w:autoRedefine/>
    <w:uiPriority w:val="39"/>
    <w:unhideWhenUsed/>
    <w:rsid w:val="00BF5669"/>
    <w:pPr>
      <w:pBdr>
        <w:top w:val="single" w:sz="4" w:space="6" w:color="1369EA" w:themeColor="accent1"/>
      </w:pBdr>
      <w:tabs>
        <w:tab w:val="left" w:pos="340"/>
        <w:tab w:val="right" w:pos="7655"/>
      </w:tabs>
      <w:spacing w:line="240" w:lineRule="auto"/>
    </w:pPr>
    <w:rPr>
      <w:rFonts w:cstheme="minorHAnsi"/>
      <w:b/>
      <w:bCs/>
      <w:sz w:val="24"/>
      <w:szCs w:val="20"/>
    </w:rPr>
  </w:style>
  <w:style w:type="paragraph" w:styleId="TOC2">
    <w:name w:val="toc 2"/>
    <w:basedOn w:val="Normal"/>
    <w:next w:val="Normal"/>
    <w:autoRedefine/>
    <w:uiPriority w:val="39"/>
    <w:unhideWhenUsed/>
    <w:rsid w:val="00BF5669"/>
    <w:pPr>
      <w:tabs>
        <w:tab w:val="left" w:pos="680"/>
        <w:tab w:val="left" w:pos="992"/>
        <w:tab w:val="right" w:pos="7637"/>
      </w:tabs>
      <w:spacing w:before="0" w:line="240" w:lineRule="auto"/>
    </w:pPr>
    <w:rPr>
      <w:rFonts w:cstheme="minorHAnsi"/>
      <w:b/>
      <w:bCs/>
      <w:iCs/>
      <w:sz w:val="24"/>
      <w:szCs w:val="20"/>
    </w:rPr>
  </w:style>
  <w:style w:type="paragraph" w:styleId="TOC3">
    <w:name w:val="toc 3"/>
    <w:basedOn w:val="Normal"/>
    <w:next w:val="Normal"/>
    <w:autoRedefine/>
    <w:uiPriority w:val="39"/>
    <w:semiHidden/>
    <w:rsid w:val="00195045"/>
    <w:pPr>
      <w:spacing w:before="0" w:after="0"/>
      <w:ind w:left="400"/>
    </w:pPr>
    <w:rPr>
      <w:rFonts w:cstheme="minorHAnsi"/>
      <w:szCs w:val="20"/>
    </w:rPr>
  </w:style>
  <w:style w:type="paragraph" w:styleId="TOC4">
    <w:name w:val="toc 4"/>
    <w:basedOn w:val="Normal"/>
    <w:next w:val="Normal"/>
    <w:autoRedefine/>
    <w:uiPriority w:val="39"/>
    <w:semiHidden/>
    <w:rsid w:val="00195045"/>
    <w:pPr>
      <w:spacing w:before="0" w:after="0"/>
      <w:ind w:left="600"/>
    </w:pPr>
    <w:rPr>
      <w:rFonts w:cstheme="minorHAnsi"/>
      <w:szCs w:val="20"/>
    </w:rPr>
  </w:style>
  <w:style w:type="paragraph" w:styleId="TOC5">
    <w:name w:val="toc 5"/>
    <w:basedOn w:val="Normal"/>
    <w:next w:val="Normal"/>
    <w:autoRedefine/>
    <w:uiPriority w:val="39"/>
    <w:semiHidden/>
    <w:rsid w:val="00195045"/>
    <w:pPr>
      <w:spacing w:before="0" w:after="0"/>
      <w:ind w:left="800"/>
    </w:pPr>
    <w:rPr>
      <w:rFonts w:cstheme="minorHAnsi"/>
      <w:szCs w:val="20"/>
    </w:rPr>
  </w:style>
  <w:style w:type="paragraph" w:styleId="TOC6">
    <w:name w:val="toc 6"/>
    <w:basedOn w:val="Normal"/>
    <w:next w:val="Normal"/>
    <w:autoRedefine/>
    <w:uiPriority w:val="39"/>
    <w:semiHidden/>
    <w:rsid w:val="00195045"/>
    <w:pPr>
      <w:spacing w:before="0" w:after="0"/>
      <w:ind w:left="1000"/>
    </w:pPr>
    <w:rPr>
      <w:rFonts w:cstheme="minorHAnsi"/>
      <w:szCs w:val="20"/>
    </w:rPr>
  </w:style>
  <w:style w:type="paragraph" w:styleId="TOC7">
    <w:name w:val="toc 7"/>
    <w:basedOn w:val="Normal"/>
    <w:next w:val="Normal"/>
    <w:autoRedefine/>
    <w:uiPriority w:val="39"/>
    <w:semiHidden/>
    <w:rsid w:val="00195045"/>
    <w:pPr>
      <w:spacing w:before="0" w:after="0"/>
      <w:ind w:left="1200"/>
    </w:pPr>
    <w:rPr>
      <w:rFonts w:cstheme="minorHAnsi"/>
      <w:szCs w:val="20"/>
    </w:rPr>
  </w:style>
  <w:style w:type="paragraph" w:styleId="TOC8">
    <w:name w:val="toc 8"/>
    <w:basedOn w:val="Normal"/>
    <w:next w:val="Normal"/>
    <w:autoRedefine/>
    <w:uiPriority w:val="39"/>
    <w:semiHidden/>
    <w:rsid w:val="00195045"/>
    <w:pPr>
      <w:spacing w:before="0" w:after="0"/>
      <w:ind w:left="1400"/>
    </w:pPr>
    <w:rPr>
      <w:rFonts w:cstheme="minorHAnsi"/>
      <w:szCs w:val="20"/>
    </w:rPr>
  </w:style>
  <w:style w:type="paragraph" w:styleId="TOC9">
    <w:name w:val="toc 9"/>
    <w:basedOn w:val="Normal"/>
    <w:next w:val="Normal"/>
    <w:autoRedefine/>
    <w:uiPriority w:val="39"/>
    <w:semiHidden/>
    <w:rsid w:val="00195045"/>
    <w:pPr>
      <w:spacing w:before="0" w:after="0"/>
      <w:ind w:left="1600"/>
    </w:pPr>
    <w:rPr>
      <w:rFonts w:cstheme="minorHAnsi"/>
      <w:szCs w:val="20"/>
    </w:rPr>
  </w:style>
  <w:style w:type="character" w:styleId="Hyperlink">
    <w:name w:val="Hyperlink"/>
    <w:basedOn w:val="DefaultParagraphFont"/>
    <w:uiPriority w:val="99"/>
    <w:rsid w:val="00195045"/>
    <w:rPr>
      <w:color w:val="0563C1" w:themeColor="hyperlink"/>
      <w:u w:val="single"/>
    </w:rPr>
  </w:style>
  <w:style w:type="paragraph" w:customStyle="1" w:styleId="Heading1NoTOC">
    <w:name w:val="Heading 1 No TOC"/>
    <w:basedOn w:val="Heading1"/>
    <w:uiPriority w:val="12"/>
    <w:qFormat/>
    <w:rsid w:val="00321930"/>
    <w:pPr>
      <w:numPr>
        <w:numId w:val="0"/>
      </w:numPr>
    </w:pPr>
  </w:style>
  <w:style w:type="paragraph" w:styleId="ListParagraph">
    <w:name w:val="List Paragraph"/>
    <w:basedOn w:val="Normal"/>
    <w:uiPriority w:val="34"/>
    <w:qFormat/>
    <w:rsid w:val="008E5652"/>
  </w:style>
  <w:style w:type="numbering" w:customStyle="1" w:styleId="IMDRFN2">
    <w:name w:val="IMDRF N2"/>
    <w:uiPriority w:val="99"/>
    <w:rsid w:val="001A077C"/>
    <w:pPr>
      <w:numPr>
        <w:numId w:val="4"/>
      </w:numPr>
    </w:pPr>
  </w:style>
  <w:style w:type="paragraph" w:styleId="Title">
    <w:name w:val="Title"/>
    <w:basedOn w:val="Normal"/>
    <w:next w:val="Normal"/>
    <w:link w:val="TitleChar"/>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customStyle="1" w:styleId="UnresolvedMention1">
    <w:name w:val="Unresolved Mention1"/>
    <w:basedOn w:val="DefaultParagraphFont"/>
    <w:uiPriority w:val="99"/>
    <w:semiHidden/>
    <w:unhideWhenUsed/>
    <w:rsid w:val="00287BF2"/>
    <w:rPr>
      <w:color w:val="605E5C"/>
      <w:shd w:val="clear" w:color="auto" w:fill="E1DFDD"/>
    </w:rPr>
  </w:style>
  <w:style w:type="character" w:styleId="FollowedHyperlink">
    <w:name w:val="FollowedHyperlink"/>
    <w:basedOn w:val="DefaultParagraphFont"/>
    <w:uiPriority w:val="99"/>
    <w:semiHidden/>
    <w:unhideWhenUsed/>
    <w:rsid w:val="00287BF2"/>
    <w:rPr>
      <w:color w:val="954F72" w:themeColor="followedHyperlink"/>
      <w:u w:val="single"/>
    </w:rPr>
  </w:style>
  <w:style w:type="table" w:customStyle="1" w:styleId="IMDRF2">
    <w:name w:val="IMDRF 2"/>
    <w:basedOn w:val="IMDRF1"/>
    <w:uiPriority w:val="99"/>
    <w:rsid w:val="00772A06"/>
    <w:tblPr>
      <w:tblBorders>
        <w:bottom w:val="none" w:sz="0" w:space="0" w:color="auto"/>
        <w:insideH w:val="single" w:sz="4" w:space="0" w:color="1369EA" w:themeColor="accent1"/>
      </w:tblBorders>
    </w:tblPr>
    <w:tblStylePr w:type="firstRow">
      <w:rPr>
        <w:b/>
        <w:color w:val="FFFFFF" w:themeColor="background1"/>
      </w:rPr>
      <w:tblPr/>
      <w:tcPr>
        <w:shd w:val="clear" w:color="auto" w:fill="1369EA" w:themeFill="accent1"/>
      </w:tcPr>
    </w:tblStylePr>
    <w:tblStylePr w:type="firstCol">
      <w:rPr>
        <w:b/>
        <w:color w:val="1369EA" w:themeColor="accent1"/>
      </w:rPr>
    </w:tblStylePr>
    <w:tblStylePr w:type="band2Horz">
      <w:tblPr/>
      <w:tcPr>
        <w:shd w:val="clear" w:color="auto" w:fill="D7EAFA" w:themeFill="text2" w:themeFillTint="1A"/>
      </w:tcPr>
    </w:tblStylePr>
  </w:style>
  <w:style w:type="paragraph" w:styleId="Revision">
    <w:name w:val="Revision"/>
    <w:hidden/>
    <w:uiPriority w:val="99"/>
    <w:semiHidden/>
    <w:rsid w:val="007E519D"/>
    <w:rPr>
      <w:rFonts w:cs="Times New Roman (Body CS)"/>
      <w:sz w:val="20"/>
    </w:rPr>
  </w:style>
  <w:style w:type="character" w:styleId="CommentReference">
    <w:name w:val="annotation reference"/>
    <w:basedOn w:val="DefaultParagraphFont"/>
    <w:uiPriority w:val="99"/>
    <w:semiHidden/>
    <w:unhideWhenUsed/>
    <w:rsid w:val="00FA2DF5"/>
    <w:rPr>
      <w:sz w:val="16"/>
      <w:szCs w:val="16"/>
    </w:rPr>
  </w:style>
  <w:style w:type="paragraph" w:styleId="CommentText">
    <w:name w:val="annotation text"/>
    <w:basedOn w:val="Normal"/>
    <w:link w:val="CommentTextChar"/>
    <w:uiPriority w:val="99"/>
    <w:unhideWhenUsed/>
    <w:rsid w:val="00FA2DF5"/>
    <w:pPr>
      <w:spacing w:line="240" w:lineRule="auto"/>
    </w:pPr>
    <w:rPr>
      <w:szCs w:val="20"/>
    </w:rPr>
  </w:style>
  <w:style w:type="character" w:customStyle="1" w:styleId="CommentTextChar">
    <w:name w:val="Comment Text Char"/>
    <w:basedOn w:val="DefaultParagraphFont"/>
    <w:link w:val="CommentText"/>
    <w:uiPriority w:val="99"/>
    <w:rsid w:val="00FA2DF5"/>
    <w:rPr>
      <w:rFonts w:cs="Times New Roman (Body CS)"/>
      <w:sz w:val="20"/>
      <w:szCs w:val="20"/>
    </w:rPr>
  </w:style>
  <w:style w:type="paragraph" w:styleId="CommentSubject">
    <w:name w:val="annotation subject"/>
    <w:basedOn w:val="CommentText"/>
    <w:next w:val="CommentText"/>
    <w:link w:val="CommentSubjectChar"/>
    <w:uiPriority w:val="99"/>
    <w:semiHidden/>
    <w:unhideWhenUsed/>
    <w:rsid w:val="00FA2DF5"/>
    <w:rPr>
      <w:b/>
      <w:bCs/>
    </w:rPr>
  </w:style>
  <w:style w:type="character" w:customStyle="1" w:styleId="CommentSubjectChar">
    <w:name w:val="Comment Subject Char"/>
    <w:basedOn w:val="CommentTextChar"/>
    <w:link w:val="CommentSubject"/>
    <w:uiPriority w:val="99"/>
    <w:semiHidden/>
    <w:rsid w:val="00FA2DF5"/>
    <w:rPr>
      <w:rFonts w:cs="Times New Roman (Body CS)"/>
      <w:b/>
      <w:bCs/>
      <w:sz w:val="20"/>
      <w:szCs w:val="20"/>
    </w:rPr>
  </w:style>
  <w:style w:type="paragraph" w:styleId="FootnoteText">
    <w:name w:val="footnote text"/>
    <w:basedOn w:val="Normal"/>
    <w:link w:val="FootnoteTextChar"/>
    <w:uiPriority w:val="99"/>
    <w:semiHidden/>
    <w:unhideWhenUsed/>
    <w:rsid w:val="00241E4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41E45"/>
    <w:rPr>
      <w:rFonts w:cs="Times New Roman (Body CS)"/>
      <w:sz w:val="20"/>
      <w:szCs w:val="20"/>
    </w:rPr>
  </w:style>
  <w:style w:type="character" w:styleId="FootnoteReference">
    <w:name w:val="footnote reference"/>
    <w:basedOn w:val="DefaultParagraphFont"/>
    <w:uiPriority w:val="99"/>
    <w:semiHidden/>
    <w:unhideWhenUsed/>
    <w:rsid w:val="00241E45"/>
    <w:rPr>
      <w:vertAlign w:val="superscript"/>
    </w:rPr>
  </w:style>
  <w:style w:type="character" w:customStyle="1" w:styleId="cf01">
    <w:name w:val="cf01"/>
    <w:basedOn w:val="DefaultParagraphFont"/>
    <w:rsid w:val="009D3814"/>
    <w:rPr>
      <w:rFonts w:ascii="Segoe UI" w:hAnsi="Segoe UI" w:cs="Segoe UI" w:hint="default"/>
      <w:b/>
      <w:bCs/>
      <w:sz w:val="18"/>
      <w:szCs w:val="18"/>
    </w:rPr>
  </w:style>
  <w:style w:type="character" w:customStyle="1" w:styleId="cf11">
    <w:name w:val="cf11"/>
    <w:basedOn w:val="DefaultParagraphFont"/>
    <w:rsid w:val="009D3814"/>
    <w:rPr>
      <w:rFonts w:ascii="Segoe UI" w:hAnsi="Segoe UI" w:cs="Segoe UI" w:hint="default"/>
      <w:sz w:val="18"/>
      <w:szCs w:val="18"/>
    </w:rPr>
  </w:style>
  <w:style w:type="character" w:customStyle="1" w:styleId="cf21">
    <w:name w:val="cf21"/>
    <w:basedOn w:val="DefaultParagraphFont"/>
    <w:rsid w:val="00D721F6"/>
    <w:rPr>
      <w:rFonts w:ascii="Segoe UI" w:hAnsi="Segoe UI" w:cs="Segoe UI" w:hint="default"/>
      <w:strike/>
      <w:sz w:val="18"/>
      <w:szCs w:val="18"/>
    </w:rPr>
  </w:style>
  <w:style w:type="paragraph" w:customStyle="1" w:styleId="pf0">
    <w:name w:val="pf0"/>
    <w:basedOn w:val="Normal"/>
    <w:rsid w:val="00B00357"/>
    <w:pPr>
      <w:keepLines w:val="0"/>
      <w:spacing w:before="100" w:beforeAutospacing="1" w:after="100" w:afterAutospacing="1" w:line="240" w:lineRule="auto"/>
    </w:pPr>
    <w:rPr>
      <w:rFonts w:ascii="Times New Roman" w:eastAsia="Times New Roman" w:hAnsi="Times New Roman" w:cs="Times New Roman"/>
      <w:sz w:val="24"/>
      <w:lang w:val="en-US" w:eastAsia="ja-JP"/>
    </w:rPr>
  </w:style>
  <w:style w:type="paragraph" w:customStyle="1" w:styleId="pf1">
    <w:name w:val="pf1"/>
    <w:basedOn w:val="Normal"/>
    <w:rsid w:val="00C031D9"/>
    <w:pPr>
      <w:keepLines w:val="0"/>
      <w:spacing w:before="100" w:beforeAutospacing="1" w:after="100" w:afterAutospacing="1" w:line="240" w:lineRule="auto"/>
      <w:ind w:left="600"/>
    </w:pPr>
    <w:rPr>
      <w:rFonts w:ascii="Times New Roman" w:eastAsia="Times New Roman" w:hAnsi="Times New Roman" w:cs="Times New Roman"/>
      <w:sz w:val="24"/>
      <w:lang w:val="en-US" w:eastAsia="ja-JP"/>
    </w:rPr>
  </w:style>
  <w:style w:type="paragraph" w:styleId="NormalWeb">
    <w:name w:val="Normal (Web)"/>
    <w:basedOn w:val="Normal"/>
    <w:uiPriority w:val="99"/>
    <w:semiHidden/>
    <w:unhideWhenUsed/>
    <w:rsid w:val="00C031D9"/>
    <w:pPr>
      <w:keepLines w:val="0"/>
      <w:spacing w:before="100" w:beforeAutospacing="1" w:after="100" w:afterAutospacing="1" w:line="240" w:lineRule="auto"/>
    </w:pPr>
    <w:rPr>
      <w:rFonts w:ascii="Times New Roman" w:eastAsia="Times New Roman" w:hAnsi="Times New Roman" w:cs="Times New Roman"/>
      <w:sz w:val="24"/>
      <w:lang w:val="en-US" w:eastAsia="ja-JP"/>
    </w:rPr>
  </w:style>
  <w:style w:type="paragraph" w:styleId="BalloonText">
    <w:name w:val="Balloon Text"/>
    <w:basedOn w:val="Normal"/>
    <w:link w:val="BalloonTextChar"/>
    <w:uiPriority w:val="99"/>
    <w:semiHidden/>
    <w:unhideWhenUsed/>
    <w:rsid w:val="00675F5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5F"/>
    <w:rPr>
      <w:rFonts w:ascii="Segoe UI" w:hAnsi="Segoe UI" w:cs="Segoe UI"/>
      <w:sz w:val="18"/>
      <w:szCs w:val="18"/>
    </w:rPr>
  </w:style>
  <w:style w:type="character" w:styleId="UnresolvedMention">
    <w:name w:val="Unresolved Mention"/>
    <w:basedOn w:val="DefaultParagraphFont"/>
    <w:uiPriority w:val="99"/>
    <w:semiHidden/>
    <w:unhideWhenUsed/>
    <w:rsid w:val="00423BFF"/>
    <w:rPr>
      <w:color w:val="605E5C"/>
      <w:shd w:val="clear" w:color="auto" w:fill="E1DFDD"/>
    </w:rPr>
  </w:style>
  <w:style w:type="character" w:styleId="LineNumber">
    <w:name w:val="line number"/>
    <w:basedOn w:val="DefaultParagraphFont"/>
    <w:uiPriority w:val="99"/>
    <w:semiHidden/>
    <w:unhideWhenUsed/>
    <w:rsid w:val="00315010"/>
  </w:style>
  <w:style w:type="character" w:styleId="IntenseReference">
    <w:name w:val="Intense Reference"/>
    <w:basedOn w:val="DefaultParagraphFont"/>
    <w:uiPriority w:val="32"/>
    <w:qFormat/>
    <w:rsid w:val="005C31C3"/>
    <w:rPr>
      <w:b/>
      <w:bCs/>
      <w:smallCaps/>
      <w:color w:val="0E4EA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157036074">
      <w:bodyDiv w:val="1"/>
      <w:marLeft w:val="0"/>
      <w:marRight w:val="0"/>
      <w:marTop w:val="0"/>
      <w:marBottom w:val="0"/>
      <w:divBdr>
        <w:top w:val="none" w:sz="0" w:space="0" w:color="auto"/>
        <w:left w:val="none" w:sz="0" w:space="0" w:color="auto"/>
        <w:bottom w:val="none" w:sz="0" w:space="0" w:color="auto"/>
        <w:right w:val="none" w:sz="0" w:space="0" w:color="auto"/>
      </w:divBdr>
    </w:div>
    <w:div w:id="215170736">
      <w:bodyDiv w:val="1"/>
      <w:marLeft w:val="0"/>
      <w:marRight w:val="0"/>
      <w:marTop w:val="0"/>
      <w:marBottom w:val="0"/>
      <w:divBdr>
        <w:top w:val="none" w:sz="0" w:space="0" w:color="auto"/>
        <w:left w:val="none" w:sz="0" w:space="0" w:color="auto"/>
        <w:bottom w:val="none" w:sz="0" w:space="0" w:color="auto"/>
        <w:right w:val="none" w:sz="0" w:space="0" w:color="auto"/>
      </w:divBdr>
    </w:div>
    <w:div w:id="261038223">
      <w:bodyDiv w:val="1"/>
      <w:marLeft w:val="0"/>
      <w:marRight w:val="0"/>
      <w:marTop w:val="0"/>
      <w:marBottom w:val="0"/>
      <w:divBdr>
        <w:top w:val="none" w:sz="0" w:space="0" w:color="auto"/>
        <w:left w:val="none" w:sz="0" w:space="0" w:color="auto"/>
        <w:bottom w:val="none" w:sz="0" w:space="0" w:color="auto"/>
        <w:right w:val="none" w:sz="0" w:space="0" w:color="auto"/>
      </w:divBdr>
    </w:div>
    <w:div w:id="369113945">
      <w:bodyDiv w:val="1"/>
      <w:marLeft w:val="0"/>
      <w:marRight w:val="0"/>
      <w:marTop w:val="0"/>
      <w:marBottom w:val="0"/>
      <w:divBdr>
        <w:top w:val="none" w:sz="0" w:space="0" w:color="auto"/>
        <w:left w:val="none" w:sz="0" w:space="0" w:color="auto"/>
        <w:bottom w:val="none" w:sz="0" w:space="0" w:color="auto"/>
        <w:right w:val="none" w:sz="0" w:space="0" w:color="auto"/>
      </w:divBdr>
    </w:div>
    <w:div w:id="424153633">
      <w:bodyDiv w:val="1"/>
      <w:marLeft w:val="0"/>
      <w:marRight w:val="0"/>
      <w:marTop w:val="0"/>
      <w:marBottom w:val="0"/>
      <w:divBdr>
        <w:top w:val="none" w:sz="0" w:space="0" w:color="auto"/>
        <w:left w:val="none" w:sz="0" w:space="0" w:color="auto"/>
        <w:bottom w:val="none" w:sz="0" w:space="0" w:color="auto"/>
        <w:right w:val="none" w:sz="0" w:space="0" w:color="auto"/>
      </w:divBdr>
    </w:div>
    <w:div w:id="446701725">
      <w:bodyDiv w:val="1"/>
      <w:marLeft w:val="0"/>
      <w:marRight w:val="0"/>
      <w:marTop w:val="0"/>
      <w:marBottom w:val="0"/>
      <w:divBdr>
        <w:top w:val="none" w:sz="0" w:space="0" w:color="auto"/>
        <w:left w:val="none" w:sz="0" w:space="0" w:color="auto"/>
        <w:bottom w:val="none" w:sz="0" w:space="0" w:color="auto"/>
        <w:right w:val="none" w:sz="0" w:space="0" w:color="auto"/>
      </w:divBdr>
    </w:div>
    <w:div w:id="469055180">
      <w:bodyDiv w:val="1"/>
      <w:marLeft w:val="0"/>
      <w:marRight w:val="0"/>
      <w:marTop w:val="0"/>
      <w:marBottom w:val="0"/>
      <w:divBdr>
        <w:top w:val="none" w:sz="0" w:space="0" w:color="auto"/>
        <w:left w:val="none" w:sz="0" w:space="0" w:color="auto"/>
        <w:bottom w:val="none" w:sz="0" w:space="0" w:color="auto"/>
        <w:right w:val="none" w:sz="0" w:space="0" w:color="auto"/>
      </w:divBdr>
    </w:div>
    <w:div w:id="495151200">
      <w:bodyDiv w:val="1"/>
      <w:marLeft w:val="0"/>
      <w:marRight w:val="0"/>
      <w:marTop w:val="0"/>
      <w:marBottom w:val="0"/>
      <w:divBdr>
        <w:top w:val="none" w:sz="0" w:space="0" w:color="auto"/>
        <w:left w:val="none" w:sz="0" w:space="0" w:color="auto"/>
        <w:bottom w:val="none" w:sz="0" w:space="0" w:color="auto"/>
        <w:right w:val="none" w:sz="0" w:space="0" w:color="auto"/>
      </w:divBdr>
    </w:div>
    <w:div w:id="527525103">
      <w:bodyDiv w:val="1"/>
      <w:marLeft w:val="0"/>
      <w:marRight w:val="0"/>
      <w:marTop w:val="0"/>
      <w:marBottom w:val="0"/>
      <w:divBdr>
        <w:top w:val="none" w:sz="0" w:space="0" w:color="auto"/>
        <w:left w:val="none" w:sz="0" w:space="0" w:color="auto"/>
        <w:bottom w:val="none" w:sz="0" w:space="0" w:color="auto"/>
        <w:right w:val="none" w:sz="0" w:space="0" w:color="auto"/>
      </w:divBdr>
    </w:div>
    <w:div w:id="766733925">
      <w:bodyDiv w:val="1"/>
      <w:marLeft w:val="0"/>
      <w:marRight w:val="0"/>
      <w:marTop w:val="0"/>
      <w:marBottom w:val="0"/>
      <w:divBdr>
        <w:top w:val="none" w:sz="0" w:space="0" w:color="auto"/>
        <w:left w:val="none" w:sz="0" w:space="0" w:color="auto"/>
        <w:bottom w:val="none" w:sz="0" w:space="0" w:color="auto"/>
        <w:right w:val="none" w:sz="0" w:space="0" w:color="auto"/>
      </w:divBdr>
    </w:div>
    <w:div w:id="781149401">
      <w:bodyDiv w:val="1"/>
      <w:marLeft w:val="0"/>
      <w:marRight w:val="0"/>
      <w:marTop w:val="0"/>
      <w:marBottom w:val="0"/>
      <w:divBdr>
        <w:top w:val="none" w:sz="0" w:space="0" w:color="auto"/>
        <w:left w:val="none" w:sz="0" w:space="0" w:color="auto"/>
        <w:bottom w:val="none" w:sz="0" w:space="0" w:color="auto"/>
        <w:right w:val="none" w:sz="0" w:space="0" w:color="auto"/>
      </w:divBdr>
    </w:div>
    <w:div w:id="808984842">
      <w:bodyDiv w:val="1"/>
      <w:marLeft w:val="0"/>
      <w:marRight w:val="0"/>
      <w:marTop w:val="0"/>
      <w:marBottom w:val="0"/>
      <w:divBdr>
        <w:top w:val="none" w:sz="0" w:space="0" w:color="auto"/>
        <w:left w:val="none" w:sz="0" w:space="0" w:color="auto"/>
        <w:bottom w:val="none" w:sz="0" w:space="0" w:color="auto"/>
        <w:right w:val="none" w:sz="0" w:space="0" w:color="auto"/>
      </w:divBdr>
    </w:div>
    <w:div w:id="832646313">
      <w:bodyDiv w:val="1"/>
      <w:marLeft w:val="0"/>
      <w:marRight w:val="0"/>
      <w:marTop w:val="0"/>
      <w:marBottom w:val="0"/>
      <w:divBdr>
        <w:top w:val="none" w:sz="0" w:space="0" w:color="auto"/>
        <w:left w:val="none" w:sz="0" w:space="0" w:color="auto"/>
        <w:bottom w:val="none" w:sz="0" w:space="0" w:color="auto"/>
        <w:right w:val="none" w:sz="0" w:space="0" w:color="auto"/>
      </w:divBdr>
    </w:div>
    <w:div w:id="855925220">
      <w:bodyDiv w:val="1"/>
      <w:marLeft w:val="0"/>
      <w:marRight w:val="0"/>
      <w:marTop w:val="0"/>
      <w:marBottom w:val="0"/>
      <w:divBdr>
        <w:top w:val="none" w:sz="0" w:space="0" w:color="auto"/>
        <w:left w:val="none" w:sz="0" w:space="0" w:color="auto"/>
        <w:bottom w:val="none" w:sz="0" w:space="0" w:color="auto"/>
        <w:right w:val="none" w:sz="0" w:space="0" w:color="auto"/>
      </w:divBdr>
    </w:div>
    <w:div w:id="871461393">
      <w:bodyDiv w:val="1"/>
      <w:marLeft w:val="0"/>
      <w:marRight w:val="0"/>
      <w:marTop w:val="0"/>
      <w:marBottom w:val="0"/>
      <w:divBdr>
        <w:top w:val="none" w:sz="0" w:space="0" w:color="auto"/>
        <w:left w:val="none" w:sz="0" w:space="0" w:color="auto"/>
        <w:bottom w:val="none" w:sz="0" w:space="0" w:color="auto"/>
        <w:right w:val="none" w:sz="0" w:space="0" w:color="auto"/>
      </w:divBdr>
      <w:divsChild>
        <w:div w:id="289169964">
          <w:marLeft w:val="0"/>
          <w:marRight w:val="0"/>
          <w:marTop w:val="0"/>
          <w:marBottom w:val="0"/>
          <w:divBdr>
            <w:top w:val="none" w:sz="0" w:space="0" w:color="auto"/>
            <w:left w:val="none" w:sz="0" w:space="0" w:color="auto"/>
            <w:bottom w:val="none" w:sz="0" w:space="0" w:color="auto"/>
            <w:right w:val="none" w:sz="0" w:space="0" w:color="auto"/>
          </w:divBdr>
          <w:divsChild>
            <w:div w:id="1919287316">
              <w:marLeft w:val="0"/>
              <w:marRight w:val="0"/>
              <w:marTop w:val="0"/>
              <w:marBottom w:val="0"/>
              <w:divBdr>
                <w:top w:val="none" w:sz="0" w:space="0" w:color="auto"/>
                <w:left w:val="none" w:sz="0" w:space="0" w:color="auto"/>
                <w:bottom w:val="none" w:sz="0" w:space="0" w:color="auto"/>
                <w:right w:val="none" w:sz="0" w:space="0" w:color="auto"/>
              </w:divBdr>
              <w:divsChild>
                <w:div w:id="1165314730">
                  <w:marLeft w:val="0"/>
                  <w:marRight w:val="0"/>
                  <w:marTop w:val="0"/>
                  <w:marBottom w:val="0"/>
                  <w:divBdr>
                    <w:top w:val="none" w:sz="0" w:space="0" w:color="auto"/>
                    <w:left w:val="none" w:sz="0" w:space="0" w:color="auto"/>
                    <w:bottom w:val="none" w:sz="0" w:space="0" w:color="auto"/>
                    <w:right w:val="none" w:sz="0" w:space="0" w:color="auto"/>
                  </w:divBdr>
                  <w:divsChild>
                    <w:div w:id="346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89056">
          <w:marLeft w:val="0"/>
          <w:marRight w:val="0"/>
          <w:marTop w:val="0"/>
          <w:marBottom w:val="0"/>
          <w:divBdr>
            <w:top w:val="none" w:sz="0" w:space="0" w:color="auto"/>
            <w:left w:val="none" w:sz="0" w:space="0" w:color="auto"/>
            <w:bottom w:val="none" w:sz="0" w:space="0" w:color="auto"/>
            <w:right w:val="none" w:sz="0" w:space="0" w:color="auto"/>
          </w:divBdr>
          <w:divsChild>
            <w:div w:id="11493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50">
      <w:bodyDiv w:val="1"/>
      <w:marLeft w:val="0"/>
      <w:marRight w:val="0"/>
      <w:marTop w:val="0"/>
      <w:marBottom w:val="0"/>
      <w:divBdr>
        <w:top w:val="none" w:sz="0" w:space="0" w:color="auto"/>
        <w:left w:val="none" w:sz="0" w:space="0" w:color="auto"/>
        <w:bottom w:val="none" w:sz="0" w:space="0" w:color="auto"/>
        <w:right w:val="none" w:sz="0" w:space="0" w:color="auto"/>
      </w:divBdr>
    </w:div>
    <w:div w:id="1031566545">
      <w:bodyDiv w:val="1"/>
      <w:marLeft w:val="0"/>
      <w:marRight w:val="0"/>
      <w:marTop w:val="0"/>
      <w:marBottom w:val="0"/>
      <w:divBdr>
        <w:top w:val="none" w:sz="0" w:space="0" w:color="auto"/>
        <w:left w:val="none" w:sz="0" w:space="0" w:color="auto"/>
        <w:bottom w:val="none" w:sz="0" w:space="0" w:color="auto"/>
        <w:right w:val="none" w:sz="0" w:space="0" w:color="auto"/>
      </w:divBdr>
    </w:div>
    <w:div w:id="1074544541">
      <w:bodyDiv w:val="1"/>
      <w:marLeft w:val="0"/>
      <w:marRight w:val="0"/>
      <w:marTop w:val="0"/>
      <w:marBottom w:val="0"/>
      <w:divBdr>
        <w:top w:val="none" w:sz="0" w:space="0" w:color="auto"/>
        <w:left w:val="none" w:sz="0" w:space="0" w:color="auto"/>
        <w:bottom w:val="none" w:sz="0" w:space="0" w:color="auto"/>
        <w:right w:val="none" w:sz="0" w:space="0" w:color="auto"/>
      </w:divBdr>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 w:id="1241793579">
      <w:bodyDiv w:val="1"/>
      <w:marLeft w:val="0"/>
      <w:marRight w:val="0"/>
      <w:marTop w:val="0"/>
      <w:marBottom w:val="0"/>
      <w:divBdr>
        <w:top w:val="none" w:sz="0" w:space="0" w:color="auto"/>
        <w:left w:val="none" w:sz="0" w:space="0" w:color="auto"/>
        <w:bottom w:val="none" w:sz="0" w:space="0" w:color="auto"/>
        <w:right w:val="none" w:sz="0" w:space="0" w:color="auto"/>
      </w:divBdr>
    </w:div>
    <w:div w:id="1243761166">
      <w:bodyDiv w:val="1"/>
      <w:marLeft w:val="0"/>
      <w:marRight w:val="0"/>
      <w:marTop w:val="0"/>
      <w:marBottom w:val="0"/>
      <w:divBdr>
        <w:top w:val="none" w:sz="0" w:space="0" w:color="auto"/>
        <w:left w:val="none" w:sz="0" w:space="0" w:color="auto"/>
        <w:bottom w:val="none" w:sz="0" w:space="0" w:color="auto"/>
        <w:right w:val="none" w:sz="0" w:space="0" w:color="auto"/>
      </w:divBdr>
    </w:div>
    <w:div w:id="1256283966">
      <w:bodyDiv w:val="1"/>
      <w:marLeft w:val="0"/>
      <w:marRight w:val="0"/>
      <w:marTop w:val="0"/>
      <w:marBottom w:val="0"/>
      <w:divBdr>
        <w:top w:val="none" w:sz="0" w:space="0" w:color="auto"/>
        <w:left w:val="none" w:sz="0" w:space="0" w:color="auto"/>
        <w:bottom w:val="none" w:sz="0" w:space="0" w:color="auto"/>
        <w:right w:val="none" w:sz="0" w:space="0" w:color="auto"/>
      </w:divBdr>
    </w:div>
    <w:div w:id="1322662747">
      <w:bodyDiv w:val="1"/>
      <w:marLeft w:val="0"/>
      <w:marRight w:val="0"/>
      <w:marTop w:val="0"/>
      <w:marBottom w:val="0"/>
      <w:divBdr>
        <w:top w:val="none" w:sz="0" w:space="0" w:color="auto"/>
        <w:left w:val="none" w:sz="0" w:space="0" w:color="auto"/>
        <w:bottom w:val="none" w:sz="0" w:space="0" w:color="auto"/>
        <w:right w:val="none" w:sz="0" w:space="0" w:color="auto"/>
      </w:divBdr>
    </w:div>
    <w:div w:id="1386876760">
      <w:bodyDiv w:val="1"/>
      <w:marLeft w:val="0"/>
      <w:marRight w:val="0"/>
      <w:marTop w:val="0"/>
      <w:marBottom w:val="0"/>
      <w:divBdr>
        <w:top w:val="none" w:sz="0" w:space="0" w:color="auto"/>
        <w:left w:val="none" w:sz="0" w:space="0" w:color="auto"/>
        <w:bottom w:val="none" w:sz="0" w:space="0" w:color="auto"/>
        <w:right w:val="none" w:sz="0" w:space="0" w:color="auto"/>
      </w:divBdr>
    </w:div>
    <w:div w:id="1397586635">
      <w:bodyDiv w:val="1"/>
      <w:marLeft w:val="0"/>
      <w:marRight w:val="0"/>
      <w:marTop w:val="0"/>
      <w:marBottom w:val="0"/>
      <w:divBdr>
        <w:top w:val="none" w:sz="0" w:space="0" w:color="auto"/>
        <w:left w:val="none" w:sz="0" w:space="0" w:color="auto"/>
        <w:bottom w:val="none" w:sz="0" w:space="0" w:color="auto"/>
        <w:right w:val="none" w:sz="0" w:space="0" w:color="auto"/>
      </w:divBdr>
    </w:div>
    <w:div w:id="1433361905">
      <w:bodyDiv w:val="1"/>
      <w:marLeft w:val="0"/>
      <w:marRight w:val="0"/>
      <w:marTop w:val="0"/>
      <w:marBottom w:val="0"/>
      <w:divBdr>
        <w:top w:val="none" w:sz="0" w:space="0" w:color="auto"/>
        <w:left w:val="none" w:sz="0" w:space="0" w:color="auto"/>
        <w:bottom w:val="none" w:sz="0" w:space="0" w:color="auto"/>
        <w:right w:val="none" w:sz="0" w:space="0" w:color="auto"/>
      </w:divBdr>
    </w:div>
    <w:div w:id="1554148068">
      <w:bodyDiv w:val="1"/>
      <w:marLeft w:val="0"/>
      <w:marRight w:val="0"/>
      <w:marTop w:val="0"/>
      <w:marBottom w:val="0"/>
      <w:divBdr>
        <w:top w:val="none" w:sz="0" w:space="0" w:color="auto"/>
        <w:left w:val="none" w:sz="0" w:space="0" w:color="auto"/>
        <w:bottom w:val="none" w:sz="0" w:space="0" w:color="auto"/>
        <w:right w:val="none" w:sz="0" w:space="0" w:color="auto"/>
      </w:divBdr>
    </w:div>
    <w:div w:id="1585794968">
      <w:bodyDiv w:val="1"/>
      <w:marLeft w:val="0"/>
      <w:marRight w:val="0"/>
      <w:marTop w:val="0"/>
      <w:marBottom w:val="0"/>
      <w:divBdr>
        <w:top w:val="none" w:sz="0" w:space="0" w:color="auto"/>
        <w:left w:val="none" w:sz="0" w:space="0" w:color="auto"/>
        <w:bottom w:val="none" w:sz="0" w:space="0" w:color="auto"/>
        <w:right w:val="none" w:sz="0" w:space="0" w:color="auto"/>
      </w:divBdr>
    </w:div>
    <w:div w:id="1950578069">
      <w:bodyDiv w:val="1"/>
      <w:marLeft w:val="0"/>
      <w:marRight w:val="0"/>
      <w:marTop w:val="0"/>
      <w:marBottom w:val="0"/>
      <w:divBdr>
        <w:top w:val="none" w:sz="0" w:space="0" w:color="auto"/>
        <w:left w:val="none" w:sz="0" w:space="0" w:color="auto"/>
        <w:bottom w:val="none" w:sz="0" w:space="0" w:color="auto"/>
        <w:right w:val="none" w:sz="0" w:space="0" w:color="auto"/>
      </w:divBdr>
    </w:div>
    <w:div w:id="1972132127">
      <w:bodyDiv w:val="1"/>
      <w:marLeft w:val="0"/>
      <w:marRight w:val="0"/>
      <w:marTop w:val="0"/>
      <w:marBottom w:val="0"/>
      <w:divBdr>
        <w:top w:val="none" w:sz="0" w:space="0" w:color="auto"/>
        <w:left w:val="none" w:sz="0" w:space="0" w:color="auto"/>
        <w:bottom w:val="none" w:sz="0" w:space="0" w:color="auto"/>
        <w:right w:val="none" w:sz="0" w:space="0" w:color="auto"/>
      </w:divBdr>
    </w:div>
    <w:div w:id="2009016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mdrf.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drf.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drf.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mdrf.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o.int/teams/regulation-prequalification/regulation-and-safety/facilitated-product-introduction/collaborative-registration-procedure/crp-for-who-prequalified-in-vitro-diagnostic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4702E-4E7A-47FA-8B1A-C5A00E379FE3}">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10799</Words>
  <Characters>66522</Characters>
  <Application>Microsoft Office Word</Application>
  <DocSecurity>0</DocSecurity>
  <Lines>1330</Lines>
  <Paragraphs>577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2026-02-26T00:57:00Z</dcterms:created>
  <dcterms:modified xsi:type="dcterms:W3CDTF">2026-02-26T00:59:00Z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aa7e78-45b1-4890-b8a3-003d1d728a3e_Enabled">
    <vt:lpwstr>true</vt:lpwstr>
  </property>
  <property fmtid="{D5CDD505-2E9C-101B-9397-08002B2CF9AE}" pid="3" name="MSIP_Label_4aaa7e78-45b1-4890-b8a3-003d1d728a3e_SetDate">
    <vt:lpwstr>2026-02-24T06:44:34Z</vt:lpwstr>
  </property>
  <property fmtid="{D5CDD505-2E9C-101B-9397-08002B2CF9AE}" pid="4" name="MSIP_Label_4aaa7e78-45b1-4890-b8a3-003d1d728a3e_Method">
    <vt:lpwstr>Privileged</vt:lpwstr>
  </property>
  <property fmtid="{D5CDD505-2E9C-101B-9397-08002B2CF9AE}" pid="5" name="MSIP_Label_4aaa7e78-45b1-4890-b8a3-003d1d728a3e_Name">
    <vt:lpwstr>Non Sensitive</vt:lpwstr>
  </property>
  <property fmtid="{D5CDD505-2E9C-101B-9397-08002B2CF9AE}" pid="6" name="MSIP_Label_4aaa7e78-45b1-4890-b8a3-003d1d728a3e_SiteId">
    <vt:lpwstr>0b11c524-9a1c-4e1b-84cb-6336aefc2243</vt:lpwstr>
  </property>
  <property fmtid="{D5CDD505-2E9C-101B-9397-08002B2CF9AE}" pid="7" name="MSIP_Label_4aaa7e78-45b1-4890-b8a3-003d1d728a3e_ActionId">
    <vt:lpwstr>4120f542-751b-4309-8be5-0f2311255616</vt:lpwstr>
  </property>
  <property fmtid="{D5CDD505-2E9C-101B-9397-08002B2CF9AE}" pid="8" name="MSIP_Label_4aaa7e78-45b1-4890-b8a3-003d1d728a3e_ContentBits">
    <vt:lpwstr>0</vt:lpwstr>
  </property>
  <property fmtid="{D5CDD505-2E9C-101B-9397-08002B2CF9AE}" pid="9" name="MSIP_Label_4aaa7e78-45b1-4890-b8a3-003d1d728a3e_Tag">
    <vt:lpwstr>10, 0, 1, 1</vt:lpwstr>
  </property>
</Properties>
</file>