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1E" w:rsidRDefault="001E0DE6" w:rsidP="001E0DE6">
      <w:pPr>
        <w:jc w:val="right"/>
        <w:rPr>
          <w:lang w:eastAsia="ja-JP"/>
        </w:rPr>
      </w:pPr>
      <w:r w:rsidRPr="001E0DE6">
        <w:rPr>
          <w:rFonts w:hint="eastAsia"/>
          <w:lang w:eastAsia="ja-JP"/>
        </w:rPr>
        <w:t>GHTF/</w:t>
      </w:r>
      <w:r w:rsidRPr="001E0DE6">
        <w:t>SG5</w:t>
      </w:r>
      <w:r w:rsidRPr="001E0DE6">
        <w:rPr>
          <w:rFonts w:hint="eastAsia"/>
          <w:lang w:eastAsia="ja-JP"/>
        </w:rPr>
        <w:t>/</w:t>
      </w:r>
      <w:r w:rsidRPr="001E0DE6">
        <w:t>N8</w:t>
      </w:r>
      <w:r w:rsidRPr="001E0DE6">
        <w:rPr>
          <w:rFonts w:hint="eastAsia"/>
          <w:lang w:eastAsia="ja-JP"/>
        </w:rPr>
        <w:t>:2012</w:t>
      </w:r>
    </w:p>
    <w:p w:rsidR="001E0DE6" w:rsidRDefault="001E0DE6" w:rsidP="001E0DE6">
      <w:pPr>
        <w:jc w:val="right"/>
        <w:rPr>
          <w:lang w:eastAsia="ja-JP"/>
        </w:rPr>
      </w:pPr>
    </w:p>
    <w:p w:rsidR="001E0DE6" w:rsidRDefault="001E0DE6" w:rsidP="001E0DE6">
      <w:pPr>
        <w:jc w:val="right"/>
        <w:rPr>
          <w:lang w:eastAsia="ja-JP"/>
        </w:rPr>
      </w:pPr>
    </w:p>
    <w:p w:rsidR="001E0DE6" w:rsidRDefault="001E0DE6" w:rsidP="001E0DE6">
      <w:pPr>
        <w:ind w:right="480"/>
        <w:rPr>
          <w:lang w:eastAsia="ja-JP"/>
        </w:rPr>
      </w:pPr>
    </w:p>
    <w:p w:rsidR="001E0DE6" w:rsidRDefault="001E0DE6" w:rsidP="001E0DE6">
      <w:pPr>
        <w:ind w:right="480"/>
        <w:rPr>
          <w:lang w:eastAsia="ja-JP"/>
        </w:rPr>
      </w:pPr>
    </w:p>
    <w:p w:rsidR="001E0DE6" w:rsidRDefault="00F94AE4" w:rsidP="001E0DE6">
      <w:pPr>
        <w:ind w:right="480"/>
        <w:jc w:val="center"/>
        <w:rPr>
          <w:sz w:val="28"/>
          <w:lang w:eastAsia="ja-JP"/>
        </w:rPr>
      </w:pPr>
      <w:r w:rsidRPr="00F94AE4">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3pt;height:107.15pt" fillcolor="window">
            <v:imagedata r:id="rId8" o:title="LOGO1"/>
          </v:shape>
        </w:pict>
      </w:r>
    </w:p>
    <w:p w:rsidR="001E0DE6" w:rsidRDefault="001E0DE6" w:rsidP="001E0DE6">
      <w:pPr>
        <w:ind w:right="480"/>
        <w:rPr>
          <w:sz w:val="28"/>
          <w:lang w:eastAsia="ja-JP"/>
        </w:rPr>
      </w:pPr>
    </w:p>
    <w:p w:rsidR="001E0DE6" w:rsidRDefault="001E0DE6" w:rsidP="001E0DE6">
      <w:pPr>
        <w:ind w:right="480"/>
        <w:rPr>
          <w:sz w:val="28"/>
          <w:lang w:eastAsia="ja-JP"/>
        </w:rPr>
      </w:pPr>
    </w:p>
    <w:p w:rsidR="001E0DE6" w:rsidRDefault="001E0DE6" w:rsidP="001E0DE6">
      <w:pPr>
        <w:ind w:right="480"/>
        <w:rPr>
          <w:sz w:val="28"/>
          <w:lang w:eastAsia="ja-JP"/>
        </w:rPr>
      </w:pPr>
    </w:p>
    <w:p w:rsidR="001E0DE6" w:rsidRDefault="001E0DE6" w:rsidP="001E0DE6">
      <w:pPr>
        <w:ind w:right="480"/>
        <w:jc w:val="center"/>
        <w:rPr>
          <w:sz w:val="28"/>
          <w:lang w:eastAsia="ja-JP"/>
        </w:rPr>
      </w:pPr>
    </w:p>
    <w:p w:rsidR="001E0DE6" w:rsidRDefault="001E0DE6" w:rsidP="001E0DE6">
      <w:pPr>
        <w:ind w:right="480"/>
        <w:jc w:val="center"/>
        <w:rPr>
          <w:sz w:val="28"/>
          <w:lang w:eastAsia="ja-JP"/>
        </w:rPr>
      </w:pPr>
      <w:r>
        <w:rPr>
          <w:rFonts w:hint="eastAsia"/>
          <w:b/>
          <w:sz w:val="40"/>
          <w:lang w:eastAsia="ja-JP"/>
        </w:rPr>
        <w:t>FINAL</w:t>
      </w:r>
      <w:r>
        <w:rPr>
          <w:b/>
          <w:sz w:val="40"/>
        </w:rPr>
        <w:t xml:space="preserve"> DOCUMENT</w:t>
      </w:r>
    </w:p>
    <w:p w:rsidR="001E0DE6" w:rsidRDefault="001E0DE6" w:rsidP="001E0DE6">
      <w:pPr>
        <w:ind w:right="480"/>
        <w:jc w:val="center"/>
        <w:rPr>
          <w:sz w:val="28"/>
          <w:lang w:eastAsia="ja-JP"/>
        </w:rPr>
      </w:pPr>
    </w:p>
    <w:p w:rsidR="001E0DE6" w:rsidRDefault="001E0DE6" w:rsidP="001E0DE6">
      <w:pPr>
        <w:ind w:right="480"/>
        <w:jc w:val="center"/>
        <w:rPr>
          <w:b/>
          <w:sz w:val="32"/>
          <w:lang w:eastAsia="ja-JP"/>
        </w:rPr>
      </w:pPr>
      <w:r>
        <w:rPr>
          <w:b/>
          <w:sz w:val="32"/>
        </w:rPr>
        <w:t>Global Harmonization Task Force</w:t>
      </w:r>
    </w:p>
    <w:p w:rsidR="001E0DE6" w:rsidRDefault="001E0DE6" w:rsidP="001E0DE6">
      <w:pPr>
        <w:ind w:right="480"/>
        <w:rPr>
          <w:b/>
          <w:sz w:val="32"/>
          <w:lang w:eastAsia="ja-JP"/>
        </w:rPr>
      </w:pPr>
    </w:p>
    <w:p w:rsidR="001E0DE6" w:rsidRDefault="001E0DE6" w:rsidP="001E0DE6">
      <w:pPr>
        <w:ind w:right="480"/>
        <w:rPr>
          <w:b/>
          <w:sz w:val="32"/>
          <w:lang w:eastAsia="ja-JP"/>
        </w:rPr>
      </w:pPr>
    </w:p>
    <w:p w:rsidR="001E0DE6" w:rsidRDefault="001E0DE6" w:rsidP="001E0DE6">
      <w:pPr>
        <w:ind w:right="480"/>
        <w:rPr>
          <w:b/>
          <w:sz w:val="32"/>
          <w:lang w:eastAsia="ja-JP"/>
        </w:rPr>
      </w:pPr>
      <w:r>
        <w:rPr>
          <w:b/>
          <w:sz w:val="28"/>
        </w:rPr>
        <w:t>Title:</w:t>
      </w:r>
      <w:r>
        <w:rPr>
          <w:b/>
          <w:sz w:val="28"/>
        </w:rPr>
        <w:tab/>
        <w:t xml:space="preserve">Clinical Evidence for IVD Medical Devices - </w:t>
      </w:r>
      <w:r>
        <w:rPr>
          <w:sz w:val="28"/>
        </w:rPr>
        <w:t>Clinical Performance</w:t>
      </w:r>
      <w:r w:rsidRPr="001E0DE6">
        <w:rPr>
          <w:sz w:val="28"/>
        </w:rPr>
        <w:t xml:space="preserve"> </w:t>
      </w:r>
      <w:r>
        <w:rPr>
          <w:sz w:val="28"/>
        </w:rPr>
        <w:t>Studies for In Vitro Diagnostic Medical Devices</w:t>
      </w:r>
    </w:p>
    <w:p w:rsidR="001E0DE6" w:rsidRDefault="001E0DE6" w:rsidP="001E0DE6">
      <w:pPr>
        <w:ind w:right="480"/>
        <w:rPr>
          <w:b/>
          <w:sz w:val="32"/>
          <w:lang w:eastAsia="ja-JP"/>
        </w:rPr>
      </w:pPr>
    </w:p>
    <w:p w:rsidR="001E0DE6" w:rsidRDefault="001E0DE6" w:rsidP="001E0DE6">
      <w:pPr>
        <w:ind w:right="480"/>
        <w:rPr>
          <w:b/>
          <w:sz w:val="32"/>
          <w:lang w:eastAsia="ja-JP"/>
        </w:rPr>
      </w:pPr>
      <w:r>
        <w:rPr>
          <w:b/>
          <w:sz w:val="28"/>
        </w:rPr>
        <w:t>Authoring Group:</w:t>
      </w:r>
      <w:r w:rsidRPr="00360C7E">
        <w:rPr>
          <w:sz w:val="28"/>
        </w:rPr>
        <w:t xml:space="preserve"> </w:t>
      </w:r>
      <w:r>
        <w:rPr>
          <w:sz w:val="28"/>
        </w:rPr>
        <w:t>Study Group 5</w:t>
      </w:r>
      <w:r w:rsidR="00421B4F">
        <w:rPr>
          <w:sz w:val="28"/>
        </w:rPr>
        <w:t xml:space="preserve"> of the Global Harmonization Task Force</w:t>
      </w:r>
    </w:p>
    <w:p w:rsidR="001E0DE6" w:rsidRDefault="001E0DE6" w:rsidP="001E0DE6">
      <w:pPr>
        <w:ind w:right="480"/>
        <w:rPr>
          <w:b/>
          <w:sz w:val="32"/>
          <w:lang w:eastAsia="ja-JP"/>
        </w:rPr>
      </w:pPr>
    </w:p>
    <w:p w:rsidR="001E0DE6" w:rsidRDefault="001E0DE6" w:rsidP="001E0DE6">
      <w:pPr>
        <w:ind w:right="480"/>
        <w:rPr>
          <w:b/>
          <w:sz w:val="32"/>
          <w:lang w:eastAsia="ja-JP"/>
        </w:rPr>
      </w:pPr>
      <w:r>
        <w:rPr>
          <w:b/>
          <w:sz w:val="28"/>
        </w:rPr>
        <w:t>Date:</w:t>
      </w:r>
      <w:r w:rsidRPr="00360C7E">
        <w:rPr>
          <w:sz w:val="28"/>
        </w:rPr>
        <w:t xml:space="preserve"> </w:t>
      </w:r>
      <w:r>
        <w:rPr>
          <w:rFonts w:hint="eastAsia"/>
          <w:bCs/>
          <w:color w:val="000000"/>
          <w:sz w:val="28"/>
          <w:lang w:eastAsia="ja-JP"/>
        </w:rPr>
        <w:t>November 2</w:t>
      </w:r>
      <w:r w:rsidRPr="00480C1C">
        <w:rPr>
          <w:rFonts w:hint="eastAsia"/>
          <w:bCs/>
          <w:color w:val="000000"/>
          <w:sz w:val="28"/>
          <w:vertAlign w:val="superscript"/>
          <w:lang w:eastAsia="ja-JP"/>
        </w:rPr>
        <w:t>nd</w:t>
      </w:r>
      <w:r w:rsidRPr="00FD6BB1">
        <w:rPr>
          <w:bCs/>
          <w:sz w:val="28"/>
        </w:rPr>
        <w:t>,</w:t>
      </w:r>
      <w:r>
        <w:rPr>
          <w:bCs/>
          <w:color w:val="000000"/>
          <w:sz w:val="28"/>
        </w:rPr>
        <w:t xml:space="preserve"> 2012</w:t>
      </w:r>
    </w:p>
    <w:p w:rsidR="001E0DE6" w:rsidRDefault="001E0DE6" w:rsidP="001E0DE6">
      <w:pPr>
        <w:ind w:rightChars="-196" w:right="-470"/>
        <w:rPr>
          <w:sz w:val="28"/>
          <w:lang w:eastAsia="ja-JP"/>
        </w:rPr>
      </w:pPr>
    </w:p>
    <w:p w:rsidR="001E0DE6" w:rsidRDefault="001E0DE6" w:rsidP="001E0DE6">
      <w:pPr>
        <w:ind w:rightChars="-196" w:right="-470"/>
        <w:rPr>
          <w:sz w:val="28"/>
          <w:lang w:eastAsia="ja-JP"/>
        </w:rPr>
      </w:pPr>
    </w:p>
    <w:p w:rsidR="001E0DE6" w:rsidRDefault="001E0DE6" w:rsidP="001E0DE6">
      <w:pPr>
        <w:ind w:rightChars="-18" w:right="-43" w:firstLineChars="1500" w:firstLine="4200"/>
        <w:rPr>
          <w:sz w:val="22"/>
          <w:lang w:eastAsia="ja-JP"/>
        </w:rPr>
      </w:pPr>
      <w:r w:rsidRPr="0091532C">
        <w:rPr>
          <w:rFonts w:hint="eastAsia"/>
          <w:sz w:val="28"/>
          <w:szCs w:val="28"/>
          <w:lang w:eastAsia="ja-JP"/>
        </w:rPr>
        <w:t>Dr. Kazunari Asanuma, GHTF Chair</w:t>
      </w:r>
      <w:r>
        <w:rPr>
          <w:sz w:val="22"/>
        </w:rPr>
        <w:t xml:space="preserve"> </w:t>
      </w:r>
    </w:p>
    <w:p w:rsidR="001E0DE6" w:rsidRPr="00CE799C" w:rsidRDefault="001E0DE6" w:rsidP="001E0DE6">
      <w:pPr>
        <w:ind w:rightChars="-18" w:right="-43"/>
        <w:rPr>
          <w:sz w:val="22"/>
          <w:lang w:eastAsia="ja-JP"/>
        </w:rPr>
      </w:pPr>
    </w:p>
    <w:p w:rsidR="001E0DE6" w:rsidRDefault="001E0DE6" w:rsidP="001E0DE6">
      <w:pPr>
        <w:ind w:rightChars="-18" w:right="-43"/>
        <w:jc w:val="both"/>
        <w:rPr>
          <w:sz w:val="22"/>
          <w:szCs w:val="24"/>
          <w:lang w:val="en-GB" w:eastAsia="ja-JP"/>
        </w:rPr>
      </w:pPr>
      <w:r w:rsidRPr="0091532C">
        <w:rPr>
          <w:rFonts w:hint="eastAsia"/>
          <w:sz w:val="22"/>
          <w:szCs w:val="22"/>
          <w:lang w:eastAsia="ja-JP"/>
        </w:rPr>
        <w:t xml:space="preserve">This document was produced by the </w:t>
      </w:r>
      <w:r w:rsidRPr="0091532C">
        <w:rPr>
          <w:sz w:val="22"/>
          <w:szCs w:val="24"/>
          <w:lang w:val="en-GB" w:eastAsia="ja-JP"/>
        </w:rPr>
        <w:t>Global Harmonization Task Force, a voluntary</w:t>
      </w:r>
      <w:r w:rsidRPr="0091532C">
        <w:rPr>
          <w:rFonts w:hint="eastAsia"/>
          <w:sz w:val="22"/>
          <w:szCs w:val="24"/>
          <w:lang w:val="en-GB" w:eastAsia="ja-JP"/>
        </w:rPr>
        <w:t xml:space="preserve"> </w:t>
      </w:r>
      <w:r w:rsidRPr="0091532C">
        <w:rPr>
          <w:sz w:val="22"/>
          <w:szCs w:val="24"/>
          <w:lang w:val="en-GB" w:eastAsia="ja-JP"/>
        </w:rPr>
        <w:t>international group of</w:t>
      </w:r>
      <w:r w:rsidRPr="0091532C">
        <w:rPr>
          <w:rFonts w:hint="eastAsia"/>
          <w:sz w:val="22"/>
          <w:szCs w:val="24"/>
          <w:lang w:val="en-GB" w:eastAsia="ja-JP"/>
        </w:rPr>
        <w:t xml:space="preserve"> </w:t>
      </w:r>
      <w:r w:rsidRPr="0091532C">
        <w:rPr>
          <w:sz w:val="22"/>
          <w:szCs w:val="24"/>
          <w:lang w:val="en-GB" w:eastAsia="ja-JP"/>
        </w:rPr>
        <w:t>representatives from medica</w:t>
      </w:r>
      <w:r>
        <w:rPr>
          <w:rFonts w:hint="eastAsia"/>
          <w:sz w:val="22"/>
          <w:szCs w:val="24"/>
          <w:lang w:val="en-GB" w:eastAsia="ja-JP"/>
        </w:rPr>
        <w:t>l</w:t>
      </w:r>
      <w:r w:rsidRPr="0091532C">
        <w:rPr>
          <w:sz w:val="22"/>
          <w:szCs w:val="24"/>
          <w:lang w:val="en-GB" w:eastAsia="ja-JP"/>
        </w:rPr>
        <w:t xml:space="preserve"> device regulatory authorities and trade associations from Europe, the United</w:t>
      </w:r>
      <w:r w:rsidRPr="0091532C">
        <w:rPr>
          <w:rFonts w:hint="eastAsia"/>
          <w:sz w:val="22"/>
          <w:szCs w:val="24"/>
          <w:lang w:val="en-GB" w:eastAsia="ja-JP"/>
        </w:rPr>
        <w:t xml:space="preserve"> </w:t>
      </w:r>
      <w:r w:rsidRPr="0091532C">
        <w:rPr>
          <w:sz w:val="22"/>
          <w:szCs w:val="24"/>
          <w:lang w:val="en-GB" w:eastAsia="ja-JP"/>
        </w:rPr>
        <w:t>States of America (USA), Canada, Japan and Australia.</w:t>
      </w:r>
    </w:p>
    <w:p w:rsidR="001E0DE6" w:rsidRDefault="001E0DE6" w:rsidP="001E0DE6">
      <w:pPr>
        <w:ind w:rightChars="-18" w:right="-43"/>
        <w:jc w:val="both"/>
        <w:rPr>
          <w:sz w:val="22"/>
          <w:szCs w:val="24"/>
          <w:lang w:val="en-GB" w:eastAsia="ja-JP"/>
        </w:rPr>
      </w:pPr>
    </w:p>
    <w:p w:rsidR="001E0DE6" w:rsidRDefault="001E0DE6" w:rsidP="001E0DE6">
      <w:pPr>
        <w:ind w:rightChars="-18" w:right="-43"/>
        <w:jc w:val="both"/>
        <w:rPr>
          <w:sz w:val="22"/>
          <w:szCs w:val="24"/>
          <w:lang w:val="en-GB" w:eastAsia="ja-JP"/>
        </w:rPr>
      </w:pPr>
      <w:r w:rsidRPr="0091532C">
        <w:rPr>
          <w:rFonts w:hint="eastAsia"/>
          <w:sz w:val="22"/>
          <w:szCs w:val="24"/>
          <w:lang w:val="en-GB" w:eastAsia="ja-JP"/>
        </w:rPr>
        <w:t>The document is</w:t>
      </w:r>
      <w:r w:rsidRPr="0091532C">
        <w:rPr>
          <w:sz w:val="22"/>
          <w:szCs w:val="24"/>
          <w:lang w:val="en-GB" w:eastAsia="ja-JP"/>
        </w:rPr>
        <w:t xml:space="preserve"> intended to provide non-binding guidance to regulatory authorities for use in the regulation of medical devices, and has been subject to consultation throughout its</w:t>
      </w:r>
      <w:r w:rsidRPr="0091532C">
        <w:rPr>
          <w:rFonts w:hint="eastAsia"/>
          <w:sz w:val="22"/>
          <w:szCs w:val="24"/>
          <w:lang w:val="en-GB" w:eastAsia="ja-JP"/>
        </w:rPr>
        <w:t xml:space="preserve"> development.</w:t>
      </w:r>
    </w:p>
    <w:p w:rsidR="001E0DE6" w:rsidRDefault="001E0DE6" w:rsidP="001E0DE6">
      <w:pPr>
        <w:ind w:rightChars="-18" w:right="-43"/>
        <w:jc w:val="both"/>
        <w:rPr>
          <w:sz w:val="22"/>
          <w:szCs w:val="24"/>
          <w:lang w:val="en-GB" w:eastAsia="ja-JP"/>
        </w:rPr>
      </w:pPr>
    </w:p>
    <w:p w:rsidR="001E0DE6" w:rsidRDefault="001E0DE6" w:rsidP="001E0DE6">
      <w:pPr>
        <w:ind w:rightChars="-18" w:right="-43"/>
        <w:jc w:val="both"/>
        <w:rPr>
          <w:sz w:val="22"/>
          <w:szCs w:val="24"/>
          <w:lang w:val="en-GB" w:eastAsia="ja-JP"/>
        </w:rPr>
      </w:pPr>
      <w:r w:rsidRPr="0091532C">
        <w:rPr>
          <w:rFonts w:hint="eastAsia"/>
          <w:sz w:val="22"/>
          <w:szCs w:val="24"/>
          <w:lang w:val="en-GB" w:eastAsia="ja-JP"/>
        </w:rPr>
        <w:t xml:space="preserve">There are </w:t>
      </w:r>
      <w:r w:rsidRPr="0091532C">
        <w:rPr>
          <w:sz w:val="22"/>
          <w:szCs w:val="24"/>
          <w:lang w:val="en-GB" w:eastAsia="ja-JP"/>
        </w:rPr>
        <w:t>no restrictions on the reproduction, distribution or use of this document; however, incorporation</w:t>
      </w:r>
      <w:r w:rsidRPr="0091532C">
        <w:rPr>
          <w:rFonts w:hint="eastAsia"/>
          <w:sz w:val="22"/>
          <w:szCs w:val="24"/>
          <w:lang w:val="en-GB" w:eastAsia="ja-JP"/>
        </w:rPr>
        <w:t xml:space="preserve"> </w:t>
      </w:r>
      <w:r w:rsidRPr="0091532C">
        <w:rPr>
          <w:sz w:val="22"/>
          <w:szCs w:val="24"/>
          <w:lang w:val="en-GB" w:eastAsia="ja-JP"/>
        </w:rPr>
        <w:t>of this document, in part or in whole, into any other document, or its translation into languages other than</w:t>
      </w:r>
      <w:r w:rsidRPr="0091532C">
        <w:rPr>
          <w:rFonts w:hint="eastAsia"/>
          <w:sz w:val="22"/>
          <w:szCs w:val="24"/>
          <w:lang w:val="en-GB" w:eastAsia="ja-JP"/>
        </w:rPr>
        <w:t xml:space="preserve"> </w:t>
      </w:r>
      <w:r w:rsidRPr="0091532C">
        <w:rPr>
          <w:sz w:val="22"/>
          <w:szCs w:val="24"/>
          <w:lang w:val="en-GB" w:eastAsia="ja-JP"/>
        </w:rPr>
        <w:t>English, does not convey or represent an endorsement of any kind by the Global Harmonization Task</w:t>
      </w:r>
      <w:r w:rsidRPr="0091532C">
        <w:rPr>
          <w:rFonts w:hint="eastAsia"/>
          <w:sz w:val="22"/>
          <w:szCs w:val="24"/>
          <w:lang w:val="en-GB" w:eastAsia="ja-JP"/>
        </w:rPr>
        <w:t xml:space="preserve"> </w:t>
      </w:r>
      <w:r w:rsidRPr="0091532C">
        <w:rPr>
          <w:sz w:val="22"/>
          <w:szCs w:val="24"/>
          <w:lang w:val="en-GB" w:eastAsia="ja-JP"/>
        </w:rPr>
        <w:t>Force</w:t>
      </w:r>
      <w:r w:rsidRPr="0091532C">
        <w:rPr>
          <w:rFonts w:hint="eastAsia"/>
          <w:sz w:val="22"/>
          <w:szCs w:val="24"/>
          <w:lang w:val="en-GB" w:eastAsia="ja-JP"/>
        </w:rPr>
        <w:t>.</w:t>
      </w:r>
    </w:p>
    <w:p w:rsidR="001E0DE6" w:rsidRDefault="001E0DE6" w:rsidP="001E0DE6">
      <w:pPr>
        <w:ind w:rightChars="-18" w:right="-43"/>
        <w:rPr>
          <w:sz w:val="22"/>
          <w:szCs w:val="24"/>
          <w:lang w:val="en-GB" w:eastAsia="ja-JP"/>
        </w:rPr>
      </w:pPr>
    </w:p>
    <w:p w:rsidR="001E0DE6" w:rsidRDefault="001E0DE6" w:rsidP="001E0DE6">
      <w:pPr>
        <w:ind w:rightChars="-18" w:right="-43"/>
        <w:rPr>
          <w:sz w:val="22"/>
          <w:lang w:eastAsia="ja-JP"/>
        </w:rPr>
      </w:pPr>
      <w:r w:rsidRPr="0091532C">
        <w:rPr>
          <w:rFonts w:hint="eastAsia"/>
          <w:sz w:val="22"/>
          <w:szCs w:val="24"/>
          <w:lang w:val="en-GB" w:eastAsia="ja-JP"/>
        </w:rPr>
        <w:t>Copy</w:t>
      </w:r>
      <w:r w:rsidRPr="0091532C">
        <w:rPr>
          <w:sz w:val="22"/>
          <w:szCs w:val="24"/>
          <w:lang w:val="en-GB" w:eastAsia="ja-JP"/>
        </w:rPr>
        <w:t>right © 201</w:t>
      </w:r>
      <w:r w:rsidRPr="0091532C">
        <w:rPr>
          <w:rFonts w:hint="eastAsia"/>
          <w:sz w:val="22"/>
          <w:szCs w:val="24"/>
          <w:lang w:val="en-GB" w:eastAsia="ja-JP"/>
        </w:rPr>
        <w:t>2</w:t>
      </w:r>
      <w:r w:rsidRPr="0091532C">
        <w:rPr>
          <w:sz w:val="22"/>
          <w:szCs w:val="24"/>
          <w:lang w:val="en-GB" w:eastAsia="ja-JP"/>
        </w:rPr>
        <w:t xml:space="preserve"> by the Global Harmonization Task Force</w:t>
      </w:r>
    </w:p>
    <w:p w:rsidR="001E0DE6" w:rsidRPr="001E0DE6" w:rsidRDefault="001E0DE6" w:rsidP="001E0DE6">
      <w:pPr>
        <w:ind w:right="480"/>
        <w:rPr>
          <w:lang w:eastAsia="ja-JP"/>
        </w:rPr>
        <w:sectPr w:rsidR="001E0DE6" w:rsidRPr="001E0DE6" w:rsidSect="001E0DE6">
          <w:pgSz w:w="12240" w:h="15840" w:code="1"/>
          <w:pgMar w:top="1134"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26"/>
        </w:sectPr>
      </w:pPr>
    </w:p>
    <w:p w:rsidR="00B9381E" w:rsidRDefault="008E006F" w:rsidP="008E006F">
      <w:pPr>
        <w:ind w:firstLine="720"/>
        <w:rPr>
          <w:b/>
          <w:sz w:val="28"/>
        </w:rPr>
      </w:pPr>
      <w:r>
        <w:rPr>
          <w:b/>
          <w:sz w:val="28"/>
        </w:rPr>
        <w:lastRenderedPageBreak/>
        <w:t>Table of Contents</w:t>
      </w:r>
    </w:p>
    <w:p w:rsidR="005C5215" w:rsidRDefault="005C5215" w:rsidP="008E006F">
      <w:pPr>
        <w:ind w:firstLine="720"/>
        <w:rPr>
          <w:b/>
          <w:sz w:val="28"/>
        </w:rPr>
      </w:pPr>
    </w:p>
    <w:p w:rsidR="004303F5" w:rsidRDefault="00F94AE4">
      <w:pPr>
        <w:pStyle w:val="TOC1"/>
        <w:rPr>
          <w:rFonts w:eastAsia="SimSun" w:cs="Mangal"/>
          <w:szCs w:val="24"/>
          <w:lang w:eastAsia="zh-CN" w:bidi="ne-NP"/>
        </w:rPr>
      </w:pPr>
      <w:r w:rsidRPr="00F94AE4">
        <w:fldChar w:fldCharType="begin"/>
      </w:r>
      <w:r w:rsidR="00FC776D">
        <w:instrText xml:space="preserve"> TOC \o "1-3" \u </w:instrText>
      </w:r>
      <w:r w:rsidRPr="00F94AE4">
        <w:fldChar w:fldCharType="separate"/>
      </w:r>
      <w:r w:rsidR="004303F5">
        <w:t>1.0</w:t>
      </w:r>
      <w:r w:rsidR="004303F5">
        <w:rPr>
          <w:rFonts w:eastAsia="SimSun" w:cs="Mangal"/>
          <w:szCs w:val="24"/>
          <w:lang w:eastAsia="zh-CN" w:bidi="ne-NP"/>
        </w:rPr>
        <w:tab/>
      </w:r>
      <w:r w:rsidR="004303F5">
        <w:t>Introduction</w:t>
      </w:r>
      <w:r w:rsidR="004303F5">
        <w:tab/>
      </w:r>
      <w:r>
        <w:fldChar w:fldCharType="begin"/>
      </w:r>
      <w:r w:rsidR="004303F5">
        <w:instrText xml:space="preserve"> PAGEREF _Toc332286357 \h </w:instrText>
      </w:r>
      <w:r>
        <w:fldChar w:fldCharType="separate"/>
      </w:r>
      <w:r w:rsidR="004303F5">
        <w:t>4</w:t>
      </w:r>
      <w:r>
        <w:fldChar w:fldCharType="end"/>
      </w:r>
    </w:p>
    <w:p w:rsidR="004303F5" w:rsidRDefault="004303F5">
      <w:pPr>
        <w:pStyle w:val="TOC1"/>
        <w:rPr>
          <w:rFonts w:eastAsia="SimSun" w:cs="Mangal"/>
          <w:szCs w:val="24"/>
          <w:lang w:eastAsia="zh-CN" w:bidi="ne-NP"/>
        </w:rPr>
      </w:pPr>
      <w:r>
        <w:t>2.0</w:t>
      </w:r>
      <w:r>
        <w:rPr>
          <w:rFonts w:eastAsia="SimSun" w:cs="Mangal"/>
          <w:szCs w:val="24"/>
          <w:lang w:eastAsia="zh-CN" w:bidi="ne-NP"/>
        </w:rPr>
        <w:tab/>
      </w:r>
      <w:r>
        <w:t>Scope</w:t>
      </w:r>
      <w:r>
        <w:tab/>
      </w:r>
      <w:r w:rsidR="00F94AE4">
        <w:fldChar w:fldCharType="begin"/>
      </w:r>
      <w:r>
        <w:instrText xml:space="preserve"> PAGEREF _Toc332286358 \h </w:instrText>
      </w:r>
      <w:r w:rsidR="00F94AE4">
        <w:fldChar w:fldCharType="separate"/>
      </w:r>
      <w:r>
        <w:t>4</w:t>
      </w:r>
      <w:r w:rsidR="00F94AE4">
        <w:fldChar w:fldCharType="end"/>
      </w:r>
    </w:p>
    <w:p w:rsidR="004303F5" w:rsidRDefault="004303F5">
      <w:pPr>
        <w:pStyle w:val="TOC1"/>
        <w:rPr>
          <w:rFonts w:eastAsia="SimSun" w:cs="Mangal"/>
          <w:szCs w:val="24"/>
          <w:lang w:eastAsia="zh-CN" w:bidi="ne-NP"/>
        </w:rPr>
      </w:pPr>
      <w:r>
        <w:t>3.0</w:t>
      </w:r>
      <w:r>
        <w:rPr>
          <w:rFonts w:eastAsia="SimSun" w:cs="Mangal"/>
          <w:szCs w:val="24"/>
          <w:lang w:eastAsia="zh-CN" w:bidi="ne-NP"/>
        </w:rPr>
        <w:tab/>
      </w:r>
      <w:r>
        <w:t>References</w:t>
      </w:r>
      <w:r>
        <w:tab/>
      </w:r>
      <w:r w:rsidR="00F94AE4">
        <w:fldChar w:fldCharType="begin"/>
      </w:r>
      <w:r>
        <w:instrText xml:space="preserve"> PAGEREF _Toc332286359 \h </w:instrText>
      </w:r>
      <w:r w:rsidR="00F94AE4">
        <w:fldChar w:fldCharType="separate"/>
      </w:r>
      <w:r>
        <w:t>5</w:t>
      </w:r>
      <w:r w:rsidR="00F94AE4">
        <w:fldChar w:fldCharType="end"/>
      </w:r>
    </w:p>
    <w:p w:rsidR="004303F5" w:rsidRDefault="004303F5">
      <w:pPr>
        <w:pStyle w:val="TOC1"/>
        <w:rPr>
          <w:rFonts w:eastAsia="SimSun" w:cs="Mangal"/>
          <w:szCs w:val="24"/>
          <w:lang w:eastAsia="zh-CN" w:bidi="ne-NP"/>
        </w:rPr>
      </w:pPr>
      <w:r>
        <w:t>4.0</w:t>
      </w:r>
      <w:r>
        <w:rPr>
          <w:rFonts w:eastAsia="SimSun" w:cs="Mangal"/>
          <w:szCs w:val="24"/>
          <w:lang w:eastAsia="zh-CN" w:bidi="ne-NP"/>
        </w:rPr>
        <w:tab/>
      </w:r>
      <w:r>
        <w:t>Definitions</w:t>
      </w:r>
      <w:r>
        <w:tab/>
      </w:r>
      <w:r w:rsidR="00F94AE4">
        <w:fldChar w:fldCharType="begin"/>
      </w:r>
      <w:r>
        <w:instrText xml:space="preserve"> PAGEREF _Toc332286360 \h </w:instrText>
      </w:r>
      <w:r w:rsidR="00F94AE4">
        <w:fldChar w:fldCharType="separate"/>
      </w:r>
      <w:r>
        <w:t>5</w:t>
      </w:r>
      <w:r w:rsidR="00F94AE4">
        <w:fldChar w:fldCharType="end"/>
      </w:r>
    </w:p>
    <w:p w:rsidR="004303F5" w:rsidRDefault="004303F5">
      <w:pPr>
        <w:pStyle w:val="TOC1"/>
        <w:rPr>
          <w:rFonts w:eastAsia="SimSun" w:cs="Mangal"/>
          <w:szCs w:val="24"/>
          <w:lang w:eastAsia="zh-CN" w:bidi="ne-NP"/>
        </w:rPr>
      </w:pPr>
      <w:r>
        <w:t>5.0</w:t>
      </w:r>
      <w:r>
        <w:rPr>
          <w:rFonts w:eastAsia="SimSun" w:cs="Mangal"/>
          <w:szCs w:val="24"/>
          <w:lang w:eastAsia="zh-CN" w:bidi="ne-NP"/>
        </w:rPr>
        <w:tab/>
      </w:r>
      <w:r>
        <w:t>Purpose of Clinical Performance Studies</w:t>
      </w:r>
      <w:r>
        <w:tab/>
      </w:r>
      <w:r w:rsidR="00F94AE4">
        <w:fldChar w:fldCharType="begin"/>
      </w:r>
      <w:r>
        <w:instrText xml:space="preserve"> PAGEREF _Toc332286361 \h </w:instrText>
      </w:r>
      <w:r w:rsidR="00F94AE4">
        <w:fldChar w:fldCharType="separate"/>
      </w:r>
      <w:r>
        <w:t>5</w:t>
      </w:r>
      <w:r w:rsidR="00F94AE4">
        <w:fldChar w:fldCharType="end"/>
      </w:r>
    </w:p>
    <w:p w:rsidR="004303F5" w:rsidRDefault="004303F5">
      <w:pPr>
        <w:pStyle w:val="TOC1"/>
        <w:rPr>
          <w:rFonts w:eastAsia="SimSun" w:cs="Mangal"/>
          <w:szCs w:val="24"/>
          <w:lang w:eastAsia="zh-CN" w:bidi="ne-NP"/>
        </w:rPr>
      </w:pPr>
      <w:r>
        <w:t>6.0</w:t>
      </w:r>
      <w:r>
        <w:rPr>
          <w:rFonts w:eastAsia="SimSun" w:cs="Mangal"/>
          <w:szCs w:val="24"/>
          <w:lang w:eastAsia="zh-CN" w:bidi="ne-NP"/>
        </w:rPr>
        <w:tab/>
      </w:r>
      <w:r>
        <w:t>Clinical Performance Study Design Type</w:t>
      </w:r>
      <w:r>
        <w:tab/>
      </w:r>
      <w:r w:rsidR="00F94AE4">
        <w:fldChar w:fldCharType="begin"/>
      </w:r>
      <w:r>
        <w:instrText xml:space="preserve"> PAGEREF _Toc332286362 \h </w:instrText>
      </w:r>
      <w:r w:rsidR="00F94AE4">
        <w:fldChar w:fldCharType="separate"/>
      </w:r>
      <w:r>
        <w:t>6</w:t>
      </w:r>
      <w:r w:rsidR="00F94AE4">
        <w:fldChar w:fldCharType="end"/>
      </w:r>
    </w:p>
    <w:p w:rsidR="004303F5" w:rsidRDefault="004303F5">
      <w:pPr>
        <w:pStyle w:val="TOC2"/>
        <w:rPr>
          <w:rFonts w:eastAsia="SimSun" w:cs="Mangal"/>
          <w:szCs w:val="24"/>
          <w:lang w:eastAsia="zh-CN" w:bidi="ne-NP"/>
        </w:rPr>
      </w:pPr>
      <w:r>
        <w:t>6.1</w:t>
      </w:r>
      <w:r>
        <w:rPr>
          <w:rFonts w:eastAsia="SimSun" w:cs="Mangal"/>
          <w:szCs w:val="24"/>
          <w:lang w:eastAsia="zh-CN" w:bidi="ne-NP"/>
        </w:rPr>
        <w:tab/>
      </w:r>
      <w:r>
        <w:t>Observational Designs</w:t>
      </w:r>
      <w:r>
        <w:tab/>
      </w:r>
      <w:r w:rsidR="00F94AE4">
        <w:fldChar w:fldCharType="begin"/>
      </w:r>
      <w:r>
        <w:instrText xml:space="preserve"> PAGEREF _Toc332286363 \h </w:instrText>
      </w:r>
      <w:r w:rsidR="00F94AE4">
        <w:fldChar w:fldCharType="separate"/>
      </w:r>
      <w:r>
        <w:t>7</w:t>
      </w:r>
      <w:r w:rsidR="00F94AE4">
        <w:fldChar w:fldCharType="end"/>
      </w:r>
    </w:p>
    <w:p w:rsidR="004303F5" w:rsidRDefault="004303F5">
      <w:pPr>
        <w:pStyle w:val="TOC3"/>
        <w:rPr>
          <w:rFonts w:eastAsia="SimSun" w:cs="Mangal"/>
          <w:noProof/>
          <w:szCs w:val="24"/>
          <w:lang w:eastAsia="zh-CN" w:bidi="ne-NP"/>
        </w:rPr>
      </w:pPr>
      <w:r>
        <w:rPr>
          <w:noProof/>
        </w:rPr>
        <w:t>6.1.1</w:t>
      </w:r>
      <w:r>
        <w:rPr>
          <w:rFonts w:eastAsia="SimSun" w:cs="Mangal"/>
          <w:noProof/>
          <w:szCs w:val="24"/>
          <w:lang w:eastAsia="zh-CN" w:bidi="ne-NP"/>
        </w:rPr>
        <w:tab/>
      </w:r>
      <w:r>
        <w:rPr>
          <w:noProof/>
        </w:rPr>
        <w:t>Cross-sectional Designs</w:t>
      </w:r>
      <w:r>
        <w:rPr>
          <w:noProof/>
        </w:rPr>
        <w:tab/>
      </w:r>
      <w:r w:rsidR="00F94AE4">
        <w:rPr>
          <w:noProof/>
        </w:rPr>
        <w:fldChar w:fldCharType="begin"/>
      </w:r>
      <w:r>
        <w:rPr>
          <w:noProof/>
        </w:rPr>
        <w:instrText xml:space="preserve"> PAGEREF _Toc332286364 \h </w:instrText>
      </w:r>
      <w:r w:rsidR="00F94AE4">
        <w:rPr>
          <w:noProof/>
        </w:rPr>
      </w:r>
      <w:r w:rsidR="00F94AE4">
        <w:rPr>
          <w:noProof/>
        </w:rPr>
        <w:fldChar w:fldCharType="separate"/>
      </w:r>
      <w:r>
        <w:rPr>
          <w:noProof/>
        </w:rPr>
        <w:t>8</w:t>
      </w:r>
      <w:r w:rsidR="00F94AE4">
        <w:rPr>
          <w:noProof/>
        </w:rPr>
        <w:fldChar w:fldCharType="end"/>
      </w:r>
    </w:p>
    <w:p w:rsidR="004303F5" w:rsidRDefault="004303F5">
      <w:pPr>
        <w:pStyle w:val="TOC3"/>
        <w:rPr>
          <w:rFonts w:eastAsia="SimSun" w:cs="Mangal"/>
          <w:noProof/>
          <w:szCs w:val="24"/>
          <w:lang w:eastAsia="zh-CN" w:bidi="ne-NP"/>
        </w:rPr>
      </w:pPr>
      <w:r>
        <w:rPr>
          <w:noProof/>
        </w:rPr>
        <w:t>6.1.2</w:t>
      </w:r>
      <w:r>
        <w:rPr>
          <w:rFonts w:eastAsia="SimSun" w:cs="Mangal"/>
          <w:noProof/>
          <w:szCs w:val="24"/>
          <w:lang w:eastAsia="zh-CN" w:bidi="ne-NP"/>
        </w:rPr>
        <w:tab/>
      </w:r>
      <w:r>
        <w:rPr>
          <w:noProof/>
        </w:rPr>
        <w:t>Longitudinal Designs</w:t>
      </w:r>
      <w:r>
        <w:rPr>
          <w:noProof/>
        </w:rPr>
        <w:tab/>
      </w:r>
      <w:r w:rsidR="00F94AE4">
        <w:rPr>
          <w:noProof/>
        </w:rPr>
        <w:fldChar w:fldCharType="begin"/>
      </w:r>
      <w:r>
        <w:rPr>
          <w:noProof/>
        </w:rPr>
        <w:instrText xml:space="preserve"> PAGEREF _Toc332286365 \h </w:instrText>
      </w:r>
      <w:r w:rsidR="00F94AE4">
        <w:rPr>
          <w:noProof/>
        </w:rPr>
      </w:r>
      <w:r w:rsidR="00F94AE4">
        <w:rPr>
          <w:noProof/>
        </w:rPr>
        <w:fldChar w:fldCharType="separate"/>
      </w:r>
      <w:r>
        <w:rPr>
          <w:noProof/>
        </w:rPr>
        <w:t>8</w:t>
      </w:r>
      <w:r w:rsidR="00F94AE4">
        <w:rPr>
          <w:noProof/>
        </w:rPr>
        <w:fldChar w:fldCharType="end"/>
      </w:r>
    </w:p>
    <w:p w:rsidR="004303F5" w:rsidRDefault="004303F5">
      <w:pPr>
        <w:pStyle w:val="TOC3"/>
        <w:rPr>
          <w:rFonts w:eastAsia="SimSun" w:cs="Mangal"/>
          <w:noProof/>
          <w:szCs w:val="24"/>
          <w:lang w:eastAsia="zh-CN" w:bidi="ne-NP"/>
        </w:rPr>
      </w:pPr>
      <w:r>
        <w:rPr>
          <w:noProof/>
        </w:rPr>
        <w:t>6.1.3</w:t>
      </w:r>
      <w:r>
        <w:rPr>
          <w:rFonts w:eastAsia="SimSun" w:cs="Mangal"/>
          <w:noProof/>
          <w:szCs w:val="24"/>
          <w:lang w:eastAsia="zh-CN" w:bidi="ne-NP"/>
        </w:rPr>
        <w:tab/>
      </w:r>
      <w:r>
        <w:rPr>
          <w:noProof/>
        </w:rPr>
        <w:t>Retrospective and Prospective Designs</w:t>
      </w:r>
      <w:r>
        <w:rPr>
          <w:noProof/>
        </w:rPr>
        <w:tab/>
      </w:r>
      <w:r w:rsidR="00F94AE4">
        <w:rPr>
          <w:noProof/>
        </w:rPr>
        <w:fldChar w:fldCharType="begin"/>
      </w:r>
      <w:r>
        <w:rPr>
          <w:noProof/>
        </w:rPr>
        <w:instrText xml:space="preserve"> PAGEREF _Toc332286366 \h </w:instrText>
      </w:r>
      <w:r w:rsidR="00F94AE4">
        <w:rPr>
          <w:noProof/>
        </w:rPr>
      </w:r>
      <w:r w:rsidR="00F94AE4">
        <w:rPr>
          <w:noProof/>
        </w:rPr>
        <w:fldChar w:fldCharType="separate"/>
      </w:r>
      <w:r>
        <w:rPr>
          <w:noProof/>
        </w:rPr>
        <w:t>9</w:t>
      </w:r>
      <w:r w:rsidR="00F94AE4">
        <w:rPr>
          <w:noProof/>
        </w:rPr>
        <w:fldChar w:fldCharType="end"/>
      </w:r>
    </w:p>
    <w:p w:rsidR="004303F5" w:rsidRDefault="004303F5">
      <w:pPr>
        <w:pStyle w:val="TOC2"/>
        <w:rPr>
          <w:rFonts w:eastAsia="SimSun" w:cs="Mangal"/>
          <w:szCs w:val="24"/>
          <w:lang w:eastAsia="zh-CN" w:bidi="ne-NP"/>
        </w:rPr>
      </w:pPr>
      <w:r>
        <w:t>6.2</w:t>
      </w:r>
      <w:r>
        <w:rPr>
          <w:rFonts w:eastAsia="SimSun" w:cs="Mangal"/>
          <w:szCs w:val="24"/>
          <w:lang w:eastAsia="zh-CN" w:bidi="ne-NP"/>
        </w:rPr>
        <w:tab/>
      </w:r>
      <w:r>
        <w:t>Interventional Designs</w:t>
      </w:r>
      <w:r>
        <w:tab/>
      </w:r>
      <w:r w:rsidR="00F94AE4">
        <w:fldChar w:fldCharType="begin"/>
      </w:r>
      <w:r>
        <w:instrText xml:space="preserve"> PAGEREF _Toc332286367 \h </w:instrText>
      </w:r>
      <w:r w:rsidR="00F94AE4">
        <w:fldChar w:fldCharType="separate"/>
      </w:r>
      <w:r>
        <w:t>10</w:t>
      </w:r>
      <w:r w:rsidR="00F94AE4">
        <w:fldChar w:fldCharType="end"/>
      </w:r>
    </w:p>
    <w:p w:rsidR="004303F5" w:rsidRDefault="004303F5">
      <w:pPr>
        <w:pStyle w:val="TOC1"/>
        <w:rPr>
          <w:rFonts w:eastAsia="SimSun" w:cs="Mangal"/>
          <w:szCs w:val="24"/>
          <w:lang w:eastAsia="zh-CN" w:bidi="ne-NP"/>
        </w:rPr>
      </w:pPr>
      <w:r>
        <w:t>7.0</w:t>
      </w:r>
      <w:r>
        <w:rPr>
          <w:rFonts w:eastAsia="SimSun" w:cs="Mangal"/>
          <w:szCs w:val="24"/>
          <w:lang w:eastAsia="zh-CN" w:bidi="ne-NP"/>
        </w:rPr>
        <w:tab/>
      </w:r>
      <w:r>
        <w:t>Clinical Performance Study Design Considerations</w:t>
      </w:r>
      <w:r>
        <w:tab/>
      </w:r>
      <w:r w:rsidR="00F94AE4">
        <w:fldChar w:fldCharType="begin"/>
      </w:r>
      <w:r>
        <w:instrText xml:space="preserve"> PAGEREF _Toc332286368 \h </w:instrText>
      </w:r>
      <w:r w:rsidR="00F94AE4">
        <w:fldChar w:fldCharType="separate"/>
      </w:r>
      <w:r>
        <w:t>11</w:t>
      </w:r>
      <w:r w:rsidR="00F94AE4">
        <w:fldChar w:fldCharType="end"/>
      </w:r>
    </w:p>
    <w:p w:rsidR="004303F5" w:rsidRDefault="004303F5">
      <w:pPr>
        <w:pStyle w:val="TOC2"/>
        <w:rPr>
          <w:rFonts w:eastAsia="SimSun" w:cs="Mangal"/>
          <w:szCs w:val="24"/>
          <w:lang w:eastAsia="zh-CN" w:bidi="ne-NP"/>
        </w:rPr>
      </w:pPr>
      <w:r w:rsidRPr="00D81855">
        <w:rPr>
          <w:bCs/>
        </w:rPr>
        <w:t>7.1</w:t>
      </w:r>
      <w:r>
        <w:rPr>
          <w:rFonts w:eastAsia="SimSun" w:cs="Mangal"/>
          <w:szCs w:val="24"/>
          <w:lang w:eastAsia="zh-CN" w:bidi="ne-NP"/>
        </w:rPr>
        <w:tab/>
      </w:r>
      <w:r w:rsidRPr="00D81855">
        <w:rPr>
          <w:bCs/>
        </w:rPr>
        <w:t>Test purpose</w:t>
      </w:r>
      <w:r>
        <w:tab/>
      </w:r>
      <w:r w:rsidR="00F94AE4">
        <w:fldChar w:fldCharType="begin"/>
      </w:r>
      <w:r>
        <w:instrText xml:space="preserve"> PAGEREF _Toc332286369 \h </w:instrText>
      </w:r>
      <w:r w:rsidR="00F94AE4">
        <w:fldChar w:fldCharType="separate"/>
      </w:r>
      <w:r>
        <w:t>12</w:t>
      </w:r>
      <w:r w:rsidR="00F94AE4">
        <w:fldChar w:fldCharType="end"/>
      </w:r>
    </w:p>
    <w:p w:rsidR="004303F5" w:rsidRDefault="004303F5">
      <w:pPr>
        <w:pStyle w:val="TOC2"/>
        <w:rPr>
          <w:rFonts w:eastAsia="SimSun" w:cs="Mangal"/>
          <w:szCs w:val="24"/>
          <w:lang w:eastAsia="zh-CN" w:bidi="ne-NP"/>
        </w:rPr>
      </w:pPr>
      <w:r>
        <w:t>7.2</w:t>
      </w:r>
      <w:r>
        <w:rPr>
          <w:rFonts w:eastAsia="SimSun" w:cs="Mangal"/>
          <w:szCs w:val="24"/>
          <w:lang w:eastAsia="zh-CN" w:bidi="ne-NP"/>
        </w:rPr>
        <w:tab/>
      </w:r>
      <w:r>
        <w:t>Specimen Collection and Handling</w:t>
      </w:r>
      <w:r>
        <w:tab/>
      </w:r>
      <w:r w:rsidR="00F94AE4">
        <w:fldChar w:fldCharType="begin"/>
      </w:r>
      <w:r>
        <w:instrText xml:space="preserve"> PAGEREF _Toc332286370 \h </w:instrText>
      </w:r>
      <w:r w:rsidR="00F94AE4">
        <w:fldChar w:fldCharType="separate"/>
      </w:r>
      <w:r>
        <w:t>12</w:t>
      </w:r>
      <w:r w:rsidR="00F94AE4">
        <w:fldChar w:fldCharType="end"/>
      </w:r>
    </w:p>
    <w:p w:rsidR="004303F5" w:rsidRDefault="004303F5">
      <w:pPr>
        <w:pStyle w:val="TOC2"/>
        <w:rPr>
          <w:rFonts w:eastAsia="SimSun" w:cs="Mangal"/>
          <w:szCs w:val="24"/>
          <w:lang w:eastAsia="zh-CN" w:bidi="ne-NP"/>
        </w:rPr>
      </w:pPr>
      <w:r>
        <w:t>7.3</w:t>
      </w:r>
      <w:r>
        <w:rPr>
          <w:rFonts w:eastAsia="SimSun" w:cs="Mangal"/>
          <w:szCs w:val="24"/>
          <w:lang w:eastAsia="zh-CN" w:bidi="ne-NP"/>
        </w:rPr>
        <w:tab/>
      </w:r>
      <w:r>
        <w:t>Clinical Performance Study Site Location</w:t>
      </w:r>
      <w:r>
        <w:tab/>
      </w:r>
      <w:r w:rsidR="00F94AE4">
        <w:fldChar w:fldCharType="begin"/>
      </w:r>
      <w:r>
        <w:instrText xml:space="preserve"> PAGEREF _Toc332286371 \h </w:instrText>
      </w:r>
      <w:r w:rsidR="00F94AE4">
        <w:fldChar w:fldCharType="separate"/>
      </w:r>
      <w:r>
        <w:t>13</w:t>
      </w:r>
      <w:r w:rsidR="00F94AE4">
        <w:fldChar w:fldCharType="end"/>
      </w:r>
    </w:p>
    <w:p w:rsidR="004303F5" w:rsidRDefault="004303F5">
      <w:pPr>
        <w:pStyle w:val="TOC2"/>
        <w:rPr>
          <w:rFonts w:eastAsia="SimSun" w:cs="Mangal"/>
          <w:szCs w:val="24"/>
          <w:lang w:eastAsia="zh-CN" w:bidi="ne-NP"/>
        </w:rPr>
      </w:pPr>
      <w:r>
        <w:t>7.4</w:t>
      </w:r>
      <w:r>
        <w:rPr>
          <w:rFonts w:eastAsia="SimSun" w:cs="Mangal"/>
          <w:szCs w:val="24"/>
          <w:lang w:eastAsia="zh-CN" w:bidi="ne-NP"/>
        </w:rPr>
        <w:tab/>
      </w:r>
      <w:r>
        <w:t>Statistical Design</w:t>
      </w:r>
      <w:r>
        <w:tab/>
      </w:r>
      <w:r w:rsidR="00F94AE4">
        <w:fldChar w:fldCharType="begin"/>
      </w:r>
      <w:r>
        <w:instrText xml:space="preserve"> PAGEREF _Toc332286372 \h </w:instrText>
      </w:r>
      <w:r w:rsidR="00F94AE4">
        <w:fldChar w:fldCharType="separate"/>
      </w:r>
      <w:r>
        <w:t>13</w:t>
      </w:r>
      <w:r w:rsidR="00F94AE4">
        <w:fldChar w:fldCharType="end"/>
      </w:r>
    </w:p>
    <w:p w:rsidR="004303F5" w:rsidRDefault="004303F5">
      <w:pPr>
        <w:pStyle w:val="TOC2"/>
        <w:rPr>
          <w:rFonts w:eastAsia="SimSun" w:cs="Mangal"/>
          <w:szCs w:val="24"/>
          <w:lang w:eastAsia="zh-CN" w:bidi="ne-NP"/>
        </w:rPr>
      </w:pPr>
      <w:r>
        <w:t>7.5</w:t>
      </w:r>
      <w:r>
        <w:rPr>
          <w:rFonts w:eastAsia="SimSun" w:cs="Mangal"/>
          <w:szCs w:val="24"/>
          <w:lang w:eastAsia="zh-CN" w:bidi="ne-NP"/>
        </w:rPr>
        <w:tab/>
      </w:r>
      <w:r>
        <w:t>Potential Risks</w:t>
      </w:r>
      <w:r>
        <w:tab/>
      </w:r>
      <w:r w:rsidR="00F94AE4">
        <w:fldChar w:fldCharType="begin"/>
      </w:r>
      <w:r>
        <w:instrText xml:space="preserve"> PAGEREF _Toc332286373 \h </w:instrText>
      </w:r>
      <w:r w:rsidR="00F94AE4">
        <w:fldChar w:fldCharType="separate"/>
      </w:r>
      <w:r>
        <w:t>14</w:t>
      </w:r>
      <w:r w:rsidR="00F94AE4">
        <w:fldChar w:fldCharType="end"/>
      </w:r>
    </w:p>
    <w:p w:rsidR="004303F5" w:rsidRDefault="004303F5">
      <w:pPr>
        <w:pStyle w:val="TOC2"/>
        <w:rPr>
          <w:rFonts w:eastAsia="SimSun" w:cs="Mangal"/>
          <w:szCs w:val="24"/>
          <w:lang w:eastAsia="zh-CN" w:bidi="ne-NP"/>
        </w:rPr>
      </w:pPr>
      <w:r>
        <w:t>7.6</w:t>
      </w:r>
      <w:r>
        <w:rPr>
          <w:rFonts w:eastAsia="SimSun" w:cs="Mangal"/>
          <w:szCs w:val="24"/>
          <w:lang w:eastAsia="zh-CN" w:bidi="ne-NP"/>
        </w:rPr>
        <w:tab/>
      </w:r>
      <w:r>
        <w:t>Ethical Considerations for Clinical Performance Studies</w:t>
      </w:r>
      <w:r>
        <w:tab/>
      </w:r>
      <w:r w:rsidR="00F94AE4">
        <w:fldChar w:fldCharType="begin"/>
      </w:r>
      <w:r>
        <w:instrText xml:space="preserve"> PAGEREF _Toc332286374 \h </w:instrText>
      </w:r>
      <w:r w:rsidR="00F94AE4">
        <w:fldChar w:fldCharType="separate"/>
      </w:r>
      <w:r>
        <w:t>14</w:t>
      </w:r>
      <w:r w:rsidR="00F94AE4">
        <w:fldChar w:fldCharType="end"/>
      </w:r>
    </w:p>
    <w:p w:rsidR="004303F5" w:rsidRDefault="004303F5">
      <w:pPr>
        <w:pStyle w:val="TOC3"/>
        <w:rPr>
          <w:rFonts w:eastAsia="SimSun" w:cs="Mangal"/>
          <w:noProof/>
          <w:szCs w:val="24"/>
          <w:lang w:eastAsia="zh-CN" w:bidi="ne-NP"/>
        </w:rPr>
      </w:pPr>
      <w:r>
        <w:rPr>
          <w:noProof/>
        </w:rPr>
        <w:t>7.6.1</w:t>
      </w:r>
      <w:r>
        <w:rPr>
          <w:rFonts w:eastAsia="SimSun" w:cs="Mangal"/>
          <w:noProof/>
          <w:szCs w:val="24"/>
          <w:lang w:eastAsia="zh-CN" w:bidi="ne-NP"/>
        </w:rPr>
        <w:tab/>
      </w:r>
      <w:r>
        <w:rPr>
          <w:noProof/>
        </w:rPr>
        <w:t>Informed Consent</w:t>
      </w:r>
      <w:r>
        <w:rPr>
          <w:noProof/>
        </w:rPr>
        <w:tab/>
      </w:r>
      <w:r w:rsidR="00F94AE4">
        <w:rPr>
          <w:noProof/>
        </w:rPr>
        <w:fldChar w:fldCharType="begin"/>
      </w:r>
      <w:r>
        <w:rPr>
          <w:noProof/>
        </w:rPr>
        <w:instrText xml:space="preserve"> PAGEREF _Toc332286375 \h </w:instrText>
      </w:r>
      <w:r w:rsidR="00F94AE4">
        <w:rPr>
          <w:noProof/>
        </w:rPr>
      </w:r>
      <w:r w:rsidR="00F94AE4">
        <w:rPr>
          <w:noProof/>
        </w:rPr>
        <w:fldChar w:fldCharType="separate"/>
      </w:r>
      <w:r>
        <w:rPr>
          <w:noProof/>
        </w:rPr>
        <w:t>15</w:t>
      </w:r>
      <w:r w:rsidR="00F94AE4">
        <w:rPr>
          <w:noProof/>
        </w:rPr>
        <w:fldChar w:fldCharType="end"/>
      </w:r>
    </w:p>
    <w:p w:rsidR="004303F5" w:rsidRDefault="004303F5">
      <w:pPr>
        <w:pStyle w:val="TOC3"/>
        <w:rPr>
          <w:rFonts w:eastAsia="SimSun" w:cs="Mangal"/>
          <w:noProof/>
          <w:szCs w:val="24"/>
          <w:lang w:eastAsia="zh-CN" w:bidi="ne-NP"/>
        </w:rPr>
      </w:pPr>
      <w:r>
        <w:rPr>
          <w:noProof/>
        </w:rPr>
        <w:t>7.6.2</w:t>
      </w:r>
      <w:r>
        <w:rPr>
          <w:rFonts w:eastAsia="SimSun" w:cs="Mangal"/>
          <w:noProof/>
          <w:szCs w:val="24"/>
          <w:lang w:eastAsia="zh-CN" w:bidi="ne-NP"/>
        </w:rPr>
        <w:tab/>
      </w:r>
      <w:r>
        <w:rPr>
          <w:noProof/>
        </w:rPr>
        <w:t>Ethics Committee Involvement</w:t>
      </w:r>
      <w:r>
        <w:rPr>
          <w:noProof/>
        </w:rPr>
        <w:tab/>
      </w:r>
      <w:r w:rsidR="00F94AE4">
        <w:rPr>
          <w:noProof/>
        </w:rPr>
        <w:fldChar w:fldCharType="begin"/>
      </w:r>
      <w:r>
        <w:rPr>
          <w:noProof/>
        </w:rPr>
        <w:instrText xml:space="preserve"> PAGEREF _Toc332286376 \h </w:instrText>
      </w:r>
      <w:r w:rsidR="00F94AE4">
        <w:rPr>
          <w:noProof/>
        </w:rPr>
      </w:r>
      <w:r w:rsidR="00F94AE4">
        <w:rPr>
          <w:noProof/>
        </w:rPr>
        <w:fldChar w:fldCharType="separate"/>
      </w:r>
      <w:r>
        <w:rPr>
          <w:noProof/>
        </w:rPr>
        <w:t>15</w:t>
      </w:r>
      <w:r w:rsidR="00F94AE4">
        <w:rPr>
          <w:noProof/>
        </w:rPr>
        <w:fldChar w:fldCharType="end"/>
      </w:r>
    </w:p>
    <w:p w:rsidR="004303F5" w:rsidRDefault="004303F5">
      <w:pPr>
        <w:pStyle w:val="TOC3"/>
        <w:rPr>
          <w:rFonts w:eastAsia="SimSun" w:cs="Mangal"/>
          <w:noProof/>
          <w:szCs w:val="24"/>
          <w:lang w:eastAsia="zh-CN" w:bidi="ne-NP"/>
        </w:rPr>
      </w:pPr>
      <w:r>
        <w:rPr>
          <w:noProof/>
        </w:rPr>
        <w:t>7.6.3</w:t>
      </w:r>
      <w:r>
        <w:rPr>
          <w:rFonts w:eastAsia="SimSun" w:cs="Mangal"/>
          <w:noProof/>
          <w:szCs w:val="24"/>
          <w:lang w:eastAsia="zh-CN" w:bidi="ne-NP"/>
        </w:rPr>
        <w:tab/>
      </w:r>
      <w:r>
        <w:rPr>
          <w:noProof/>
        </w:rPr>
        <w:t>Communicating Test Results Outside of the Study</w:t>
      </w:r>
      <w:r>
        <w:rPr>
          <w:noProof/>
        </w:rPr>
        <w:tab/>
      </w:r>
      <w:r w:rsidR="00F94AE4">
        <w:rPr>
          <w:noProof/>
        </w:rPr>
        <w:fldChar w:fldCharType="begin"/>
      </w:r>
      <w:r>
        <w:rPr>
          <w:noProof/>
        </w:rPr>
        <w:instrText xml:space="preserve"> PAGEREF _Toc332286377 \h </w:instrText>
      </w:r>
      <w:r w:rsidR="00F94AE4">
        <w:rPr>
          <w:noProof/>
        </w:rPr>
      </w:r>
      <w:r w:rsidR="00F94AE4">
        <w:rPr>
          <w:noProof/>
        </w:rPr>
        <w:fldChar w:fldCharType="separate"/>
      </w:r>
      <w:r>
        <w:rPr>
          <w:noProof/>
        </w:rPr>
        <w:t>15</w:t>
      </w:r>
      <w:r w:rsidR="00F94AE4">
        <w:rPr>
          <w:noProof/>
        </w:rPr>
        <w:fldChar w:fldCharType="end"/>
      </w:r>
    </w:p>
    <w:p w:rsidR="004303F5" w:rsidRDefault="004303F5">
      <w:pPr>
        <w:pStyle w:val="TOC1"/>
        <w:rPr>
          <w:rFonts w:eastAsia="SimSun" w:cs="Mangal"/>
          <w:szCs w:val="24"/>
          <w:lang w:eastAsia="zh-CN" w:bidi="ne-NP"/>
        </w:rPr>
      </w:pPr>
      <w:r>
        <w:t>8.0</w:t>
      </w:r>
      <w:r>
        <w:rPr>
          <w:rFonts w:eastAsia="SimSun" w:cs="Mangal"/>
          <w:szCs w:val="24"/>
          <w:lang w:eastAsia="zh-CN" w:bidi="ne-NP"/>
        </w:rPr>
        <w:tab/>
      </w:r>
      <w:r>
        <w:t>Clinical Performance Study Protocol</w:t>
      </w:r>
      <w:r>
        <w:tab/>
      </w:r>
      <w:r w:rsidR="00F94AE4">
        <w:fldChar w:fldCharType="begin"/>
      </w:r>
      <w:r>
        <w:instrText xml:space="preserve"> PAGEREF _Toc332286378 \h </w:instrText>
      </w:r>
      <w:r w:rsidR="00F94AE4">
        <w:fldChar w:fldCharType="separate"/>
      </w:r>
      <w:r>
        <w:t>16</w:t>
      </w:r>
      <w:r w:rsidR="00F94AE4">
        <w:fldChar w:fldCharType="end"/>
      </w:r>
    </w:p>
    <w:p w:rsidR="004303F5" w:rsidRDefault="004303F5">
      <w:pPr>
        <w:pStyle w:val="TOC1"/>
        <w:rPr>
          <w:rFonts w:eastAsia="SimSun" w:cs="Mangal"/>
          <w:szCs w:val="24"/>
          <w:lang w:eastAsia="zh-CN" w:bidi="ne-NP"/>
        </w:rPr>
      </w:pPr>
      <w:r>
        <w:t>9.0</w:t>
      </w:r>
      <w:r>
        <w:rPr>
          <w:rFonts w:eastAsia="SimSun" w:cs="Mangal"/>
          <w:szCs w:val="24"/>
          <w:lang w:eastAsia="zh-CN" w:bidi="ne-NP"/>
        </w:rPr>
        <w:tab/>
      </w:r>
      <w:r>
        <w:t>Conduct of Clinical Performance Studies</w:t>
      </w:r>
      <w:r>
        <w:tab/>
      </w:r>
      <w:r w:rsidR="00F94AE4">
        <w:fldChar w:fldCharType="begin"/>
      </w:r>
      <w:r>
        <w:instrText xml:space="preserve"> PAGEREF _Toc332286379 \h </w:instrText>
      </w:r>
      <w:r w:rsidR="00F94AE4">
        <w:fldChar w:fldCharType="separate"/>
      </w:r>
      <w:r>
        <w:t>16</w:t>
      </w:r>
      <w:r w:rsidR="00F94AE4">
        <w:fldChar w:fldCharType="end"/>
      </w:r>
    </w:p>
    <w:p w:rsidR="004303F5" w:rsidRDefault="004303F5">
      <w:pPr>
        <w:pStyle w:val="TOC1"/>
        <w:rPr>
          <w:rFonts w:eastAsia="SimSun" w:cs="Mangal"/>
          <w:szCs w:val="24"/>
          <w:lang w:eastAsia="zh-CN" w:bidi="ne-NP"/>
        </w:rPr>
      </w:pPr>
      <w:r>
        <w:t>10.0</w:t>
      </w:r>
      <w:r>
        <w:rPr>
          <w:rFonts w:eastAsia="SimSun" w:cs="Mangal"/>
          <w:szCs w:val="24"/>
          <w:lang w:eastAsia="zh-CN" w:bidi="ne-NP"/>
        </w:rPr>
        <w:tab/>
      </w:r>
      <w:r>
        <w:t>Clinical Performance Study Report</w:t>
      </w:r>
      <w:r>
        <w:tab/>
      </w:r>
      <w:r w:rsidR="00F94AE4">
        <w:fldChar w:fldCharType="begin"/>
      </w:r>
      <w:r>
        <w:instrText xml:space="preserve"> PAGEREF _Toc332286380 \h </w:instrText>
      </w:r>
      <w:r w:rsidR="00F94AE4">
        <w:fldChar w:fldCharType="separate"/>
      </w:r>
      <w:r>
        <w:t>17</w:t>
      </w:r>
      <w:r w:rsidR="00F94AE4">
        <w:fldChar w:fldCharType="end"/>
      </w:r>
    </w:p>
    <w:p w:rsidR="004303F5" w:rsidRDefault="004303F5">
      <w:pPr>
        <w:pStyle w:val="TOC1"/>
        <w:rPr>
          <w:rFonts w:eastAsia="SimSun" w:cs="Mangal"/>
          <w:szCs w:val="24"/>
          <w:lang w:eastAsia="zh-CN" w:bidi="ne-NP"/>
        </w:rPr>
      </w:pPr>
      <w:r>
        <w:t>Appendix</w:t>
      </w:r>
      <w:r>
        <w:tab/>
      </w:r>
      <w:r w:rsidR="00F94AE4">
        <w:fldChar w:fldCharType="begin"/>
      </w:r>
      <w:r>
        <w:instrText xml:space="preserve"> PAGEREF _Toc332286381 \h </w:instrText>
      </w:r>
      <w:r w:rsidR="00F94AE4">
        <w:fldChar w:fldCharType="separate"/>
      </w:r>
      <w:r>
        <w:t>18</w:t>
      </w:r>
      <w:r w:rsidR="00F94AE4">
        <w:fldChar w:fldCharType="end"/>
      </w:r>
    </w:p>
    <w:p w:rsidR="00B9381E" w:rsidRPr="008D3C72" w:rsidRDefault="00F94AE4" w:rsidP="00636EEF">
      <w:pPr>
        <w:rPr>
          <w:b/>
          <w:bCs/>
          <w:sz w:val="28"/>
          <w:szCs w:val="28"/>
        </w:rPr>
      </w:pPr>
      <w:r>
        <w:rPr>
          <w:szCs w:val="24"/>
        </w:rPr>
        <w:fldChar w:fldCharType="end"/>
      </w:r>
      <w:r w:rsidR="00B9381E">
        <w:br w:type="page"/>
      </w:r>
      <w:bookmarkStart w:id="0" w:name="_Toc128308414"/>
      <w:bookmarkStart w:id="1" w:name="_Toc261520057"/>
      <w:bookmarkStart w:id="2" w:name="_Toc261520085"/>
      <w:r w:rsidR="00B9381E" w:rsidRPr="008D3C72">
        <w:rPr>
          <w:b/>
          <w:bCs/>
          <w:sz w:val="28"/>
          <w:szCs w:val="28"/>
        </w:rPr>
        <w:lastRenderedPageBreak/>
        <w:t>Preface</w:t>
      </w:r>
      <w:bookmarkEnd w:id="0"/>
      <w:bookmarkEnd w:id="1"/>
      <w:bookmarkEnd w:id="2"/>
    </w:p>
    <w:p w:rsidR="00B9381E" w:rsidRDefault="00B9381E" w:rsidP="00D93A42">
      <w:pPr>
        <w:spacing w:before="120" w:after="120"/>
      </w:pPr>
      <w:r>
        <w:t>The document herein was produced by the Global Harmonization Task Force, a voluntary group of representatives from medical device regulatory agencies and the regulated industry.</w:t>
      </w:r>
      <w:r w:rsidR="00B37F48">
        <w:t xml:space="preserve"> </w:t>
      </w:r>
      <w:r>
        <w:t>The document is intended to provide non-binding guidance for use in the regulation of medical devices, and has been subject to consultation throughout its development.</w:t>
      </w:r>
    </w:p>
    <w:p w:rsidR="00B9381E" w:rsidRDefault="00B9381E" w:rsidP="00D93A42">
      <w:pPr>
        <w:spacing w:before="120" w:after="120"/>
        <w:sectPr w:rsidR="00B9381E" w:rsidSect="008B43F4">
          <w:headerReference w:type="default" r:id="rId9"/>
          <w:footerReference w:type="default" r:id="rId10"/>
          <w:pgSz w:w="12240" w:h="15840" w:code="1"/>
          <w:pgMar w:top="1138" w:right="1440" w:bottom="1440" w:left="1440" w:header="720" w:footer="720" w:gutter="0"/>
          <w:cols w:space="720"/>
          <w:docGrid w:linePitch="326"/>
        </w:sectPr>
      </w:pPr>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Global Harmonization Task Force.</w:t>
      </w:r>
    </w:p>
    <w:p w:rsidR="00B9381E" w:rsidRDefault="00B9381E" w:rsidP="00B52403">
      <w:pPr>
        <w:pStyle w:val="Heading1"/>
        <w:numPr>
          <w:ilvl w:val="0"/>
          <w:numId w:val="1"/>
        </w:numPr>
      </w:pPr>
      <w:bookmarkStart w:id="3" w:name="_Toc301712607"/>
      <w:bookmarkStart w:id="4" w:name="_Toc301712721"/>
      <w:bookmarkStart w:id="5" w:name="_Toc301712835"/>
      <w:bookmarkStart w:id="6" w:name="_Toc301712950"/>
      <w:bookmarkStart w:id="7" w:name="_Toc302023190"/>
      <w:bookmarkStart w:id="8" w:name="_Toc302023304"/>
      <w:bookmarkStart w:id="9" w:name="_Toc128308415"/>
      <w:bookmarkStart w:id="10" w:name="_Toc261520058"/>
      <w:bookmarkStart w:id="11" w:name="_Toc261520086"/>
      <w:bookmarkStart w:id="12" w:name="_Toc332286357"/>
      <w:bookmarkEnd w:id="3"/>
      <w:bookmarkEnd w:id="4"/>
      <w:bookmarkEnd w:id="5"/>
      <w:bookmarkEnd w:id="6"/>
      <w:bookmarkEnd w:id="7"/>
      <w:bookmarkEnd w:id="8"/>
      <w:r>
        <w:lastRenderedPageBreak/>
        <w:t>Introduction</w:t>
      </w:r>
      <w:bookmarkEnd w:id="9"/>
      <w:bookmarkEnd w:id="10"/>
      <w:bookmarkEnd w:id="11"/>
      <w:bookmarkEnd w:id="12"/>
    </w:p>
    <w:p w:rsidR="0065243F" w:rsidRPr="00F61A1A" w:rsidRDefault="0065243F" w:rsidP="009D6982">
      <w:pPr>
        <w:spacing w:before="120" w:after="120"/>
      </w:pPr>
      <w:r w:rsidRPr="00F61A1A">
        <w:t xml:space="preserve">When placing an IVD medical device on the market the manufacturer must have demonstrated through the use of appropriate conformity assessment procedures that the device complies with </w:t>
      </w:r>
      <w:r w:rsidR="006D4B1B">
        <w:t xml:space="preserve">GHTF’s </w:t>
      </w:r>
      <w:r w:rsidRPr="00F61A1A">
        <w:t>Essential Principles of Safety and Performance of Medical Devices</w:t>
      </w:r>
      <w:r w:rsidR="0074488C">
        <w:t xml:space="preserve"> (EPs)</w:t>
      </w:r>
      <w:r w:rsidRPr="00F61A1A">
        <w:t xml:space="preserve">. As IVD medical devices are used </w:t>
      </w:r>
      <w:r w:rsidR="00E93CFF">
        <w:t xml:space="preserve">for the examination of </w:t>
      </w:r>
      <w:r w:rsidRPr="00F61A1A">
        <w:t xml:space="preserve">specimens </w:t>
      </w:r>
      <w:r w:rsidR="00E93CFF">
        <w:t>derived from the human body</w:t>
      </w:r>
      <w:r w:rsidRPr="00F61A1A">
        <w:t>, the characteristics of clinical evidence are different from medical devices other than IVD medical devices.</w:t>
      </w:r>
    </w:p>
    <w:p w:rsidR="0065243F" w:rsidRPr="00F61A1A" w:rsidRDefault="0065243F" w:rsidP="009D6982">
      <w:pPr>
        <w:spacing w:before="120" w:after="120"/>
      </w:pPr>
      <w:r w:rsidRPr="00F61A1A">
        <w:t xml:space="preserve">Generally, from a clinical perspective, it is expected that the manufacturer has demonstrated the </w:t>
      </w:r>
      <w:r w:rsidR="00A22BAD">
        <w:t xml:space="preserve">IVD medical </w:t>
      </w:r>
      <w:r w:rsidRPr="00F61A1A">
        <w:t>device achieves its intended performance during normal conditions of use</w:t>
      </w:r>
      <w:r w:rsidR="00F41DA4">
        <w:t xml:space="preserve"> by the intended user</w:t>
      </w:r>
      <w:r w:rsidRPr="00F61A1A">
        <w:t xml:space="preserve"> in the intended environment (e.g. </w:t>
      </w:r>
      <w:r w:rsidR="00B579C3">
        <w:t xml:space="preserve">laboratories, </w:t>
      </w:r>
      <w:r w:rsidR="00F41DA4">
        <w:t>physician</w:t>
      </w:r>
      <w:r w:rsidR="00AF119F">
        <w:t>’s</w:t>
      </w:r>
      <w:r w:rsidR="00F41DA4">
        <w:t xml:space="preserve"> office</w:t>
      </w:r>
      <w:r w:rsidR="00E03C1D">
        <w:t>s</w:t>
      </w:r>
      <w:r w:rsidR="00F41DA4">
        <w:t>, healthcare centers</w:t>
      </w:r>
      <w:r w:rsidRPr="00F61A1A">
        <w:t>, home environment</w:t>
      </w:r>
      <w:r w:rsidR="00E03C1D">
        <w:t>s</w:t>
      </w:r>
      <w:r w:rsidRPr="00F61A1A">
        <w:t>)</w:t>
      </w:r>
      <w:r w:rsidR="00036399">
        <w:t xml:space="preserve"> and in the intended use population</w:t>
      </w:r>
      <w:r w:rsidRPr="00F61A1A">
        <w:t xml:space="preserve">. </w:t>
      </w:r>
    </w:p>
    <w:p w:rsidR="001E06C6" w:rsidRPr="003B722B" w:rsidRDefault="001E06C6" w:rsidP="00104CF5">
      <w:pPr>
        <w:tabs>
          <w:tab w:val="left" w:pos="540"/>
        </w:tabs>
        <w:spacing w:before="120" w:after="120"/>
      </w:pPr>
      <w:r w:rsidRPr="003B722B">
        <w:t xml:space="preserve">The </w:t>
      </w:r>
      <w:r w:rsidR="00E57440" w:rsidRPr="003B722B">
        <w:t xml:space="preserve">objective </w:t>
      </w:r>
      <w:r w:rsidR="003B722B" w:rsidRPr="003B722B">
        <w:t xml:space="preserve">of a clinical performance study is </w:t>
      </w:r>
      <w:r w:rsidRPr="003B722B">
        <w:t xml:space="preserve">to evaluate whether the </w:t>
      </w:r>
      <w:r w:rsidR="003B722B" w:rsidRPr="003B722B">
        <w:t xml:space="preserve">IVD medical </w:t>
      </w:r>
      <w:r w:rsidRPr="003B722B">
        <w:t xml:space="preserve">device is suitable </w:t>
      </w:r>
      <w:r w:rsidR="00D82244" w:rsidRPr="00293D63">
        <w:t xml:space="preserve">(i.e. </w:t>
      </w:r>
      <w:r w:rsidR="00B850EF" w:rsidRPr="00293D63">
        <w:t xml:space="preserve">meets the relevant </w:t>
      </w:r>
      <w:r w:rsidR="00D93F05" w:rsidRPr="00293D63">
        <w:t>Essential Principles</w:t>
      </w:r>
      <w:r w:rsidR="00B850EF" w:rsidRPr="00293D63">
        <w:t xml:space="preserve"> of </w:t>
      </w:r>
      <w:r w:rsidR="009D01BB" w:rsidRPr="00293D63">
        <w:t>S</w:t>
      </w:r>
      <w:r w:rsidR="00B850EF" w:rsidRPr="00293D63">
        <w:t xml:space="preserve">afety and </w:t>
      </w:r>
      <w:r w:rsidR="009D01BB" w:rsidRPr="00293D63">
        <w:t>P</w:t>
      </w:r>
      <w:r w:rsidR="00B850EF" w:rsidRPr="00293D63">
        <w:t>erformance</w:t>
      </w:r>
      <w:r w:rsidR="00E647AE" w:rsidRPr="00293D63">
        <w:t>)</w:t>
      </w:r>
      <w:r w:rsidR="00D82244">
        <w:t xml:space="preserve"> </w:t>
      </w:r>
      <w:r w:rsidRPr="003B722B">
        <w:t>for the purpose(s) and the populati</w:t>
      </w:r>
      <w:r w:rsidR="003B722B" w:rsidRPr="003B722B">
        <w:t>on(s) for which it is intended, when this cannot be addressed with the analytical performance</w:t>
      </w:r>
      <w:r w:rsidR="00BB4B1A">
        <w:t xml:space="preserve"> data</w:t>
      </w:r>
      <w:r w:rsidR="003B722B" w:rsidRPr="003B722B">
        <w:t>, literature and</w:t>
      </w:r>
      <w:r w:rsidR="00C62725">
        <w:t>/or</w:t>
      </w:r>
      <w:r w:rsidR="003B722B" w:rsidRPr="003B722B">
        <w:t xml:space="preserve"> experience</w:t>
      </w:r>
      <w:r w:rsidR="00B94DCA">
        <w:t xml:space="preserve"> gained by routine diagnostic testing</w:t>
      </w:r>
      <w:r w:rsidR="003B722B" w:rsidRPr="003B722B">
        <w:t>.</w:t>
      </w:r>
    </w:p>
    <w:p w:rsidR="00B9381E" w:rsidRPr="00FD05B4" w:rsidRDefault="00B9381E" w:rsidP="00104CF5">
      <w:pPr>
        <w:spacing w:before="120" w:after="120"/>
        <w:rPr>
          <w:lang w:val="en-GB"/>
        </w:rPr>
      </w:pPr>
      <w:r w:rsidRPr="00FD05B4">
        <w:rPr>
          <w:lang w:val="en-GB"/>
        </w:rPr>
        <w:t xml:space="preserve">In </w:t>
      </w:r>
      <w:r w:rsidR="00187980">
        <w:rPr>
          <w:lang w:val="en-GB"/>
        </w:rPr>
        <w:t>general, clinical performance studies</w:t>
      </w:r>
      <w:r w:rsidRPr="00FD05B4">
        <w:rPr>
          <w:lang w:val="en-GB"/>
        </w:rPr>
        <w:t xml:space="preserve"> must </w:t>
      </w:r>
      <w:r w:rsidR="003E24E1">
        <w:rPr>
          <w:lang w:val="en-GB"/>
        </w:rPr>
        <w:t xml:space="preserve">be </w:t>
      </w:r>
      <w:r w:rsidR="00F563F8">
        <w:rPr>
          <w:lang w:val="en-GB"/>
        </w:rPr>
        <w:t xml:space="preserve">designed according to, and </w:t>
      </w:r>
      <w:r w:rsidRPr="00FD05B4">
        <w:rPr>
          <w:lang w:val="en-GB"/>
        </w:rPr>
        <w:t>take into account</w:t>
      </w:r>
      <w:r w:rsidR="00A1394B">
        <w:rPr>
          <w:lang w:val="en-GB"/>
        </w:rPr>
        <w:t xml:space="preserve"> </w:t>
      </w:r>
      <w:r w:rsidRPr="00FD05B4">
        <w:rPr>
          <w:lang w:val="en-GB"/>
        </w:rPr>
        <w:t xml:space="preserve">scientific principles underlying the collection of clinical </w:t>
      </w:r>
      <w:r w:rsidR="003E24E1">
        <w:rPr>
          <w:lang w:val="en-GB"/>
        </w:rPr>
        <w:t xml:space="preserve">performance </w:t>
      </w:r>
      <w:r w:rsidRPr="00FD05B4">
        <w:rPr>
          <w:lang w:val="en-GB"/>
        </w:rPr>
        <w:t xml:space="preserve">data along with accepted </w:t>
      </w:r>
      <w:r w:rsidR="008B4C98">
        <w:rPr>
          <w:lang w:val="en-GB"/>
        </w:rPr>
        <w:t xml:space="preserve">operational and </w:t>
      </w:r>
      <w:r w:rsidRPr="00FD05B4">
        <w:rPr>
          <w:lang w:val="en-GB"/>
        </w:rPr>
        <w:t>ethical standards surrounding the use of human subjects.</w:t>
      </w:r>
      <w:r w:rsidR="00B37F48" w:rsidRPr="00FD05B4">
        <w:t xml:space="preserve"> </w:t>
      </w:r>
      <w:r w:rsidR="00FD05B4" w:rsidRPr="00FD05B4">
        <w:t>The clinical performance study</w:t>
      </w:r>
      <w:r w:rsidR="001E06C6" w:rsidRPr="00FD05B4">
        <w:t xml:space="preserve"> objectives and design should be documented in a clinical </w:t>
      </w:r>
      <w:r w:rsidR="00FD05B4" w:rsidRPr="00FD05B4">
        <w:t xml:space="preserve">performance study </w:t>
      </w:r>
      <w:r w:rsidR="007264E7" w:rsidRPr="00FD05B4">
        <w:t>p</w:t>
      </w:r>
      <w:r w:rsidR="001E7C85">
        <w:t>rotocol</w:t>
      </w:r>
      <w:r w:rsidR="001E06C6" w:rsidRPr="00FD05B4">
        <w:t>.</w:t>
      </w:r>
      <w:r w:rsidR="008B4C98">
        <w:t xml:space="preserve"> The data collection process must ensure </w:t>
      </w:r>
      <w:r w:rsidR="00D20CC0">
        <w:t xml:space="preserve">patient safety and </w:t>
      </w:r>
      <w:r w:rsidR="008B4C98">
        <w:t xml:space="preserve">data integrity along the entire process of the </w:t>
      </w:r>
      <w:r w:rsidR="00187980">
        <w:t>study</w:t>
      </w:r>
      <w:r w:rsidR="008B4C98">
        <w:t>.</w:t>
      </w:r>
    </w:p>
    <w:p w:rsidR="00B9381E" w:rsidRDefault="00B9381E" w:rsidP="00B52403">
      <w:pPr>
        <w:pStyle w:val="Heading1"/>
        <w:numPr>
          <w:ilvl w:val="0"/>
          <w:numId w:val="1"/>
        </w:numPr>
      </w:pPr>
      <w:bookmarkStart w:id="13" w:name="_Toc128308416"/>
      <w:bookmarkStart w:id="14" w:name="_Toc261520059"/>
      <w:bookmarkStart w:id="15" w:name="_Toc261520087"/>
      <w:bookmarkStart w:id="16" w:name="_Toc332286358"/>
      <w:r w:rsidRPr="00F948C9">
        <w:t>Scope</w:t>
      </w:r>
      <w:bookmarkEnd w:id="13"/>
      <w:bookmarkEnd w:id="14"/>
      <w:bookmarkEnd w:id="15"/>
      <w:bookmarkEnd w:id="16"/>
    </w:p>
    <w:p w:rsidR="003B722B" w:rsidRPr="00FD05B4" w:rsidRDefault="00B9381E" w:rsidP="00FD05B4">
      <w:pPr>
        <w:pStyle w:val="NormalWeb"/>
        <w:spacing w:before="120" w:beforeAutospacing="0" w:after="120" w:afterAutospacing="0"/>
      </w:pPr>
      <w:r w:rsidRPr="00FD05B4">
        <w:t>The primary purpose of this document is to provide guidance</w:t>
      </w:r>
      <w:r w:rsidR="00575178">
        <w:t xml:space="preserve"> for manufacturers of</w:t>
      </w:r>
      <w:r w:rsidR="00DD4A4A">
        <w:t xml:space="preserve"> IVD medical devices</w:t>
      </w:r>
      <w:r w:rsidR="00575178">
        <w:t>, Regulatory Authori</w:t>
      </w:r>
      <w:r w:rsidR="00697957">
        <w:t>ti</w:t>
      </w:r>
      <w:r w:rsidR="00575178">
        <w:t>es</w:t>
      </w:r>
      <w:r w:rsidR="005555A9">
        <w:t xml:space="preserve"> </w:t>
      </w:r>
      <w:r w:rsidR="00575178">
        <w:t>(RA) and Conformity Assess</w:t>
      </w:r>
      <w:r w:rsidR="005555A9">
        <w:t>ment B</w:t>
      </w:r>
      <w:r w:rsidR="00575178">
        <w:t>odies (CAB)</w:t>
      </w:r>
      <w:r w:rsidRPr="00FD05B4">
        <w:t xml:space="preserve"> in relation to:</w:t>
      </w:r>
    </w:p>
    <w:p w:rsidR="00DD4A4A" w:rsidRPr="00DD4A4A" w:rsidRDefault="009A13A0" w:rsidP="00DD4A4A">
      <w:pPr>
        <w:numPr>
          <w:ilvl w:val="0"/>
          <w:numId w:val="9"/>
        </w:numPr>
        <w:autoSpaceDE w:val="0"/>
        <w:autoSpaceDN w:val="0"/>
        <w:adjustRightInd w:val="0"/>
        <w:spacing w:before="60" w:after="60"/>
        <w:rPr>
          <w:rFonts w:ascii="Times New (W1)" w:hAnsi="Times New (W1)" w:cs="Times New (W1)"/>
          <w:bCs/>
        </w:rPr>
      </w:pPr>
      <w:r>
        <w:t xml:space="preserve">the selection of </w:t>
      </w:r>
      <w:r w:rsidR="00D33A83">
        <w:t xml:space="preserve">a </w:t>
      </w:r>
      <w:r>
        <w:t>clinical performance study design</w:t>
      </w:r>
    </w:p>
    <w:p w:rsidR="0035206D" w:rsidRPr="00B97EEE" w:rsidRDefault="009A13A0" w:rsidP="009A13A0">
      <w:pPr>
        <w:numPr>
          <w:ilvl w:val="0"/>
          <w:numId w:val="9"/>
        </w:numPr>
        <w:autoSpaceDE w:val="0"/>
        <w:autoSpaceDN w:val="0"/>
        <w:adjustRightInd w:val="0"/>
        <w:spacing w:before="60" w:after="60"/>
        <w:rPr>
          <w:rFonts w:ascii="Times New (W1)" w:hAnsi="Times New (W1)" w:cs="Times New (W1)"/>
          <w:bCs/>
        </w:rPr>
      </w:pPr>
      <w:r>
        <w:t>considerations</w:t>
      </w:r>
      <w:r w:rsidR="00DD4A4A">
        <w:t xml:space="preserve"> to be made when undertaking</w:t>
      </w:r>
      <w:r>
        <w:t xml:space="preserve"> </w:t>
      </w:r>
      <w:r w:rsidR="008C4B30">
        <w:t xml:space="preserve">a </w:t>
      </w:r>
      <w:r>
        <w:t>clinical</w:t>
      </w:r>
      <w:r w:rsidR="008C4B30">
        <w:t xml:space="preserve"> </w:t>
      </w:r>
      <w:r>
        <w:t>performance stud</w:t>
      </w:r>
      <w:r w:rsidR="008C4B30">
        <w:t>y</w:t>
      </w:r>
      <w:r w:rsidR="004F2ED3">
        <w:t>; and</w:t>
      </w:r>
      <w:r w:rsidR="004F2ED3" w:rsidDel="008C4B30">
        <w:t xml:space="preserve"> </w:t>
      </w:r>
    </w:p>
    <w:p w:rsidR="003F6F41" w:rsidRPr="00FD05B4" w:rsidRDefault="003F6F41" w:rsidP="009A13A0">
      <w:pPr>
        <w:numPr>
          <w:ilvl w:val="0"/>
          <w:numId w:val="9"/>
        </w:numPr>
        <w:autoSpaceDE w:val="0"/>
        <w:autoSpaceDN w:val="0"/>
        <w:adjustRightInd w:val="0"/>
        <w:spacing w:before="60" w:after="60"/>
        <w:rPr>
          <w:rFonts w:ascii="Times New (W1)" w:hAnsi="Times New (W1)" w:cs="Times New (W1)"/>
          <w:bCs/>
        </w:rPr>
      </w:pPr>
      <w:r>
        <w:t xml:space="preserve">protocol, </w:t>
      </w:r>
      <w:r w:rsidR="008C4B30">
        <w:t xml:space="preserve">conduct and report </w:t>
      </w:r>
      <w:r>
        <w:t>of a clinical performance study</w:t>
      </w:r>
    </w:p>
    <w:p w:rsidR="00F06851" w:rsidRPr="00FD05B4" w:rsidRDefault="009C1D90" w:rsidP="00FD05B4">
      <w:pPr>
        <w:spacing w:before="120" w:after="120"/>
      </w:pPr>
      <w:r w:rsidRPr="00FD05B4">
        <w:t xml:space="preserve">Given the wide diversity of </w:t>
      </w:r>
      <w:r w:rsidR="003B722B" w:rsidRPr="00FD05B4">
        <w:t xml:space="preserve">IVD </w:t>
      </w:r>
      <w:r w:rsidRPr="00FD05B4">
        <w:t>medical devices and their associated risks, this document</w:t>
      </w:r>
      <w:r w:rsidR="00F06851" w:rsidRPr="00FD05B4">
        <w:t xml:space="preserve"> is not intended to pr</w:t>
      </w:r>
      <w:r w:rsidRPr="00FD05B4">
        <w:t xml:space="preserve">ovide comprehensive guidance for clinical </w:t>
      </w:r>
      <w:r w:rsidR="003B722B" w:rsidRPr="00FD05B4">
        <w:t>performance studies</w:t>
      </w:r>
      <w:r w:rsidRPr="00FD05B4">
        <w:t xml:space="preserve"> of specific </w:t>
      </w:r>
      <w:r w:rsidR="003B722B" w:rsidRPr="00FD05B4">
        <w:t xml:space="preserve">IVD </w:t>
      </w:r>
      <w:r w:rsidRPr="00FD05B4">
        <w:t>medical devices.</w:t>
      </w:r>
    </w:p>
    <w:p w:rsidR="00124973" w:rsidRDefault="006513B2" w:rsidP="00FD05B4">
      <w:pPr>
        <w:spacing w:before="120" w:after="120"/>
      </w:pPr>
      <w:r>
        <w:t>Clinical performance studies are typically performed in the pre-market phase. H</w:t>
      </w:r>
      <w:r w:rsidR="00FD05B4" w:rsidRPr="00FD05B4">
        <w:t xml:space="preserve">owever, </w:t>
      </w:r>
      <w:r w:rsidR="005046C0" w:rsidRPr="00FD05B4">
        <w:t xml:space="preserve">this document </w:t>
      </w:r>
      <w:r w:rsidR="00683EEA" w:rsidRPr="00FD05B4">
        <w:t>may</w:t>
      </w:r>
      <w:r w:rsidR="005046C0" w:rsidRPr="00FD05B4">
        <w:t xml:space="preserve"> </w:t>
      </w:r>
      <w:r w:rsidR="00DC5DDF" w:rsidRPr="00FD05B4">
        <w:t xml:space="preserve">also </w:t>
      </w:r>
      <w:r w:rsidR="005046C0" w:rsidRPr="00FD05B4">
        <w:t xml:space="preserve">apply to </w:t>
      </w:r>
      <w:r w:rsidR="00683EEA" w:rsidRPr="00FD05B4">
        <w:t xml:space="preserve">studies conducted </w:t>
      </w:r>
      <w:r>
        <w:t>in the post-market phase</w:t>
      </w:r>
      <w:r w:rsidR="00852F83" w:rsidRPr="00FD05B4">
        <w:t>.</w:t>
      </w:r>
    </w:p>
    <w:p w:rsidR="00527155" w:rsidRPr="008E006F" w:rsidRDefault="00F36E4C" w:rsidP="008E006F">
      <w:pPr>
        <w:pStyle w:val="def-exp"/>
        <w:ind w:left="810" w:hanging="810"/>
        <w:rPr>
          <w:i w:val="0"/>
        </w:rPr>
      </w:pPr>
      <w:r w:rsidRPr="008E006F">
        <w:rPr>
          <w:b/>
          <w:i w:val="0"/>
        </w:rPr>
        <w:t>NOTE</w:t>
      </w:r>
      <w:r w:rsidR="00527155" w:rsidRPr="008E006F">
        <w:rPr>
          <w:b/>
          <w:i w:val="0"/>
        </w:rPr>
        <w:t>:</w:t>
      </w:r>
      <w:r w:rsidR="00527155" w:rsidRPr="008E006F">
        <w:rPr>
          <w:i w:val="0"/>
        </w:rPr>
        <w:t xml:space="preserve"> </w:t>
      </w:r>
      <w:r w:rsidR="00626D52" w:rsidRPr="005B46FD">
        <w:rPr>
          <w:i w:val="0"/>
        </w:rPr>
        <w:t xml:space="preserve">This document should not be used in isolation but read together with </w:t>
      </w:r>
      <w:r w:rsidR="00626D52">
        <w:t>the documents</w:t>
      </w:r>
      <w:r w:rsidR="00626D52">
        <w:rPr>
          <w:i w:val="0"/>
        </w:rPr>
        <w:t xml:space="preserve"> </w:t>
      </w:r>
      <w:r w:rsidR="00626D52">
        <w:t>‘</w:t>
      </w:r>
      <w:r w:rsidR="00626D52" w:rsidRPr="00E064C4">
        <w:rPr>
          <w:iCs/>
        </w:rPr>
        <w:t xml:space="preserve">Clinical evidence for </w:t>
      </w:r>
      <w:smartTag w:uri="urn:schemas-microsoft-com:office:smarttags" w:element="stockticker">
        <w:r w:rsidR="00626D52" w:rsidRPr="00E064C4">
          <w:rPr>
            <w:iCs/>
          </w:rPr>
          <w:t>IVD</w:t>
        </w:r>
      </w:smartTag>
      <w:r w:rsidR="00626D52" w:rsidRPr="00E064C4">
        <w:rPr>
          <w:iCs/>
        </w:rPr>
        <w:t xml:space="preserve"> medical devices – </w:t>
      </w:r>
      <w:r w:rsidR="00626D52" w:rsidRPr="00057372">
        <w:rPr>
          <w:lang w:val="en-GB"/>
        </w:rPr>
        <w:t>Key Definitions and Concepts</w:t>
      </w:r>
      <w:r w:rsidR="00360C7E">
        <w:t>’ and</w:t>
      </w:r>
      <w:r w:rsidR="00626D52">
        <w:rPr>
          <w:i w:val="0"/>
        </w:rPr>
        <w:t xml:space="preserve"> </w:t>
      </w:r>
      <w:r w:rsidR="00626D52">
        <w:t>‘</w:t>
      </w:r>
      <w:r w:rsidR="00626D52" w:rsidRPr="00E064C4">
        <w:rPr>
          <w:szCs w:val="24"/>
        </w:rPr>
        <w:t xml:space="preserve">Clinical evidence for </w:t>
      </w:r>
      <w:smartTag w:uri="urn:schemas-microsoft-com:office:smarttags" w:element="stockticker">
        <w:r w:rsidR="00626D52" w:rsidRPr="00E064C4">
          <w:rPr>
            <w:szCs w:val="24"/>
          </w:rPr>
          <w:t>IVD</w:t>
        </w:r>
      </w:smartTag>
      <w:r w:rsidR="00626D52" w:rsidRPr="00E064C4">
        <w:rPr>
          <w:szCs w:val="24"/>
        </w:rPr>
        <w:t xml:space="preserve"> medical devices –</w:t>
      </w:r>
      <w:r w:rsidR="00626D52" w:rsidRPr="00626D52">
        <w:rPr>
          <w:iCs/>
        </w:rPr>
        <w:t xml:space="preserve"> Scientific Validity Determination and Performance Evaluation</w:t>
      </w:r>
      <w:r w:rsidR="00626D52">
        <w:rPr>
          <w:iCs/>
        </w:rPr>
        <w:t>’</w:t>
      </w:r>
      <w:r w:rsidR="00626D52" w:rsidRPr="005B46FD">
        <w:rPr>
          <w:i w:val="0"/>
        </w:rPr>
        <w:t xml:space="preserve"> as well as the </w:t>
      </w:r>
      <w:r w:rsidR="00626D52" w:rsidRPr="00531138">
        <w:rPr>
          <w:i w:val="0"/>
          <w:iCs/>
        </w:rPr>
        <w:t>document</w:t>
      </w:r>
      <w:r w:rsidR="00626D52" w:rsidRPr="00FB1E36">
        <w:rPr>
          <w:i w:val="0"/>
          <w:iCs/>
        </w:rPr>
        <w:t xml:space="preserve"> </w:t>
      </w:r>
      <w:r w:rsidR="00626D52">
        <w:t>‘</w:t>
      </w:r>
      <w:r w:rsidR="00626D52" w:rsidRPr="00E064C4">
        <w:rPr>
          <w:iCs/>
        </w:rPr>
        <w:t xml:space="preserve">Essential Principles of Safety and </w:t>
      </w:r>
      <w:r w:rsidR="00626D52" w:rsidRPr="00E064C4">
        <w:rPr>
          <w:iCs/>
        </w:rPr>
        <w:lastRenderedPageBreak/>
        <w:t>Performance of Medical Devices</w:t>
      </w:r>
      <w:r w:rsidR="00626D52">
        <w:t>’</w:t>
      </w:r>
      <w:r w:rsidR="00626D52" w:rsidRPr="00E064C4">
        <w:rPr>
          <w:i w:val="0"/>
        </w:rPr>
        <w:t xml:space="preserve"> </w:t>
      </w:r>
      <w:r w:rsidR="00626D52" w:rsidRPr="005B46FD">
        <w:rPr>
          <w:i w:val="0"/>
        </w:rPr>
        <w:t xml:space="preserve">and </w:t>
      </w:r>
      <w:r w:rsidR="00626D52">
        <w:rPr>
          <w:i w:val="0"/>
        </w:rPr>
        <w:t xml:space="preserve">the </w:t>
      </w:r>
      <w:r w:rsidR="00626D52" w:rsidRPr="005B46FD">
        <w:rPr>
          <w:i w:val="0"/>
        </w:rPr>
        <w:t xml:space="preserve">document </w:t>
      </w:r>
      <w:r w:rsidR="00626D52">
        <w:t>‘</w:t>
      </w:r>
      <w:r w:rsidR="00626D52" w:rsidRPr="00E064C4">
        <w:rPr>
          <w:iCs/>
          <w:lang w:val="en-GB"/>
        </w:rPr>
        <w:t>Summary Technical Documentation (STED) for Demonstrating Conformity to the Essential Principles of Safety and Performance of In Vitro Diagnostic Medical Devices</w:t>
      </w:r>
      <w:r w:rsidR="00626D52">
        <w:rPr>
          <w:i w:val="0"/>
          <w:iCs/>
          <w:lang w:val="en-GB"/>
        </w:rPr>
        <w:t>’</w:t>
      </w:r>
      <w:r w:rsidR="00626D52" w:rsidRPr="00E064C4">
        <w:rPr>
          <w:iCs/>
          <w:lang w:val="en-GB"/>
        </w:rPr>
        <w:t xml:space="preserve"> </w:t>
      </w:r>
      <w:r w:rsidR="00626D52" w:rsidRPr="005B46FD">
        <w:rPr>
          <w:i w:val="0"/>
        </w:rPr>
        <w:t>(references provided in the reference section).</w:t>
      </w:r>
    </w:p>
    <w:p w:rsidR="00B9381E" w:rsidRDefault="00B9381E" w:rsidP="00EA1F23">
      <w:pPr>
        <w:pStyle w:val="Heading1"/>
        <w:numPr>
          <w:ilvl w:val="0"/>
          <w:numId w:val="1"/>
        </w:numPr>
        <w:ind w:left="431" w:hanging="431"/>
      </w:pPr>
      <w:bookmarkStart w:id="17" w:name="_Toc128308417"/>
      <w:bookmarkStart w:id="18" w:name="_Toc261520060"/>
      <w:bookmarkStart w:id="19" w:name="_Toc261520088"/>
      <w:bookmarkStart w:id="20" w:name="_Toc332286359"/>
      <w:r>
        <w:t>References</w:t>
      </w:r>
      <w:bookmarkEnd w:id="17"/>
      <w:bookmarkEnd w:id="18"/>
      <w:bookmarkEnd w:id="19"/>
      <w:bookmarkEnd w:id="20"/>
    </w:p>
    <w:p w:rsidR="00B9381E" w:rsidRPr="006114F7" w:rsidRDefault="00460522" w:rsidP="00531138">
      <w:pPr>
        <w:tabs>
          <w:tab w:val="left" w:pos="0"/>
          <w:tab w:val="left" w:pos="1701"/>
        </w:tabs>
        <w:spacing w:before="120" w:after="120"/>
        <w:rPr>
          <w:i/>
        </w:rPr>
      </w:pPr>
      <w:r>
        <w:t>GHTF/</w:t>
      </w:r>
      <w:r w:rsidR="00B9381E" w:rsidRPr="006114F7">
        <w:t>SG1/</w:t>
      </w:r>
      <w:r w:rsidR="00B9381E" w:rsidRPr="001261D3">
        <w:t>N0</w:t>
      </w:r>
      <w:r w:rsidR="00D717C4">
        <w:t>71</w:t>
      </w:r>
      <w:r w:rsidR="00B9381E" w:rsidRPr="001261D3">
        <w:t>:20</w:t>
      </w:r>
      <w:r w:rsidR="00D717C4">
        <w:t>12</w:t>
      </w:r>
      <w:r>
        <w:rPr>
          <w:i/>
        </w:rPr>
        <w:t xml:space="preserve"> </w:t>
      </w:r>
      <w:hyperlink r:id="rId11" w:history="1">
        <w:r w:rsidR="00B9381E" w:rsidRPr="006114F7">
          <w:rPr>
            <w:rStyle w:val="Hyperlink"/>
            <w:i/>
            <w:color w:val="auto"/>
            <w:u w:val="none"/>
          </w:rPr>
          <w:t xml:space="preserve">Information Document Concerning the Definition of the Term </w:t>
        </w:r>
        <w:r w:rsidR="00531138">
          <w:rPr>
            <w:rStyle w:val="Hyperlink"/>
            <w:i/>
            <w:color w:val="auto"/>
            <w:u w:val="none"/>
          </w:rPr>
          <w:t>‘</w:t>
        </w:r>
        <w:r w:rsidR="00B9381E" w:rsidRPr="006114F7">
          <w:rPr>
            <w:rStyle w:val="Hyperlink"/>
            <w:i/>
            <w:color w:val="auto"/>
            <w:u w:val="none"/>
          </w:rPr>
          <w:t>Medical Device</w:t>
        </w:r>
        <w:r w:rsidR="00531138">
          <w:rPr>
            <w:rStyle w:val="Hyperlink"/>
            <w:i/>
            <w:color w:val="auto"/>
            <w:u w:val="none"/>
          </w:rPr>
          <w:t>’</w:t>
        </w:r>
      </w:hyperlink>
    </w:p>
    <w:p w:rsidR="00B9381E" w:rsidRDefault="00460522" w:rsidP="00531138">
      <w:pPr>
        <w:tabs>
          <w:tab w:val="left" w:pos="0"/>
          <w:tab w:val="left" w:pos="1701"/>
        </w:tabs>
        <w:spacing w:before="120" w:after="120"/>
        <w:rPr>
          <w:i/>
          <w:iCs/>
        </w:rPr>
      </w:pPr>
      <w:r>
        <w:t>GHTF/</w:t>
      </w:r>
      <w:r w:rsidR="00B9381E" w:rsidRPr="006114F7">
        <w:t>SG1/</w:t>
      </w:r>
      <w:r w:rsidR="00B9381E" w:rsidRPr="001261D3">
        <w:t>N</w:t>
      </w:r>
      <w:r w:rsidR="00B9381E" w:rsidRPr="00D717C4">
        <w:t>0</w:t>
      </w:r>
      <w:r w:rsidR="00D717C4" w:rsidRPr="00B97EEE">
        <w:t>68</w:t>
      </w:r>
      <w:r w:rsidR="00B9381E" w:rsidRPr="00D717C4">
        <w:t>:20</w:t>
      </w:r>
      <w:r w:rsidR="00D717C4" w:rsidRPr="00B97EEE">
        <w:t>12</w:t>
      </w:r>
      <w:r>
        <w:t xml:space="preserve"> </w:t>
      </w:r>
      <w:hyperlink r:id="rId12" w:history="1">
        <w:r w:rsidR="00B9381E" w:rsidRPr="006114F7">
          <w:rPr>
            <w:rStyle w:val="Hyperlink"/>
            <w:i/>
            <w:iCs/>
            <w:color w:val="auto"/>
            <w:u w:val="none"/>
          </w:rPr>
          <w:t>Essential Principles of Safety and Performance of Medical Devices</w:t>
        </w:r>
      </w:hyperlink>
    </w:p>
    <w:p w:rsidR="00832BC4" w:rsidRPr="00531138" w:rsidRDefault="00460522" w:rsidP="00531138">
      <w:pPr>
        <w:rPr>
          <w:i/>
          <w:lang w:val="en-GB"/>
        </w:rPr>
      </w:pPr>
      <w:r>
        <w:t>GHTF/</w:t>
      </w:r>
      <w:r w:rsidR="00832BC4" w:rsidRPr="00F61A1A">
        <w:rPr>
          <w:lang w:val="en-GB"/>
        </w:rPr>
        <w:t>SG1/N45:200</w:t>
      </w:r>
      <w:r w:rsidR="00832BC4">
        <w:rPr>
          <w:lang w:val="en-GB"/>
        </w:rPr>
        <w:t>8</w:t>
      </w:r>
      <w:r w:rsidR="00832BC4" w:rsidRPr="00F61A1A">
        <w:rPr>
          <w:lang w:val="en-GB"/>
        </w:rPr>
        <w:t xml:space="preserve"> </w:t>
      </w:r>
      <w:r w:rsidR="00832BC4" w:rsidRPr="00F61A1A">
        <w:rPr>
          <w:i/>
          <w:lang w:val="en-GB"/>
        </w:rPr>
        <w:t>Principles of In Vitro Diagnostic Medical Devices Classification.</w:t>
      </w:r>
    </w:p>
    <w:p w:rsidR="006E57B6" w:rsidRDefault="00460522" w:rsidP="00531138">
      <w:pPr>
        <w:tabs>
          <w:tab w:val="left" w:pos="0"/>
          <w:tab w:val="left" w:pos="1701"/>
        </w:tabs>
        <w:spacing w:before="120" w:after="120"/>
        <w:ind w:hanging="2"/>
        <w:rPr>
          <w:i/>
          <w:iCs/>
        </w:rPr>
      </w:pPr>
      <w:r>
        <w:t>GHTF/</w:t>
      </w:r>
      <w:r w:rsidR="006E57B6" w:rsidRPr="006114F7">
        <w:t>SG1/N04</w:t>
      </w:r>
      <w:r w:rsidR="00644D9C">
        <w:t>6</w:t>
      </w:r>
      <w:r w:rsidR="00B56F2B" w:rsidRPr="006114F7">
        <w:t>:200</w:t>
      </w:r>
      <w:r w:rsidR="00644D9C">
        <w:t>8</w:t>
      </w:r>
      <w:r>
        <w:t xml:space="preserve"> </w:t>
      </w:r>
      <w:hyperlink r:id="rId13" w:history="1">
        <w:r w:rsidR="006E57B6" w:rsidRPr="006114F7">
          <w:rPr>
            <w:rStyle w:val="Hyperlink"/>
            <w:i/>
            <w:iCs/>
            <w:color w:val="auto"/>
            <w:u w:val="none"/>
          </w:rPr>
          <w:t xml:space="preserve">Principles of Conformity Assessment for </w:t>
        </w:r>
        <w:r w:rsidR="00644D9C">
          <w:rPr>
            <w:rStyle w:val="Hyperlink"/>
            <w:i/>
            <w:iCs/>
            <w:color w:val="auto"/>
            <w:u w:val="none"/>
          </w:rPr>
          <w:t xml:space="preserve">in vitro </w:t>
        </w:r>
        <w:r w:rsidR="00644D9C" w:rsidRPr="0084635C">
          <w:rPr>
            <w:rStyle w:val="Hyperlink"/>
            <w:i/>
            <w:iCs/>
            <w:color w:val="auto"/>
            <w:u w:val="none"/>
          </w:rPr>
          <w:t>Diagnostic (</w:t>
        </w:r>
        <w:r w:rsidR="00644D9C">
          <w:rPr>
            <w:rStyle w:val="Hyperlink"/>
            <w:i/>
            <w:iCs/>
            <w:color w:val="auto"/>
            <w:u w:val="none"/>
          </w:rPr>
          <w:t xml:space="preserve">IVD) </w:t>
        </w:r>
        <w:r w:rsidR="006E57B6" w:rsidRPr="006114F7">
          <w:rPr>
            <w:rStyle w:val="Hyperlink"/>
            <w:i/>
            <w:iCs/>
            <w:color w:val="auto"/>
            <w:u w:val="none"/>
          </w:rPr>
          <w:t>Medical Devices</w:t>
        </w:r>
      </w:hyperlink>
    </w:p>
    <w:p w:rsidR="00721C8B" w:rsidRPr="00721C8B" w:rsidRDefault="00460522" w:rsidP="00531138">
      <w:pPr>
        <w:tabs>
          <w:tab w:val="left" w:pos="0"/>
          <w:tab w:val="left" w:pos="1701"/>
        </w:tabs>
        <w:spacing w:before="120" w:after="120"/>
        <w:rPr>
          <w:rFonts w:ascii="Times New (W1)" w:hAnsi="Times New (W1)" w:cs="Arial"/>
          <w:i/>
          <w:szCs w:val="24"/>
        </w:rPr>
      </w:pPr>
      <w:r>
        <w:t>GHTF/</w:t>
      </w:r>
      <w:r w:rsidR="00721C8B" w:rsidRPr="00721C8B">
        <w:t>SG1/N063:201</w:t>
      </w:r>
      <w:r w:rsidR="00644D9C">
        <w:t>1</w:t>
      </w:r>
      <w:r>
        <w:t xml:space="preserve"> </w:t>
      </w:r>
      <w:r w:rsidR="00721C8B" w:rsidRPr="00721C8B">
        <w:rPr>
          <w:rFonts w:ascii="Times New (W1)" w:hAnsi="Times New (W1)" w:cs="Arial"/>
          <w:i/>
          <w:szCs w:val="24"/>
        </w:rPr>
        <w:t>Summary Technical Documentation (STED) for Demonstrating Conformity to the Essential Principles of Safety and Performance of In Vitro Diagnostic Medical Devices</w:t>
      </w:r>
    </w:p>
    <w:p w:rsidR="00FC776D" w:rsidRPr="00531138" w:rsidRDefault="00460522" w:rsidP="00531138">
      <w:pPr>
        <w:tabs>
          <w:tab w:val="left" w:pos="0"/>
          <w:tab w:val="left" w:pos="1701"/>
        </w:tabs>
        <w:spacing w:before="120" w:after="120"/>
        <w:rPr>
          <w:i/>
        </w:rPr>
      </w:pPr>
      <w:r w:rsidRPr="00531138">
        <w:t>GHTF/</w:t>
      </w:r>
      <w:r w:rsidR="00FC776D" w:rsidRPr="00531138">
        <w:t>SG5/N</w:t>
      </w:r>
      <w:r w:rsidR="00E14C8C" w:rsidRPr="00531138">
        <w:t>6</w:t>
      </w:r>
      <w:r w:rsidR="00D717C4" w:rsidRPr="00531138">
        <w:t>:2012</w:t>
      </w:r>
      <w:r w:rsidR="00531138">
        <w:t xml:space="preserve"> </w:t>
      </w:r>
      <w:hyperlink r:id="rId14" w:history="1">
        <w:r w:rsidR="00FC776D" w:rsidRPr="00531138">
          <w:rPr>
            <w:i/>
          </w:rPr>
          <w:t>Clinical Evidence for IVD Medical Devices – Key Definitions and Concepts</w:t>
        </w:r>
      </w:hyperlink>
    </w:p>
    <w:p w:rsidR="006114F7" w:rsidRPr="006114F7" w:rsidRDefault="00460522" w:rsidP="00531138">
      <w:pPr>
        <w:tabs>
          <w:tab w:val="left" w:pos="0"/>
        </w:tabs>
        <w:spacing w:before="120" w:after="120"/>
      </w:pPr>
      <w:r>
        <w:t>GHTF/</w:t>
      </w:r>
      <w:r w:rsidR="006114F7" w:rsidRPr="006114F7">
        <w:t>SG5</w:t>
      </w:r>
      <w:r w:rsidR="006114F7" w:rsidRPr="001261D3">
        <w:t>/N</w:t>
      </w:r>
      <w:r w:rsidR="0084635C" w:rsidRPr="001261D3">
        <w:t>7</w:t>
      </w:r>
      <w:r w:rsidR="00D717C4">
        <w:rPr>
          <w:lang w:eastAsia="ja-JP"/>
        </w:rPr>
        <w:t>:2012</w:t>
      </w:r>
      <w:r w:rsidR="00531138">
        <w:t xml:space="preserve"> </w:t>
      </w:r>
      <w:r w:rsidR="006114F7" w:rsidRPr="006114F7">
        <w:rPr>
          <w:i/>
        </w:rPr>
        <w:t>Clinical Evidence for IVD Medical Devices</w:t>
      </w:r>
      <w:r w:rsidR="0084635C">
        <w:rPr>
          <w:i/>
        </w:rPr>
        <w:t xml:space="preserve"> </w:t>
      </w:r>
      <w:r w:rsidR="006114F7" w:rsidRPr="006114F7">
        <w:rPr>
          <w:i/>
        </w:rPr>
        <w:t>–</w:t>
      </w:r>
      <w:r w:rsidR="0084635C">
        <w:rPr>
          <w:i/>
        </w:rPr>
        <w:t xml:space="preserve"> </w:t>
      </w:r>
      <w:r w:rsidR="00644D9C">
        <w:rPr>
          <w:i/>
        </w:rPr>
        <w:t>Scientific Validity Determination</w:t>
      </w:r>
      <w:r w:rsidR="006114F7" w:rsidRPr="006114F7">
        <w:rPr>
          <w:i/>
        </w:rPr>
        <w:t xml:space="preserve"> and Performance Evaluation</w:t>
      </w:r>
    </w:p>
    <w:p w:rsidR="00953B24" w:rsidRPr="00721C8B" w:rsidRDefault="00F94AE4" w:rsidP="00531138">
      <w:pPr>
        <w:tabs>
          <w:tab w:val="left" w:pos="0"/>
        </w:tabs>
        <w:spacing w:before="120" w:after="120"/>
        <w:rPr>
          <w:i/>
        </w:rPr>
      </w:pPr>
      <w:hyperlink r:id="rId15" w:history="1">
        <w:r w:rsidR="00953B24" w:rsidRPr="00721C8B">
          <w:rPr>
            <w:rStyle w:val="Hyperlink"/>
            <w:i/>
            <w:color w:val="auto"/>
            <w:u w:val="none"/>
          </w:rPr>
          <w:t>World Medical Association – Declaration of Helsinki - Ethical principles for medical research involving human subjects</w:t>
        </w:r>
      </w:hyperlink>
    </w:p>
    <w:p w:rsidR="00B9381E" w:rsidRPr="00CA7795" w:rsidRDefault="00B9381E" w:rsidP="00EA1F23">
      <w:pPr>
        <w:pStyle w:val="Heading1"/>
        <w:numPr>
          <w:ilvl w:val="0"/>
          <w:numId w:val="1"/>
        </w:numPr>
        <w:ind w:left="431" w:hanging="431"/>
      </w:pPr>
      <w:bookmarkStart w:id="21" w:name="_Toc128308418"/>
      <w:bookmarkStart w:id="22" w:name="_Toc261520061"/>
      <w:bookmarkStart w:id="23" w:name="_Toc261520089"/>
      <w:bookmarkStart w:id="24" w:name="_Toc332286360"/>
      <w:r w:rsidRPr="00CA7795">
        <w:t>Definitions</w:t>
      </w:r>
      <w:bookmarkEnd w:id="21"/>
      <w:bookmarkEnd w:id="22"/>
      <w:bookmarkEnd w:id="23"/>
      <w:bookmarkEnd w:id="24"/>
    </w:p>
    <w:p w:rsidR="00B9381E" w:rsidRDefault="00E323CF" w:rsidP="00CA7795">
      <w:pPr>
        <w:tabs>
          <w:tab w:val="left" w:pos="0"/>
          <w:tab w:val="left" w:pos="540"/>
        </w:tabs>
        <w:spacing w:before="120" w:after="120"/>
      </w:pPr>
      <w:r w:rsidRPr="001F3AEA">
        <w:rPr>
          <w:b/>
          <w:bCs/>
        </w:rPr>
        <w:t>Clinical Performance Study</w:t>
      </w:r>
      <w:r w:rsidR="00B9381E" w:rsidRPr="001F3AEA">
        <w:rPr>
          <w:b/>
          <w:bCs/>
        </w:rPr>
        <w:t xml:space="preserve"> P</w:t>
      </w:r>
      <w:r w:rsidR="009F46BC">
        <w:rPr>
          <w:b/>
          <w:bCs/>
        </w:rPr>
        <w:t>rotocol</w:t>
      </w:r>
      <w:r w:rsidR="00CA7795" w:rsidRPr="001F3AEA">
        <w:rPr>
          <w:b/>
          <w:bCs/>
        </w:rPr>
        <w:br/>
      </w:r>
      <w:r w:rsidR="0057135E" w:rsidRPr="001F3AEA">
        <w:t xml:space="preserve">Document that states the rationale, objectives, design and proposed analysis, methodology, monitoring, conduct and record-keeping of the clinical </w:t>
      </w:r>
      <w:r w:rsidRPr="001F3AEA">
        <w:t>performance study</w:t>
      </w:r>
      <w:r w:rsidR="0057135E" w:rsidRPr="001F3AEA">
        <w:t>.</w:t>
      </w:r>
    </w:p>
    <w:p w:rsidR="006D58E3" w:rsidRDefault="006D58E3" w:rsidP="00CA7795">
      <w:pPr>
        <w:tabs>
          <w:tab w:val="left" w:pos="0"/>
          <w:tab w:val="left" w:pos="540"/>
        </w:tabs>
        <w:spacing w:before="120" w:after="120"/>
        <w:rPr>
          <w:iCs/>
          <w:szCs w:val="24"/>
        </w:rPr>
      </w:pPr>
      <w:r w:rsidRPr="005277F8">
        <w:rPr>
          <w:b/>
          <w:bCs/>
        </w:rPr>
        <w:t>IVD medical device</w:t>
      </w:r>
      <w:r w:rsidR="0087513F">
        <w:rPr>
          <w:b/>
          <w:bCs/>
        </w:rPr>
        <w:br/>
      </w:r>
      <w:r w:rsidR="00931A1E">
        <w:rPr>
          <w:szCs w:val="24"/>
        </w:rPr>
        <w:t>R</w:t>
      </w:r>
      <w:r w:rsidR="00931A1E" w:rsidRPr="00FE775C">
        <w:rPr>
          <w:szCs w:val="24"/>
        </w:rPr>
        <w:t xml:space="preserve">efer to </w:t>
      </w:r>
      <w:r w:rsidR="00931A1E" w:rsidRPr="005175A6">
        <w:t>GHTF/SG1/N71:2012</w:t>
      </w:r>
      <w:r w:rsidR="00931A1E" w:rsidRPr="005175A6">
        <w:rPr>
          <w:i/>
          <w:iCs/>
        </w:rPr>
        <w:t xml:space="preserve"> </w:t>
      </w:r>
      <w:r w:rsidR="00931A1E" w:rsidRPr="00CA0021">
        <w:rPr>
          <w:i/>
          <w:szCs w:val="24"/>
        </w:rPr>
        <w:t>Definition of the Terms ‘Medical Device’ and ‘In Vitro Diagnostic (IVD) Medical Device’</w:t>
      </w:r>
      <w:r w:rsidR="00931A1E">
        <w:rPr>
          <w:i/>
          <w:szCs w:val="24"/>
        </w:rPr>
        <w:t>.</w:t>
      </w:r>
    </w:p>
    <w:p w:rsidR="00B9381E" w:rsidRPr="0000795F" w:rsidRDefault="00F97B9B" w:rsidP="00B52403">
      <w:pPr>
        <w:pStyle w:val="Heading1"/>
        <w:numPr>
          <w:ilvl w:val="0"/>
          <w:numId w:val="1"/>
        </w:numPr>
      </w:pPr>
      <w:bookmarkStart w:id="25" w:name="_Toc301712612"/>
      <w:bookmarkStart w:id="26" w:name="_Toc301712726"/>
      <w:bookmarkStart w:id="27" w:name="_Toc301712840"/>
      <w:bookmarkStart w:id="28" w:name="_Toc301712955"/>
      <w:bookmarkStart w:id="29" w:name="_Toc302023195"/>
      <w:bookmarkStart w:id="30" w:name="_Toc302023309"/>
      <w:bookmarkStart w:id="31" w:name="_Toc301712614"/>
      <w:bookmarkStart w:id="32" w:name="_Toc301712728"/>
      <w:bookmarkStart w:id="33" w:name="_Toc301712842"/>
      <w:bookmarkStart w:id="34" w:name="_Toc301712957"/>
      <w:bookmarkStart w:id="35" w:name="_Toc302023197"/>
      <w:bookmarkStart w:id="36" w:name="_Toc302023311"/>
      <w:bookmarkStart w:id="37" w:name="_Toc301712616"/>
      <w:bookmarkStart w:id="38" w:name="_Toc301712730"/>
      <w:bookmarkStart w:id="39" w:name="_Toc301712844"/>
      <w:bookmarkStart w:id="40" w:name="_Toc301712959"/>
      <w:bookmarkStart w:id="41" w:name="_Toc302023199"/>
      <w:bookmarkStart w:id="42" w:name="_Toc302023313"/>
      <w:bookmarkStart w:id="43" w:name="_Toc148779664"/>
      <w:bookmarkStart w:id="44" w:name="_Toc261520062"/>
      <w:bookmarkStart w:id="45" w:name="_Toc261520090"/>
      <w:bookmarkStart w:id="46" w:name="_Toc33228636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00795F">
        <w:t>Purpose</w:t>
      </w:r>
      <w:r w:rsidR="00B9381E" w:rsidRPr="0000795F">
        <w:t xml:space="preserve"> </w:t>
      </w:r>
      <w:r w:rsidR="006E18E5" w:rsidRPr="0000795F">
        <w:t>of</w:t>
      </w:r>
      <w:r w:rsidR="00B9381E" w:rsidRPr="0000795F">
        <w:t xml:space="preserve"> Clinical </w:t>
      </w:r>
      <w:r w:rsidR="000D1BC5" w:rsidRPr="0000795F">
        <w:t>Performance Stud</w:t>
      </w:r>
      <w:r w:rsidR="006E18E5" w:rsidRPr="0000795F">
        <w:t>ies</w:t>
      </w:r>
      <w:bookmarkEnd w:id="44"/>
      <w:bookmarkEnd w:id="45"/>
      <w:bookmarkEnd w:id="46"/>
    </w:p>
    <w:p w:rsidR="004F60A9" w:rsidRDefault="004F60A9" w:rsidP="004F60A9">
      <w:pPr>
        <w:tabs>
          <w:tab w:val="left" w:pos="0"/>
          <w:tab w:val="left" w:pos="1701"/>
        </w:tabs>
        <w:spacing w:before="120" w:after="120"/>
      </w:pPr>
      <w:r>
        <w:t xml:space="preserve">The purpose of a clinical performance study is to establish or confirm aspects of IVD medical device performance which cannot be </w:t>
      </w:r>
      <w:r w:rsidR="00FD71D8">
        <w:t>determined by analytical performance studies</w:t>
      </w:r>
      <w:r>
        <w:t xml:space="preserve">, literature </w:t>
      </w:r>
      <w:r w:rsidR="00FD71D8">
        <w:t>and/</w:t>
      </w:r>
      <w:r>
        <w:t xml:space="preserve">or previous experience gained by routine diagnostic testing. </w:t>
      </w:r>
      <w:r w:rsidR="006A06C9">
        <w:t xml:space="preserve">This information is used to demonstrate </w:t>
      </w:r>
      <w:r w:rsidR="00BD020D">
        <w:t xml:space="preserve">compliance with the </w:t>
      </w:r>
      <w:r w:rsidR="00CE4F66">
        <w:t xml:space="preserve">relevant </w:t>
      </w:r>
      <w:r w:rsidR="00793693">
        <w:t xml:space="preserve">Essential Principles with respect to </w:t>
      </w:r>
      <w:r w:rsidR="00B55D1A">
        <w:t>clinical performanc</w:t>
      </w:r>
      <w:r w:rsidR="00793693">
        <w:t>e</w:t>
      </w:r>
      <w:r w:rsidR="00BD020D">
        <w:t>.</w:t>
      </w:r>
      <w:r w:rsidR="00B37F48">
        <w:t xml:space="preserve"> </w:t>
      </w:r>
      <w:r w:rsidR="00456F3B">
        <w:t xml:space="preserve">When a clinical </w:t>
      </w:r>
      <w:r w:rsidR="000D1BC5">
        <w:t xml:space="preserve">performance study </w:t>
      </w:r>
      <w:r w:rsidR="00456F3B">
        <w:t>is conducted, t</w:t>
      </w:r>
      <w:r w:rsidR="004B15D4">
        <w:t xml:space="preserve">he data </w:t>
      </w:r>
      <w:r w:rsidR="00456F3B">
        <w:t>obtained</w:t>
      </w:r>
      <w:r w:rsidR="004B15D4">
        <w:t xml:space="preserve"> is used in the </w:t>
      </w:r>
      <w:r w:rsidR="000D1BC5">
        <w:t xml:space="preserve">performance </w:t>
      </w:r>
      <w:r w:rsidR="004B15D4">
        <w:t xml:space="preserve">evaluation process and </w:t>
      </w:r>
      <w:r w:rsidR="00456F3B">
        <w:t>is part of</w:t>
      </w:r>
      <w:r w:rsidR="004B15D4">
        <w:t xml:space="preserve"> the clinical evidence for the </w:t>
      </w:r>
      <w:r w:rsidR="00486CB7">
        <w:t xml:space="preserve">IVD medical </w:t>
      </w:r>
      <w:r w:rsidR="004B15D4">
        <w:t xml:space="preserve">device </w:t>
      </w:r>
      <w:r w:rsidR="004B15D4">
        <w:lastRenderedPageBreak/>
        <w:t>(see GHTF SG5/N</w:t>
      </w:r>
      <w:r w:rsidR="00486CB7">
        <w:t>7</w:t>
      </w:r>
      <w:r w:rsidR="004B15D4">
        <w:t xml:space="preserve"> – </w:t>
      </w:r>
      <w:r w:rsidR="00531138">
        <w:t>‘</w:t>
      </w:r>
      <w:r w:rsidR="000D1BC5" w:rsidRPr="000D1BC5">
        <w:rPr>
          <w:i/>
          <w:iCs/>
          <w:lang w:val="en-CA"/>
        </w:rPr>
        <w:t>Clinical Evidence for IVD medical devices–</w:t>
      </w:r>
      <w:r w:rsidR="008520C9">
        <w:rPr>
          <w:i/>
          <w:iCs/>
          <w:lang w:val="en-CA"/>
        </w:rPr>
        <w:t>Scientific Validity Determination</w:t>
      </w:r>
      <w:r w:rsidR="000D1BC5" w:rsidRPr="000D1BC5">
        <w:rPr>
          <w:i/>
          <w:iCs/>
          <w:lang w:val="en-CA"/>
        </w:rPr>
        <w:t xml:space="preserve"> and </w:t>
      </w:r>
      <w:r w:rsidR="008520C9">
        <w:rPr>
          <w:i/>
          <w:iCs/>
          <w:lang w:val="en-CA"/>
        </w:rPr>
        <w:t>P</w:t>
      </w:r>
      <w:r w:rsidR="000D1BC5" w:rsidRPr="000D1BC5">
        <w:rPr>
          <w:i/>
          <w:iCs/>
          <w:lang w:val="en-CA"/>
        </w:rPr>
        <w:t xml:space="preserve">erformance </w:t>
      </w:r>
      <w:r w:rsidR="008520C9">
        <w:rPr>
          <w:i/>
          <w:iCs/>
          <w:lang w:val="en-CA"/>
        </w:rPr>
        <w:t>E</w:t>
      </w:r>
      <w:r w:rsidR="000D1BC5" w:rsidRPr="000D1BC5">
        <w:rPr>
          <w:i/>
          <w:iCs/>
          <w:lang w:val="en-CA"/>
        </w:rPr>
        <w:t>valuation</w:t>
      </w:r>
      <w:r w:rsidR="00531138">
        <w:rPr>
          <w:i/>
          <w:iCs/>
          <w:lang w:val="en-CA"/>
        </w:rPr>
        <w:t>’</w:t>
      </w:r>
      <w:r w:rsidR="004B15D4">
        <w:rPr>
          <w:iCs/>
        </w:rPr>
        <w:t>).</w:t>
      </w:r>
      <w:r w:rsidR="004B185F">
        <w:rPr>
          <w:iCs/>
        </w:rPr>
        <w:t xml:space="preserve"> </w:t>
      </w:r>
      <w:r w:rsidR="0063575D">
        <w:rPr>
          <w:iCs/>
        </w:rPr>
        <w:t>These studies are typically</w:t>
      </w:r>
      <w:r>
        <w:rPr>
          <w:iCs/>
        </w:rPr>
        <w:t xml:space="preserve"> undertaken </w:t>
      </w:r>
      <w:r w:rsidR="004B185F">
        <w:rPr>
          <w:iCs/>
        </w:rPr>
        <w:t xml:space="preserve">in the </w:t>
      </w:r>
      <w:r>
        <w:rPr>
          <w:iCs/>
        </w:rPr>
        <w:t>pre-market</w:t>
      </w:r>
      <w:r w:rsidR="0063575D">
        <w:rPr>
          <w:iCs/>
        </w:rPr>
        <w:t xml:space="preserve"> phase</w:t>
      </w:r>
      <w:r>
        <w:rPr>
          <w:iCs/>
        </w:rPr>
        <w:t xml:space="preserve"> </w:t>
      </w:r>
      <w:r w:rsidR="00956A83">
        <w:rPr>
          <w:iCs/>
        </w:rPr>
        <w:t xml:space="preserve">of the IVD medical device </w:t>
      </w:r>
      <w:r>
        <w:rPr>
          <w:iCs/>
        </w:rPr>
        <w:t xml:space="preserve">to support </w:t>
      </w:r>
      <w:r w:rsidR="00956A83">
        <w:rPr>
          <w:iCs/>
        </w:rPr>
        <w:t xml:space="preserve">its </w:t>
      </w:r>
      <w:r>
        <w:rPr>
          <w:iCs/>
        </w:rPr>
        <w:t>compliance with the EPs</w:t>
      </w:r>
      <w:r w:rsidR="006031B5">
        <w:rPr>
          <w:iCs/>
        </w:rPr>
        <w:t>,</w:t>
      </w:r>
      <w:r>
        <w:rPr>
          <w:iCs/>
        </w:rPr>
        <w:t xml:space="preserve"> but may also be undertaken </w:t>
      </w:r>
      <w:r w:rsidR="0063575D">
        <w:rPr>
          <w:iCs/>
        </w:rPr>
        <w:t>in the post-market phase</w:t>
      </w:r>
      <w:r>
        <w:rPr>
          <w:iCs/>
        </w:rPr>
        <w:t>.</w:t>
      </w:r>
    </w:p>
    <w:p w:rsidR="00080984" w:rsidRDefault="00080984" w:rsidP="00B52403">
      <w:pPr>
        <w:pStyle w:val="Heading1"/>
        <w:numPr>
          <w:ilvl w:val="0"/>
          <w:numId w:val="1"/>
        </w:numPr>
      </w:pPr>
      <w:bookmarkStart w:id="47" w:name="_Toc332286362"/>
      <w:r>
        <w:t xml:space="preserve">Clinical Performance Study Design </w:t>
      </w:r>
      <w:r w:rsidR="0000795F">
        <w:t>T</w:t>
      </w:r>
      <w:r>
        <w:t>ype</w:t>
      </w:r>
      <w:bookmarkEnd w:id="47"/>
    </w:p>
    <w:p w:rsidR="005E2FDB" w:rsidRDefault="00B97B95" w:rsidP="00B97B95">
      <w:pPr>
        <w:pStyle w:val="NormalWeb"/>
      </w:pPr>
      <w:bookmarkStart w:id="48" w:name="_Toc261520063"/>
      <w:bookmarkStart w:id="49" w:name="_Toc261520091"/>
      <w:r>
        <w:t xml:space="preserve">Clinical performance studies should be </w:t>
      </w:r>
      <w:r w:rsidR="005277F8">
        <w:t>designed</w:t>
      </w:r>
      <w:r>
        <w:t xml:space="preserve"> in such a way as to maximize the relevance of the data while minimizing </w:t>
      </w:r>
      <w:r w:rsidR="0002324A">
        <w:t>potential biases</w:t>
      </w:r>
      <w:r>
        <w:t xml:space="preserve">. </w:t>
      </w:r>
    </w:p>
    <w:p w:rsidR="002E3482" w:rsidRDefault="00B97B95" w:rsidP="00B97B95">
      <w:pPr>
        <w:pStyle w:val="NormalWeb"/>
      </w:pPr>
      <w:r>
        <w:t xml:space="preserve">Designs of IVD medical device clinical performance studies </w:t>
      </w:r>
      <w:r w:rsidR="0094745B">
        <w:t xml:space="preserve">are either observational or interventional. An </w:t>
      </w:r>
      <w:r w:rsidR="0094745B" w:rsidRPr="002E3482">
        <w:rPr>
          <w:rFonts w:ascii="Times New (W1)" w:hAnsi="Times New (W1)" w:cs="Times New (W1)"/>
        </w:rPr>
        <w:t xml:space="preserve">observational study refers to a study in which </w:t>
      </w:r>
      <w:r w:rsidR="002E3482">
        <w:rPr>
          <w:rFonts w:ascii="Times New (W1)" w:hAnsi="Times New (W1)" w:cs="Times New (W1)"/>
        </w:rPr>
        <w:t xml:space="preserve">test </w:t>
      </w:r>
      <w:r w:rsidR="0094745B">
        <w:rPr>
          <w:rFonts w:ascii="Times New (W1)" w:hAnsi="Times New (W1)" w:cs="Times New (W1)"/>
          <w:bCs/>
        </w:rPr>
        <w:t xml:space="preserve">results </w:t>
      </w:r>
      <w:r w:rsidR="000A2D2C">
        <w:rPr>
          <w:rFonts w:ascii="Times New (W1)" w:hAnsi="Times New (W1)" w:cs="Times New (W1)"/>
          <w:bCs/>
        </w:rPr>
        <w:t xml:space="preserve">obtained during the study </w:t>
      </w:r>
      <w:r w:rsidR="0094745B">
        <w:rPr>
          <w:rFonts w:ascii="Times New (W1)" w:hAnsi="Times New (W1)" w:cs="Times New (W1)"/>
          <w:bCs/>
        </w:rPr>
        <w:t>are not used for patient management and do not impact treatment decisions</w:t>
      </w:r>
      <w:r w:rsidR="000A2D2C">
        <w:rPr>
          <w:rFonts w:ascii="Times New (W1)" w:hAnsi="Times New (W1)" w:cs="Times New (W1)"/>
          <w:bCs/>
        </w:rPr>
        <w:t>. An</w:t>
      </w:r>
      <w:r w:rsidR="0094745B">
        <w:rPr>
          <w:rFonts w:ascii="Times New (W1)" w:hAnsi="Times New (W1)" w:cs="Times New (W1)"/>
          <w:bCs/>
        </w:rPr>
        <w:t xml:space="preserve"> </w:t>
      </w:r>
      <w:r w:rsidR="002E3482">
        <w:rPr>
          <w:rFonts w:ascii="Times New (W1)" w:hAnsi="Times New (W1)" w:cs="Times New (W1)"/>
          <w:bCs/>
        </w:rPr>
        <w:t>interventional stud</w:t>
      </w:r>
      <w:r w:rsidR="000A2D2C">
        <w:rPr>
          <w:rFonts w:ascii="Times New (W1)" w:hAnsi="Times New (W1)" w:cs="Times New (W1)"/>
          <w:bCs/>
        </w:rPr>
        <w:t xml:space="preserve">y </w:t>
      </w:r>
      <w:r w:rsidR="000A2D2C" w:rsidRPr="002E3482">
        <w:rPr>
          <w:rFonts w:ascii="Times New (W1)" w:hAnsi="Times New (W1)" w:cs="Times New (W1)"/>
        </w:rPr>
        <w:t xml:space="preserve">refers to a study in which </w:t>
      </w:r>
      <w:r w:rsidR="000A2D2C">
        <w:rPr>
          <w:rFonts w:ascii="Times New (W1)" w:hAnsi="Times New (W1)" w:cs="Times New (W1)"/>
        </w:rPr>
        <w:t xml:space="preserve">test </w:t>
      </w:r>
      <w:r w:rsidR="000A2D2C">
        <w:rPr>
          <w:rFonts w:ascii="Times New (W1)" w:hAnsi="Times New (W1)" w:cs="Times New (W1)"/>
          <w:bCs/>
        </w:rPr>
        <w:t xml:space="preserve">results obtained during the study </w:t>
      </w:r>
      <w:r w:rsidR="002E3482" w:rsidRPr="002E3482">
        <w:rPr>
          <w:rFonts w:ascii="Times New (W1)" w:hAnsi="Times New (W1)" w:cs="Times New (W1)"/>
          <w:bCs/>
        </w:rPr>
        <w:t>may influence patient management decisions and may be used to guide treatments</w:t>
      </w:r>
      <w:r w:rsidR="002E3482">
        <w:rPr>
          <w:rFonts w:ascii="Times New (W1)" w:hAnsi="Times New (W1)" w:cs="Times New (W1)"/>
          <w:bCs/>
        </w:rPr>
        <w:t>.</w:t>
      </w:r>
      <w:r w:rsidR="0094745B">
        <w:t xml:space="preserve"> </w:t>
      </w:r>
    </w:p>
    <w:p w:rsidR="00B97B95" w:rsidRDefault="0094745B" w:rsidP="00B97B95">
      <w:pPr>
        <w:pStyle w:val="NormalWeb"/>
      </w:pPr>
      <w:r>
        <w:t>Observational des</w:t>
      </w:r>
      <w:r w:rsidR="002E3482">
        <w:t xml:space="preserve">ign </w:t>
      </w:r>
      <w:r w:rsidR="00F33B45">
        <w:t xml:space="preserve">can be further </w:t>
      </w:r>
      <w:r w:rsidR="00B64F09">
        <w:t>characterized as</w:t>
      </w:r>
      <w:r w:rsidR="00F33B45">
        <w:t xml:space="preserve"> a combination</w:t>
      </w:r>
      <w:r w:rsidR="00E30B5B">
        <w:t xml:space="preserve"> of the following designs</w:t>
      </w:r>
      <w:r w:rsidR="00F33B45">
        <w:t>:</w:t>
      </w:r>
    </w:p>
    <w:p w:rsidR="008769D5" w:rsidRDefault="00F36E4C" w:rsidP="008E006F">
      <w:pPr>
        <w:pStyle w:val="NormalWeb"/>
        <w:numPr>
          <w:ilvl w:val="0"/>
          <w:numId w:val="5"/>
        </w:numPr>
        <w:tabs>
          <w:tab w:val="num" w:pos="1080"/>
        </w:tabs>
        <w:autoSpaceDE w:val="0"/>
        <w:autoSpaceDN w:val="0"/>
        <w:adjustRightInd w:val="0"/>
        <w:spacing w:before="60" w:beforeAutospacing="0" w:after="60" w:afterAutospacing="0"/>
      </w:pPr>
      <w:r w:rsidRPr="008E006F">
        <w:rPr>
          <w:b/>
        </w:rPr>
        <w:t>C</w:t>
      </w:r>
      <w:r w:rsidR="00AD54C1" w:rsidRPr="008E006F">
        <w:rPr>
          <w:b/>
        </w:rPr>
        <w:t>ross-sectional design (</w:t>
      </w:r>
      <w:r w:rsidR="008769D5" w:rsidRPr="008E006F">
        <w:rPr>
          <w:b/>
        </w:rPr>
        <w:t>single time</w:t>
      </w:r>
      <w:r w:rsidR="000C36F4" w:rsidRPr="008E006F">
        <w:rPr>
          <w:b/>
        </w:rPr>
        <w:t>-</w:t>
      </w:r>
      <w:r w:rsidR="008769D5" w:rsidRPr="008E006F">
        <w:rPr>
          <w:b/>
        </w:rPr>
        <w:t>point design</w:t>
      </w:r>
      <w:r w:rsidR="00AD54C1" w:rsidRPr="008E006F">
        <w:rPr>
          <w:b/>
        </w:rPr>
        <w:t>)</w:t>
      </w:r>
      <w:r w:rsidR="007C16C3" w:rsidRPr="008E006F">
        <w:t xml:space="preserve"> </w:t>
      </w:r>
      <w:r w:rsidR="008769D5">
        <w:t xml:space="preserve">– testing of one or few </w:t>
      </w:r>
      <w:r w:rsidR="00B84D88">
        <w:t>specimens</w:t>
      </w:r>
      <w:r w:rsidR="00E612C6">
        <w:t>/samples</w:t>
      </w:r>
      <w:r w:rsidR="008769D5">
        <w:t xml:space="preserve"> per patient that </w:t>
      </w:r>
      <w:r w:rsidR="00E66B9A">
        <w:t>are</w:t>
      </w:r>
      <w:r w:rsidR="008769D5">
        <w:t xml:space="preserve"> collected at a single time</w:t>
      </w:r>
      <w:r w:rsidR="000C36F4">
        <w:t>-</w:t>
      </w:r>
      <w:r w:rsidR="008769D5">
        <w:t xml:space="preserve">point </w:t>
      </w:r>
    </w:p>
    <w:p w:rsidR="008769D5" w:rsidRPr="00A24837" w:rsidRDefault="00F36E4C" w:rsidP="008E006F">
      <w:pPr>
        <w:pStyle w:val="NormalWeb"/>
        <w:numPr>
          <w:ilvl w:val="0"/>
          <w:numId w:val="5"/>
        </w:numPr>
        <w:tabs>
          <w:tab w:val="num" w:pos="1080"/>
        </w:tabs>
        <w:autoSpaceDE w:val="0"/>
        <w:autoSpaceDN w:val="0"/>
        <w:adjustRightInd w:val="0"/>
        <w:spacing w:before="60" w:beforeAutospacing="0" w:after="60" w:afterAutospacing="0"/>
      </w:pPr>
      <w:r w:rsidRPr="008E006F">
        <w:rPr>
          <w:b/>
        </w:rPr>
        <w:t>L</w:t>
      </w:r>
      <w:r w:rsidR="008769D5" w:rsidRPr="008E006F">
        <w:rPr>
          <w:b/>
        </w:rPr>
        <w:t>ongitudinal design</w:t>
      </w:r>
      <w:r w:rsidR="008769D5" w:rsidRPr="008E006F">
        <w:t xml:space="preserve"> – testing of multiple </w:t>
      </w:r>
      <w:r w:rsidR="00B84D88">
        <w:t>specimens</w:t>
      </w:r>
      <w:r w:rsidR="00E612C6">
        <w:t>/samples</w:t>
      </w:r>
      <w:r w:rsidR="008769D5" w:rsidRPr="008E006F">
        <w:t xml:space="preserve"> per patient that </w:t>
      </w:r>
      <w:r w:rsidR="00E66B9A" w:rsidRPr="008E006F">
        <w:t>are</w:t>
      </w:r>
      <w:r w:rsidR="008769D5" w:rsidRPr="008E006F">
        <w:t xml:space="preserve"> collected over an extended period of time (e.g. weeks, months, years)</w:t>
      </w:r>
      <w:r w:rsidR="00183B7E" w:rsidRPr="008E006F">
        <w:t xml:space="preserve"> </w:t>
      </w:r>
    </w:p>
    <w:p w:rsidR="00B97B95" w:rsidRPr="008E006F" w:rsidRDefault="00F36E4C" w:rsidP="008E006F">
      <w:pPr>
        <w:pStyle w:val="NormalWeb"/>
        <w:numPr>
          <w:ilvl w:val="0"/>
          <w:numId w:val="5"/>
        </w:numPr>
        <w:tabs>
          <w:tab w:val="num" w:pos="1080"/>
        </w:tabs>
        <w:autoSpaceDE w:val="0"/>
        <w:autoSpaceDN w:val="0"/>
        <w:adjustRightInd w:val="0"/>
        <w:spacing w:before="60" w:beforeAutospacing="0" w:after="60" w:afterAutospacing="0"/>
      </w:pPr>
      <w:r w:rsidRPr="008E006F">
        <w:rPr>
          <w:b/>
        </w:rPr>
        <w:t>R</w:t>
      </w:r>
      <w:r w:rsidR="00B97B95" w:rsidRPr="008E006F">
        <w:rPr>
          <w:b/>
        </w:rPr>
        <w:t>etrospective design</w:t>
      </w:r>
      <w:r w:rsidR="00B97B95" w:rsidRPr="008E006F">
        <w:t xml:space="preserve"> – testing of </w:t>
      </w:r>
      <w:r w:rsidR="00791699" w:rsidRPr="008E006F">
        <w:t xml:space="preserve">previously collected </w:t>
      </w:r>
      <w:r w:rsidR="00B84D88" w:rsidRPr="008E006F">
        <w:t>specimens</w:t>
      </w:r>
      <w:r w:rsidR="00B97B95" w:rsidRPr="008E006F">
        <w:t xml:space="preserve"> for which the analyt</w:t>
      </w:r>
      <w:r w:rsidR="00DF3FBA" w:rsidRPr="008E006F">
        <w:t>e</w:t>
      </w:r>
      <w:r w:rsidR="00B97B95" w:rsidRPr="008E006F">
        <w:t xml:space="preserve"> status and the patient’s clinical status is known</w:t>
      </w:r>
      <w:r w:rsidR="00C32AB4" w:rsidRPr="008E006F">
        <w:t xml:space="preserve"> (characterized </w:t>
      </w:r>
      <w:r w:rsidR="00B84D88" w:rsidRPr="008E006F">
        <w:t>specimens</w:t>
      </w:r>
      <w:r w:rsidR="00C32AB4" w:rsidRPr="008E006F">
        <w:t>)</w:t>
      </w:r>
      <w:r w:rsidR="00A410A3" w:rsidRPr="008E006F">
        <w:t xml:space="preserve"> prior to the commencement of the study</w:t>
      </w:r>
      <w:r w:rsidR="005A62EF" w:rsidRPr="008E006F">
        <w:t xml:space="preserve"> </w:t>
      </w:r>
    </w:p>
    <w:p w:rsidR="0043545D" w:rsidRPr="008E006F" w:rsidRDefault="00F36E4C" w:rsidP="008E006F">
      <w:pPr>
        <w:pStyle w:val="NormalWeb"/>
        <w:numPr>
          <w:ilvl w:val="0"/>
          <w:numId w:val="5"/>
        </w:numPr>
        <w:tabs>
          <w:tab w:val="num" w:pos="1080"/>
        </w:tabs>
        <w:autoSpaceDE w:val="0"/>
        <w:autoSpaceDN w:val="0"/>
        <w:adjustRightInd w:val="0"/>
        <w:spacing w:before="60" w:beforeAutospacing="0" w:after="60" w:afterAutospacing="0"/>
      </w:pPr>
      <w:r w:rsidRPr="008E006F">
        <w:rPr>
          <w:b/>
        </w:rPr>
        <w:t>P</w:t>
      </w:r>
      <w:r w:rsidR="00B97B95" w:rsidRPr="008E006F">
        <w:rPr>
          <w:b/>
        </w:rPr>
        <w:t>rospective design</w:t>
      </w:r>
      <w:r w:rsidR="00B97B95" w:rsidRPr="008E006F">
        <w:t xml:space="preserve"> – </w:t>
      </w:r>
      <w:r w:rsidR="00587645" w:rsidRPr="008E006F">
        <w:t xml:space="preserve">testing of </w:t>
      </w:r>
      <w:r w:rsidR="00B84D88" w:rsidRPr="008E006F">
        <w:t>specimens</w:t>
      </w:r>
      <w:r w:rsidR="00587645" w:rsidRPr="008E006F">
        <w:t xml:space="preserve"> </w:t>
      </w:r>
      <w:r w:rsidR="0004451E" w:rsidRPr="008E006F">
        <w:t xml:space="preserve">collected </w:t>
      </w:r>
      <w:r w:rsidR="00426C71" w:rsidRPr="008E006F">
        <w:t xml:space="preserve">before or </w:t>
      </w:r>
      <w:r w:rsidR="0004451E" w:rsidRPr="008E006F">
        <w:t xml:space="preserve">during the study </w:t>
      </w:r>
      <w:r w:rsidR="00426C71" w:rsidRPr="008E006F">
        <w:t>but</w:t>
      </w:r>
      <w:r w:rsidR="0004451E" w:rsidRPr="008E006F">
        <w:t xml:space="preserve"> </w:t>
      </w:r>
      <w:r w:rsidR="00587645" w:rsidRPr="008E006F">
        <w:t>for which both the analyte status and the patient’s clinical status are established during the study</w:t>
      </w:r>
    </w:p>
    <w:p w:rsidR="00C32AB4" w:rsidRPr="008E006F" w:rsidRDefault="00F36E4C" w:rsidP="008E006F">
      <w:pPr>
        <w:pStyle w:val="NormalWeb"/>
        <w:numPr>
          <w:ilvl w:val="0"/>
          <w:numId w:val="5"/>
        </w:numPr>
        <w:tabs>
          <w:tab w:val="num" w:pos="1080"/>
        </w:tabs>
        <w:autoSpaceDE w:val="0"/>
        <w:autoSpaceDN w:val="0"/>
        <w:adjustRightInd w:val="0"/>
        <w:spacing w:before="60" w:beforeAutospacing="0" w:after="60" w:afterAutospacing="0"/>
      </w:pPr>
      <w:r w:rsidRPr="008E006F">
        <w:rPr>
          <w:b/>
        </w:rPr>
        <w:t>P</w:t>
      </w:r>
      <w:r w:rsidR="0043545D" w:rsidRPr="008E006F">
        <w:rPr>
          <w:b/>
        </w:rPr>
        <w:t>rospective-retrospective design</w:t>
      </w:r>
      <w:r w:rsidR="0043545D" w:rsidRPr="008E006F">
        <w:t xml:space="preserve"> – testing of previously collected </w:t>
      </w:r>
      <w:r w:rsidR="00B84D88" w:rsidRPr="008E006F">
        <w:t>specimens</w:t>
      </w:r>
      <w:r w:rsidR="0043545D" w:rsidRPr="008E006F">
        <w:t xml:space="preserve"> for which the clinical status is known </w:t>
      </w:r>
      <w:r w:rsidR="00FC79AC">
        <w:t xml:space="preserve">but </w:t>
      </w:r>
      <w:r w:rsidR="0043545D" w:rsidRPr="008E006F">
        <w:t>the analyte status is unknown</w:t>
      </w:r>
      <w:r w:rsidR="00C70816" w:rsidRPr="008E006F">
        <w:t xml:space="preserve"> and will be established during the study</w:t>
      </w:r>
    </w:p>
    <w:p w:rsidR="002D562B" w:rsidRPr="008E006F" w:rsidRDefault="008E006F" w:rsidP="008E006F">
      <w:pPr>
        <w:pStyle w:val="def-exp"/>
        <w:spacing w:before="120" w:after="120"/>
        <w:ind w:left="811" w:hanging="811"/>
        <w:rPr>
          <w:b/>
          <w:i w:val="0"/>
        </w:rPr>
      </w:pPr>
      <w:r>
        <w:rPr>
          <w:b/>
          <w:i w:val="0"/>
        </w:rPr>
        <w:t>NOTE</w:t>
      </w:r>
      <w:r w:rsidR="002D562B" w:rsidRPr="008E006F">
        <w:rPr>
          <w:b/>
          <w:i w:val="0"/>
        </w:rPr>
        <w:t>:</w:t>
      </w:r>
      <w:r w:rsidR="002D562B" w:rsidRPr="008E006F">
        <w:rPr>
          <w:i w:val="0"/>
        </w:rPr>
        <w:t xml:space="preserve"> The terminology for the various study designs can be used in the context of either diagnostic or epidemiologic studies, and these terms are associated with defi</w:t>
      </w:r>
      <w:r w:rsidR="00386C73">
        <w:rPr>
          <w:i w:val="0"/>
        </w:rPr>
        <w:t xml:space="preserve">nitions that vary accordingly. </w:t>
      </w:r>
      <w:r w:rsidR="002D562B" w:rsidRPr="008E006F">
        <w:rPr>
          <w:i w:val="0"/>
        </w:rPr>
        <w:t>The definitions and methodologies described in this document refer to diagnostic test designs, not epidemiological designs.</w:t>
      </w:r>
    </w:p>
    <w:p w:rsidR="00DE5528" w:rsidRPr="00104CF5" w:rsidRDefault="00D66F4E" w:rsidP="00104CF5">
      <w:pPr>
        <w:pStyle w:val="NormalWeb"/>
        <w:spacing w:before="120" w:beforeAutospacing="0" w:after="120" w:afterAutospacing="0"/>
      </w:pPr>
      <w:r>
        <w:t xml:space="preserve">Figure 1 provides an illustration of the use of </w:t>
      </w:r>
      <w:r w:rsidR="00780A2B">
        <w:t xml:space="preserve">study </w:t>
      </w:r>
      <w:r>
        <w:t>design types for a single test purpose</w:t>
      </w:r>
      <w:r w:rsidR="00B97B95">
        <w:t xml:space="preserve">. Further clarifications on these study design </w:t>
      </w:r>
      <w:r w:rsidR="00703590">
        <w:t>types</w:t>
      </w:r>
      <w:r w:rsidR="00B97B95">
        <w:t xml:space="preserve"> are presented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0"/>
      </w:tblGrid>
      <w:tr w:rsidR="00B97B95" w:rsidRPr="00F4114C" w:rsidTr="00104CF5">
        <w:trPr>
          <w:trHeight w:val="4379"/>
        </w:trPr>
        <w:tc>
          <w:tcPr>
            <w:tcW w:w="9360" w:type="dxa"/>
            <w:tcBorders>
              <w:top w:val="nil"/>
              <w:left w:val="nil"/>
              <w:bottom w:val="nil"/>
              <w:right w:val="nil"/>
            </w:tcBorders>
          </w:tcPr>
          <w:p w:rsidR="00B97B95" w:rsidRPr="00F4114C" w:rsidRDefault="002351FA" w:rsidP="002370DE">
            <w:pPr>
              <w:pStyle w:val="NormalWeb"/>
              <w:keepLines/>
              <w:ind w:hanging="108"/>
              <w:jc w:val="center"/>
              <w:rPr>
                <w:sz w:val="8"/>
                <w:szCs w:val="8"/>
              </w:rPr>
            </w:pPr>
            <w:r w:rsidRPr="00F94AE4">
              <w:rPr>
                <w:sz w:val="8"/>
                <w:szCs w:val="8"/>
              </w:rPr>
              <w:lastRenderedPageBreak/>
              <w:pict>
                <v:shape id="_x0000_i1026" type="#_x0000_t75" style="width:321.5pt;height:322.35pt">
                  <v:imagedata r:id="rId16" o:title="Study Design_vertical_12Jul2012_v3" cropbottom="14015f" cropleft="17485f" cropright="10635f"/>
                </v:shape>
              </w:pict>
            </w:r>
          </w:p>
        </w:tc>
      </w:tr>
    </w:tbl>
    <w:p w:rsidR="00531138" w:rsidRPr="00531138" w:rsidRDefault="001672D3" w:rsidP="00386C73">
      <w:pPr>
        <w:tabs>
          <w:tab w:val="left" w:pos="1418"/>
        </w:tabs>
        <w:ind w:left="1418" w:hanging="1418"/>
        <w:rPr>
          <w:i/>
          <w:iCs/>
          <w:szCs w:val="24"/>
          <w:lang w:val="en-GB"/>
        </w:rPr>
      </w:pPr>
      <w:r>
        <w:rPr>
          <w:i/>
          <w:iCs/>
          <w:szCs w:val="24"/>
          <w:lang w:val="en-GB"/>
        </w:rPr>
        <w:t xml:space="preserve">Figure </w:t>
      </w:r>
      <w:r w:rsidR="00531138" w:rsidRPr="00531138">
        <w:rPr>
          <w:i/>
          <w:iCs/>
          <w:szCs w:val="24"/>
          <w:lang w:val="en-GB"/>
        </w:rPr>
        <w:t>1: Decision tree for clinical performance study design</w:t>
      </w:r>
    </w:p>
    <w:p w:rsidR="00531138" w:rsidRPr="00531138" w:rsidRDefault="00531138" w:rsidP="00531138">
      <w:pPr>
        <w:tabs>
          <w:tab w:val="left" w:pos="1418"/>
        </w:tabs>
        <w:ind w:left="1418" w:hanging="1418"/>
        <w:rPr>
          <w:i/>
          <w:iCs/>
          <w:szCs w:val="24"/>
          <w:u w:val="single"/>
          <w:lang w:val="en-GB"/>
        </w:rPr>
      </w:pPr>
    </w:p>
    <w:p w:rsidR="00043A3C" w:rsidRPr="008E006F" w:rsidRDefault="00F36E4C" w:rsidP="008E006F">
      <w:pPr>
        <w:pStyle w:val="def-exp"/>
        <w:ind w:left="810" w:hanging="810"/>
        <w:rPr>
          <w:i w:val="0"/>
        </w:rPr>
      </w:pPr>
      <w:r w:rsidRPr="008E006F">
        <w:rPr>
          <w:b/>
          <w:i w:val="0"/>
        </w:rPr>
        <w:t>NOTE</w:t>
      </w:r>
      <w:r w:rsidR="00043A3C" w:rsidRPr="008E006F">
        <w:rPr>
          <w:b/>
          <w:i w:val="0"/>
        </w:rPr>
        <w:t>:</w:t>
      </w:r>
      <w:r w:rsidR="00043A3C" w:rsidRPr="008E006F">
        <w:rPr>
          <w:i w:val="0"/>
        </w:rPr>
        <w:t xml:space="preserve"> In some cases it may be necessary to use a combination study design which includes both characterized</w:t>
      </w:r>
      <w:r w:rsidR="008E006F" w:rsidRPr="008E006F">
        <w:rPr>
          <w:i w:val="0"/>
        </w:rPr>
        <w:t xml:space="preserve"> and uncharacterized specimens.</w:t>
      </w:r>
    </w:p>
    <w:p w:rsidR="00B97B95" w:rsidRPr="00104CF5" w:rsidRDefault="00B97B95" w:rsidP="00104CF5">
      <w:pPr>
        <w:pStyle w:val="Heading2"/>
      </w:pPr>
      <w:bookmarkStart w:id="50" w:name="_Toc332286363"/>
      <w:r w:rsidRPr="00104CF5">
        <w:t>Observational Designs</w:t>
      </w:r>
      <w:bookmarkEnd w:id="50"/>
    </w:p>
    <w:p w:rsidR="00B97B95" w:rsidRDefault="00B97B95" w:rsidP="0000795F">
      <w:pPr>
        <w:pStyle w:val="NormalWeb"/>
        <w:spacing w:before="120" w:beforeAutospacing="0" w:after="120" w:afterAutospacing="0"/>
      </w:pPr>
      <w:r>
        <w:t xml:space="preserve">The majority of </w:t>
      </w:r>
      <w:r w:rsidR="00573D3E">
        <w:t>IVD</w:t>
      </w:r>
      <w:r>
        <w:t xml:space="preserve"> medical device clinical performance studies follow an observational design. This design is common and appropriate because</w:t>
      </w:r>
      <w:r w:rsidR="00573D3E">
        <w:t xml:space="preserve"> such study results are not used to determine patient </w:t>
      </w:r>
      <w:r w:rsidR="00D90CFB">
        <w:t xml:space="preserve">management </w:t>
      </w:r>
      <w:r w:rsidR="00573D3E">
        <w:t>decisions</w:t>
      </w:r>
      <w:r w:rsidR="001167F9">
        <w:t xml:space="preserve"> as they are done in parallel to the routine diagnostic testing. T</w:t>
      </w:r>
      <w:r w:rsidR="00573D3E">
        <w:t xml:space="preserve">he specimens </w:t>
      </w:r>
      <w:r w:rsidR="001167F9">
        <w:t xml:space="preserve">for these studies </w:t>
      </w:r>
      <w:r w:rsidR="00573D3E">
        <w:t>are derived from</w:t>
      </w:r>
      <w:r>
        <w:t xml:space="preserve">: </w:t>
      </w:r>
    </w:p>
    <w:p w:rsidR="00B97B95" w:rsidRPr="008E006F" w:rsidRDefault="00B97B95" w:rsidP="008E006F">
      <w:pPr>
        <w:pStyle w:val="NormalWeb"/>
        <w:numPr>
          <w:ilvl w:val="0"/>
          <w:numId w:val="5"/>
        </w:numPr>
        <w:tabs>
          <w:tab w:val="num" w:pos="1080"/>
        </w:tabs>
        <w:autoSpaceDE w:val="0"/>
        <w:autoSpaceDN w:val="0"/>
        <w:adjustRightInd w:val="0"/>
        <w:spacing w:before="60" w:beforeAutospacing="0" w:after="60" w:afterAutospacing="0"/>
      </w:pPr>
      <w:r w:rsidRPr="008E006F">
        <w:t xml:space="preserve">previously-collected specimens, such as </w:t>
      </w:r>
      <w:r w:rsidR="001D5A5D" w:rsidRPr="008E006F">
        <w:t>archived</w:t>
      </w:r>
      <w:r w:rsidRPr="008E006F">
        <w:t xml:space="preserve"> specimens or </w:t>
      </w:r>
      <w:r w:rsidR="005C311D" w:rsidRPr="008E006F">
        <w:t xml:space="preserve">leftover </w:t>
      </w:r>
      <w:r w:rsidRPr="008E006F">
        <w:t>specimens that would otherwise have been discarded (also called surplus specimens); and/or</w:t>
      </w:r>
    </w:p>
    <w:p w:rsidR="00E30B5B" w:rsidRPr="008E006F" w:rsidRDefault="001167F9" w:rsidP="008E006F">
      <w:pPr>
        <w:pStyle w:val="NormalWeb"/>
        <w:numPr>
          <w:ilvl w:val="0"/>
          <w:numId w:val="5"/>
        </w:numPr>
        <w:tabs>
          <w:tab w:val="num" w:pos="1080"/>
        </w:tabs>
        <w:autoSpaceDE w:val="0"/>
        <w:autoSpaceDN w:val="0"/>
        <w:adjustRightInd w:val="0"/>
        <w:spacing w:before="60" w:beforeAutospacing="0" w:after="60" w:afterAutospacing="0"/>
      </w:pPr>
      <w:r w:rsidRPr="008E006F">
        <w:t>additional specimen</w:t>
      </w:r>
      <w:r w:rsidR="009D1954" w:rsidRPr="008E006F">
        <w:t>s</w:t>
      </w:r>
      <w:r w:rsidRPr="008E006F">
        <w:t xml:space="preserve"> collected </w:t>
      </w:r>
      <w:r w:rsidR="00623974" w:rsidRPr="008E006F">
        <w:t xml:space="preserve">specifically </w:t>
      </w:r>
      <w:r w:rsidRPr="008E006F">
        <w:t xml:space="preserve">for the study purposes </w:t>
      </w:r>
    </w:p>
    <w:p w:rsidR="00B97B95" w:rsidRDefault="00E30B5B" w:rsidP="00E30B5B">
      <w:pPr>
        <w:pStyle w:val="NormalWeb"/>
        <w:autoSpaceDE w:val="0"/>
        <w:autoSpaceDN w:val="0"/>
        <w:adjustRightInd w:val="0"/>
        <w:spacing w:before="60" w:beforeAutospacing="0" w:after="60" w:afterAutospacing="0"/>
      </w:pPr>
      <w:r>
        <w:t xml:space="preserve">The following </w:t>
      </w:r>
      <w:r w:rsidR="00D2558C">
        <w:t xml:space="preserve">sections outline </w:t>
      </w:r>
      <w:r>
        <w:t xml:space="preserve">design types </w:t>
      </w:r>
      <w:r w:rsidR="00D2558C">
        <w:t xml:space="preserve">that </w:t>
      </w:r>
      <w:r w:rsidR="003241EA">
        <w:t xml:space="preserve">further </w:t>
      </w:r>
      <w:r>
        <w:t xml:space="preserve">characterize </w:t>
      </w:r>
      <w:r w:rsidR="003241EA">
        <w:t xml:space="preserve">studies of an observational </w:t>
      </w:r>
      <w:r w:rsidR="00F64D80">
        <w:t>nature</w:t>
      </w:r>
      <w:r w:rsidR="003241EA">
        <w:t>.</w:t>
      </w:r>
    </w:p>
    <w:p w:rsidR="00B97B95" w:rsidRPr="00F01D33" w:rsidRDefault="0046027E" w:rsidP="00B96639">
      <w:pPr>
        <w:pStyle w:val="Heading3"/>
      </w:pPr>
      <w:bookmarkStart w:id="51" w:name="_Toc306278586"/>
      <w:bookmarkStart w:id="52" w:name="_Toc306278587"/>
      <w:bookmarkStart w:id="53" w:name="_Toc306278588"/>
      <w:bookmarkStart w:id="54" w:name="_Toc306278598"/>
      <w:bookmarkStart w:id="55" w:name="_Toc306278603"/>
      <w:bookmarkStart w:id="56" w:name="_Toc306278604"/>
      <w:bookmarkStart w:id="57" w:name="_Toc306278605"/>
      <w:bookmarkStart w:id="58" w:name="_Toc332286364"/>
      <w:bookmarkEnd w:id="51"/>
      <w:bookmarkEnd w:id="52"/>
      <w:bookmarkEnd w:id="53"/>
      <w:bookmarkEnd w:id="54"/>
      <w:bookmarkEnd w:id="55"/>
      <w:bookmarkEnd w:id="56"/>
      <w:bookmarkEnd w:id="57"/>
      <w:r>
        <w:lastRenderedPageBreak/>
        <w:t>Cross-sectional</w:t>
      </w:r>
      <w:r w:rsidR="00B97B95">
        <w:t xml:space="preserve"> </w:t>
      </w:r>
      <w:r w:rsidR="00B97B95" w:rsidRPr="00F01D33">
        <w:t>Design</w:t>
      </w:r>
      <w:r w:rsidR="00B97B95">
        <w:t>s</w:t>
      </w:r>
      <w:bookmarkEnd w:id="58"/>
      <w:r w:rsidR="007259D0">
        <w:t xml:space="preserve"> </w:t>
      </w:r>
    </w:p>
    <w:p w:rsidR="00B97B95" w:rsidRDefault="0046027E" w:rsidP="00B97B95">
      <w:pPr>
        <w:pStyle w:val="NormalWeb"/>
      </w:pPr>
      <w:r>
        <w:t>Cross-sectional</w:t>
      </w:r>
      <w:r w:rsidR="00B97B95">
        <w:t xml:space="preserve"> </w:t>
      </w:r>
      <w:r w:rsidR="00986860">
        <w:t xml:space="preserve">clinical </w:t>
      </w:r>
      <w:r w:rsidR="00B97B95">
        <w:t>performance studies are those where correlation of test results to clinical condition can be established at a single time</w:t>
      </w:r>
      <w:r w:rsidR="007259D0">
        <w:t>-</w:t>
      </w:r>
      <w:r w:rsidR="00B97B95">
        <w:t>point</w:t>
      </w:r>
      <w:r w:rsidR="007259D0">
        <w:t xml:space="preserve">. </w:t>
      </w:r>
      <w:r w:rsidR="00B97B95">
        <w:t xml:space="preserve">Examples of </w:t>
      </w:r>
      <w:r w:rsidR="00156CA3">
        <w:t>cross-sectional</w:t>
      </w:r>
      <w:r w:rsidR="00B97B95">
        <w:t xml:space="preserve"> clinical performance studies are presented below.</w:t>
      </w:r>
    </w:p>
    <w:p w:rsidR="004B4CF0" w:rsidRDefault="00B97B95" w:rsidP="004B4CF0">
      <w:pPr>
        <w:pStyle w:val="NormalWeb"/>
      </w:pPr>
      <w:r>
        <w:tab/>
      </w:r>
      <w:r w:rsidR="004B4CF0">
        <w:t>Exa</w:t>
      </w:r>
      <w:r w:rsidR="004214BD">
        <w:t>m</w:t>
      </w:r>
      <w:r w:rsidR="004B4CF0">
        <w:t xml:space="preserve">ple 1 (Diagnosis): </w:t>
      </w:r>
      <w:r w:rsidR="00BA3ABC">
        <w:t>Troponin</w:t>
      </w:r>
      <w:r w:rsidR="004B4CF0">
        <w:t xml:space="preserve"> for the diagnosis of myocardial infarction.</w:t>
      </w:r>
    </w:p>
    <w:p w:rsidR="004B4CF0" w:rsidRDefault="00B97B95" w:rsidP="00B97EEE">
      <w:pPr>
        <w:pStyle w:val="NormalWeb"/>
        <w:ind w:left="720"/>
      </w:pPr>
      <w:r>
        <w:t xml:space="preserve">Example </w:t>
      </w:r>
      <w:r w:rsidR="004B4CF0">
        <w:t xml:space="preserve">2 </w:t>
      </w:r>
      <w:r>
        <w:t>(</w:t>
      </w:r>
      <w:r w:rsidR="0000795F">
        <w:t>S</w:t>
      </w:r>
      <w:r>
        <w:t>creening)</w:t>
      </w:r>
      <w:r w:rsidR="00104CF5">
        <w:t>:</w:t>
      </w:r>
      <w:r>
        <w:t xml:space="preserve"> </w:t>
      </w:r>
      <w:r w:rsidR="00123947">
        <w:t xml:space="preserve">Detection of </w:t>
      </w:r>
      <w:r w:rsidR="00EC13EC">
        <w:t>Human Papilloma Virus (HPV)</w:t>
      </w:r>
      <w:r w:rsidR="00F36E4C">
        <w:t xml:space="preserve"> in asymptomatic patients.</w:t>
      </w:r>
    </w:p>
    <w:p w:rsidR="004B4CF0" w:rsidRDefault="004B4CF0" w:rsidP="004B4CF0">
      <w:pPr>
        <w:pStyle w:val="NormalWeb"/>
        <w:ind w:left="720"/>
      </w:pPr>
      <w:r>
        <w:t xml:space="preserve">Example 3 (Predisposition): Detection of single nucleotide polymorphisms (SNPs) in particular genes (e.g. </w:t>
      </w:r>
      <w:r>
        <w:rPr>
          <w:rStyle w:val="Emphasis"/>
        </w:rPr>
        <w:t>HSPA1A</w:t>
      </w:r>
      <w:r>
        <w:t>) to estimate the risk</w:t>
      </w:r>
      <w:r w:rsidR="00F36E4C">
        <w:t xml:space="preserve"> of developing cardiac disease.</w:t>
      </w:r>
    </w:p>
    <w:p w:rsidR="004B4CF0" w:rsidRDefault="004B4CF0" w:rsidP="004B4CF0">
      <w:pPr>
        <w:pStyle w:val="NormalWeb"/>
        <w:ind w:left="720"/>
      </w:pPr>
      <w:r>
        <w:t>Example 4 (Prognosis):</w:t>
      </w:r>
      <w:r w:rsidRPr="00794946">
        <w:t xml:space="preserve"> </w:t>
      </w:r>
      <w:r w:rsidR="00F64D1E">
        <w:t xml:space="preserve">Breast cancer </w:t>
      </w:r>
      <w:r w:rsidR="00AE4DE6">
        <w:t xml:space="preserve">gene expression </w:t>
      </w:r>
      <w:r w:rsidR="00F64D1E">
        <w:t xml:space="preserve">profile </w:t>
      </w:r>
      <w:r w:rsidR="00AE4DE6">
        <w:t xml:space="preserve">test to determine </w:t>
      </w:r>
      <w:r w:rsidR="00F64D1E">
        <w:t xml:space="preserve">the </w:t>
      </w:r>
      <w:r w:rsidR="00AE4DE6">
        <w:t xml:space="preserve">risk </w:t>
      </w:r>
      <w:r w:rsidR="00F64D1E">
        <w:t>for distant metastasis.</w:t>
      </w:r>
    </w:p>
    <w:p w:rsidR="004B4CF0" w:rsidRDefault="004B4CF0" w:rsidP="004B4CF0">
      <w:pPr>
        <w:pStyle w:val="NormalWeb"/>
        <w:tabs>
          <w:tab w:val="left" w:pos="4200"/>
        </w:tabs>
        <w:ind w:left="720"/>
      </w:pPr>
      <w:r>
        <w:t>Example 5 (Prediction): Detection of KRAS mutation as a marker of probable failure of epidermal growth factor receptor (EGFR)-targeted therapy.</w:t>
      </w:r>
    </w:p>
    <w:p w:rsidR="00717031" w:rsidRPr="008E006F" w:rsidRDefault="00717031" w:rsidP="008E006F">
      <w:pPr>
        <w:pStyle w:val="def-exp"/>
        <w:ind w:left="810" w:hanging="810"/>
        <w:rPr>
          <w:b/>
          <w:i w:val="0"/>
        </w:rPr>
      </w:pPr>
      <w:r w:rsidRPr="008E006F">
        <w:rPr>
          <w:b/>
          <w:i w:val="0"/>
        </w:rPr>
        <w:t>NOTE:</w:t>
      </w:r>
      <w:r w:rsidR="009D6982" w:rsidRPr="008E006F">
        <w:rPr>
          <w:i w:val="0"/>
        </w:rPr>
        <w:t xml:space="preserve"> Refer to Appendix</w:t>
      </w:r>
      <w:r w:rsidRPr="008E006F">
        <w:rPr>
          <w:i w:val="0"/>
        </w:rPr>
        <w:t xml:space="preserve"> for a descript</w:t>
      </w:r>
      <w:r w:rsidR="009D6982" w:rsidRPr="008E006F">
        <w:rPr>
          <w:i w:val="0"/>
        </w:rPr>
        <w:t>ion of the common test purposes</w:t>
      </w:r>
      <w:r w:rsidRPr="008E006F">
        <w:rPr>
          <w:i w:val="0"/>
        </w:rPr>
        <w:t xml:space="preserve"> (e.g. screening, diagnosis, monitoring) for IVD </w:t>
      </w:r>
      <w:r w:rsidR="00156CA3">
        <w:rPr>
          <w:i w:val="0"/>
        </w:rPr>
        <w:t>m</w:t>
      </w:r>
      <w:r w:rsidRPr="008E006F">
        <w:rPr>
          <w:i w:val="0"/>
        </w:rPr>
        <w:t xml:space="preserve">edical </w:t>
      </w:r>
      <w:r w:rsidR="00156CA3">
        <w:rPr>
          <w:i w:val="0"/>
        </w:rPr>
        <w:t>d</w:t>
      </w:r>
      <w:r w:rsidRPr="008E006F">
        <w:rPr>
          <w:i w:val="0"/>
        </w:rPr>
        <w:t>evices.</w:t>
      </w:r>
    </w:p>
    <w:p w:rsidR="00D37FA3" w:rsidRPr="007F1D42" w:rsidRDefault="00D37FA3" w:rsidP="00D37FA3">
      <w:pPr>
        <w:pStyle w:val="NormalWeb"/>
        <w:tabs>
          <w:tab w:val="left" w:pos="4200"/>
        </w:tabs>
      </w:pPr>
      <w:r w:rsidRPr="007F1D42">
        <w:t xml:space="preserve">In some cases, it is necessary to follow a modified version of cross-sectional design whereby testing is performed only at the initial time point, but patients are evaluated at later time points (follow-up) to determine their clinical status. This modification is known as a </w:t>
      </w:r>
      <w:r w:rsidR="007C0DF1">
        <w:t>‘</w:t>
      </w:r>
      <w:r w:rsidRPr="007F1D42">
        <w:t>delayed cross-sectional design</w:t>
      </w:r>
      <w:r w:rsidR="007C0DF1">
        <w:t>’</w:t>
      </w:r>
      <w:r w:rsidRPr="007F1D42">
        <w:t xml:space="preserve"> and would apply in the following situations:</w:t>
      </w:r>
    </w:p>
    <w:p w:rsidR="00D37FA3" w:rsidRPr="007F1D42" w:rsidRDefault="00D37FA3" w:rsidP="008E006F">
      <w:pPr>
        <w:pStyle w:val="NormalWeb"/>
        <w:numPr>
          <w:ilvl w:val="0"/>
          <w:numId w:val="5"/>
        </w:numPr>
        <w:tabs>
          <w:tab w:val="num" w:pos="1080"/>
        </w:tabs>
        <w:autoSpaceDE w:val="0"/>
        <w:autoSpaceDN w:val="0"/>
        <w:adjustRightInd w:val="0"/>
        <w:spacing w:before="60" w:beforeAutospacing="0" w:after="60" w:afterAutospacing="0"/>
      </w:pPr>
      <w:r w:rsidRPr="007F1D42">
        <w:t>the IVD medical device is used to evaluate the likelihood of future states (i.e. predisposition, prognosis and prediction); or</w:t>
      </w:r>
    </w:p>
    <w:p w:rsidR="00D37FA3" w:rsidRPr="007F1D42" w:rsidRDefault="00D37FA3" w:rsidP="008E006F">
      <w:pPr>
        <w:pStyle w:val="NormalWeb"/>
        <w:numPr>
          <w:ilvl w:val="0"/>
          <w:numId w:val="5"/>
        </w:numPr>
        <w:tabs>
          <w:tab w:val="num" w:pos="1080"/>
        </w:tabs>
        <w:autoSpaceDE w:val="0"/>
        <w:autoSpaceDN w:val="0"/>
        <w:adjustRightInd w:val="0"/>
        <w:spacing w:before="60" w:beforeAutospacing="0" w:after="60" w:afterAutospacing="0"/>
      </w:pPr>
      <w:r w:rsidRPr="007F1D42">
        <w:t>there exists no applicable method to establish the clinical state at the time of testing or the method is deemed too invasive, thereby requiring follow-up to determine clinical outcome</w:t>
      </w:r>
    </w:p>
    <w:p w:rsidR="00B97B95" w:rsidRDefault="00B97B95" w:rsidP="00B96639">
      <w:pPr>
        <w:pStyle w:val="Heading3"/>
      </w:pPr>
      <w:bookmarkStart w:id="59" w:name="_Toc301712624"/>
      <w:bookmarkStart w:id="60" w:name="_Toc301712738"/>
      <w:bookmarkStart w:id="61" w:name="_Toc301712852"/>
      <w:bookmarkStart w:id="62" w:name="_Toc301712967"/>
      <w:bookmarkStart w:id="63" w:name="_Toc302023207"/>
      <w:bookmarkStart w:id="64" w:name="_Toc302023321"/>
      <w:bookmarkStart w:id="65" w:name="_Toc301712625"/>
      <w:bookmarkStart w:id="66" w:name="_Toc301712739"/>
      <w:bookmarkStart w:id="67" w:name="_Toc301712853"/>
      <w:bookmarkStart w:id="68" w:name="_Toc301712968"/>
      <w:bookmarkStart w:id="69" w:name="_Toc302023208"/>
      <w:bookmarkStart w:id="70" w:name="_Toc302023322"/>
      <w:bookmarkStart w:id="71" w:name="_Toc332286365"/>
      <w:bookmarkEnd w:id="59"/>
      <w:bookmarkEnd w:id="60"/>
      <w:bookmarkEnd w:id="61"/>
      <w:bookmarkEnd w:id="62"/>
      <w:bookmarkEnd w:id="63"/>
      <w:bookmarkEnd w:id="64"/>
      <w:bookmarkEnd w:id="65"/>
      <w:bookmarkEnd w:id="66"/>
      <w:bookmarkEnd w:id="67"/>
      <w:bookmarkEnd w:id="68"/>
      <w:bookmarkEnd w:id="69"/>
      <w:bookmarkEnd w:id="70"/>
      <w:r>
        <w:t>Longitudinal Designs</w:t>
      </w:r>
      <w:bookmarkEnd w:id="71"/>
    </w:p>
    <w:p w:rsidR="00B97B95" w:rsidRDefault="00B97B95" w:rsidP="00B97B95">
      <w:pPr>
        <w:pStyle w:val="NormalWeb"/>
      </w:pPr>
      <w:r>
        <w:t xml:space="preserve">Longitudinal </w:t>
      </w:r>
      <w:r w:rsidR="00986860">
        <w:t xml:space="preserve">clinical </w:t>
      </w:r>
      <w:r>
        <w:t xml:space="preserve">performance studies involve multiple patient measurements </w:t>
      </w:r>
      <w:r w:rsidR="00EC6A95">
        <w:t xml:space="preserve">of the same analyte </w:t>
      </w:r>
      <w:r>
        <w:t>over time to validate the clinical performance of an IVD medical device. Examples of longitudinal clinical performance studies are presented below.</w:t>
      </w:r>
    </w:p>
    <w:p w:rsidR="00DB4700" w:rsidRDefault="00B97B95" w:rsidP="00B97B95">
      <w:pPr>
        <w:pStyle w:val="NormalWeb"/>
        <w:ind w:left="720"/>
      </w:pPr>
      <w:r>
        <w:t xml:space="preserve">Example 1 </w:t>
      </w:r>
      <w:r w:rsidR="00EC6A95">
        <w:t>(Diagnosis)</w:t>
      </w:r>
      <w:r w:rsidR="007C16C3">
        <w:t>:</w:t>
      </w:r>
      <w:r w:rsidR="00EC6A95">
        <w:t xml:space="preserve"> </w:t>
      </w:r>
      <w:r w:rsidR="00EC6A95" w:rsidRPr="00EC6A95">
        <w:t xml:space="preserve">In women less than 40 years old who have had amenorrhea for 4 months or more, serial FSH testing is useful for the diagnosis of primary ovarian insufficiency (i.e. two FSH measurements, obtained at least 1 month apart, in the menopausal range). </w:t>
      </w:r>
    </w:p>
    <w:p w:rsidR="00B97B95" w:rsidRDefault="00DB4700" w:rsidP="00B97B95">
      <w:pPr>
        <w:pStyle w:val="NormalWeb"/>
        <w:ind w:left="720"/>
      </w:pPr>
      <w:r>
        <w:t xml:space="preserve">Example 2 </w:t>
      </w:r>
      <w:r w:rsidRPr="0030795C">
        <w:t xml:space="preserve">(Screening): </w:t>
      </w:r>
      <w:r>
        <w:t>In patients</w:t>
      </w:r>
      <w:r w:rsidR="00BC34D5">
        <w:t xml:space="preserve"> at risk of renal failure</w:t>
      </w:r>
      <w:r>
        <w:t>, serial cystatin C measurements can be used to screen for early renal function decline</w:t>
      </w:r>
      <w:r w:rsidR="007C16C3">
        <w:t>.</w:t>
      </w:r>
    </w:p>
    <w:p w:rsidR="00B97B95" w:rsidRDefault="00B97B95" w:rsidP="00B97B95">
      <w:pPr>
        <w:pStyle w:val="NormalWeb"/>
        <w:ind w:left="720"/>
      </w:pPr>
      <w:r>
        <w:lastRenderedPageBreak/>
        <w:t xml:space="preserve">Example </w:t>
      </w:r>
      <w:r w:rsidR="00DB4700">
        <w:t>3</w:t>
      </w:r>
      <w:r>
        <w:t xml:space="preserve"> (Monitoring): </w:t>
      </w:r>
      <w:r w:rsidR="00104CF5">
        <w:t>I</w:t>
      </w:r>
      <w:r>
        <w:t xml:space="preserve">n HIV infected patients the measurement of viral load after first establishing the baseline value </w:t>
      </w:r>
      <w:r w:rsidR="00DB4700">
        <w:t xml:space="preserve">can be used to assess </w:t>
      </w:r>
      <w:r>
        <w:t>treatment response.</w:t>
      </w:r>
    </w:p>
    <w:p w:rsidR="00B13280" w:rsidRPr="00242CDE" w:rsidRDefault="00B13280" w:rsidP="00B97B95">
      <w:pPr>
        <w:pStyle w:val="NormalWeb"/>
        <w:ind w:left="720"/>
      </w:pPr>
      <w:r>
        <w:t>Example 4 (Predisposition):</w:t>
      </w:r>
      <w:r w:rsidR="00242CDE" w:rsidDel="00242CDE">
        <w:t xml:space="preserve"> </w:t>
      </w:r>
      <w:r w:rsidR="00242CDE" w:rsidRPr="00B97EEE">
        <w:t>Determination of the somatic mutation rate to estimate the risk of developing cancer.</w:t>
      </w:r>
    </w:p>
    <w:p w:rsidR="00B97B95" w:rsidRDefault="00B97B95" w:rsidP="00B97B95">
      <w:pPr>
        <w:pStyle w:val="NormalWeb"/>
        <w:ind w:left="720"/>
      </w:pPr>
      <w:r>
        <w:t xml:space="preserve">Example </w:t>
      </w:r>
      <w:r w:rsidR="005E442E">
        <w:t>5</w:t>
      </w:r>
      <w:r>
        <w:t xml:space="preserve"> (Prognos</w:t>
      </w:r>
      <w:r w:rsidR="00327FFB">
        <w:t>is</w:t>
      </w:r>
      <w:r>
        <w:t>): In heart failure patients, a minimal change in B-type natriuretic peptide (BNP) levels upon initiation of therapy is associated with a low risk of mortality.</w:t>
      </w:r>
    </w:p>
    <w:p w:rsidR="005E442E" w:rsidRDefault="005E442E" w:rsidP="005E442E">
      <w:pPr>
        <w:pStyle w:val="NormalWeb"/>
        <w:tabs>
          <w:tab w:val="left" w:pos="4200"/>
        </w:tabs>
        <w:ind w:left="720"/>
      </w:pPr>
      <w:r>
        <w:t xml:space="preserve">Example 6 (Prediction): For chronic myeloid leukemia (CML) patients undergoing imatinib treatment, </w:t>
      </w:r>
      <w:r w:rsidR="00205C43">
        <w:t xml:space="preserve">significant </w:t>
      </w:r>
      <w:r>
        <w:t xml:space="preserve">decrease of BCR-ABL mRNA levels </w:t>
      </w:r>
      <w:r w:rsidR="00205C43">
        <w:t>over time</w:t>
      </w:r>
      <w:r>
        <w:t xml:space="preserve"> is predictive of continued treatment response.</w:t>
      </w:r>
    </w:p>
    <w:p w:rsidR="00B96639" w:rsidRPr="00E30B5B" w:rsidRDefault="00E95104" w:rsidP="00B96639">
      <w:pPr>
        <w:pStyle w:val="Heading3"/>
      </w:pPr>
      <w:bookmarkStart w:id="72" w:name="_Toc332286366"/>
      <w:r>
        <w:t>Retrospective and Prospective</w:t>
      </w:r>
      <w:r w:rsidR="00B96639" w:rsidRPr="00E30B5B">
        <w:t xml:space="preserve"> Designs</w:t>
      </w:r>
      <w:bookmarkEnd w:id="72"/>
    </w:p>
    <w:p w:rsidR="00761F0E" w:rsidRDefault="00761F0E" w:rsidP="00761F0E">
      <w:pPr>
        <w:pStyle w:val="NormalWeb"/>
      </w:pPr>
      <w:r>
        <w:t xml:space="preserve">This section describes clinical performance </w:t>
      </w:r>
      <w:r w:rsidR="00276A38">
        <w:t xml:space="preserve">studies that follow a retrospective design, </w:t>
      </w:r>
      <w:r w:rsidR="003D2D3C">
        <w:t>studies t</w:t>
      </w:r>
      <w:r w:rsidR="00F37A85">
        <w:t>hat follow a prospective design,</w:t>
      </w:r>
      <w:r>
        <w:t xml:space="preserve"> </w:t>
      </w:r>
      <w:r w:rsidR="0055011A">
        <w:t xml:space="preserve">studies that follow </w:t>
      </w:r>
      <w:r w:rsidR="0043545D">
        <w:t xml:space="preserve">prospective-retrospective study design and </w:t>
      </w:r>
      <w:r w:rsidR="00A81158">
        <w:t>studies that combine</w:t>
      </w:r>
      <w:r w:rsidR="0055011A">
        <w:t xml:space="preserve"> multiple</w:t>
      </w:r>
      <w:r w:rsidR="00424B90">
        <w:t xml:space="preserve"> designs</w:t>
      </w:r>
      <w:r w:rsidR="0043545D">
        <w:t>.</w:t>
      </w:r>
    </w:p>
    <w:p w:rsidR="00212721" w:rsidRPr="00EE29DC" w:rsidRDefault="00212721" w:rsidP="00212721">
      <w:pPr>
        <w:pStyle w:val="NormalWeb"/>
      </w:pPr>
      <w:r w:rsidRPr="00EE29DC">
        <w:t xml:space="preserve">Retrospective studies are appropriate if </w:t>
      </w:r>
      <w:r>
        <w:t xml:space="preserve">the </w:t>
      </w:r>
      <w:r w:rsidRPr="00EE29DC">
        <w:t>following criteria are addressed:</w:t>
      </w:r>
    </w:p>
    <w:p w:rsidR="00212721" w:rsidRPr="006C4E3E" w:rsidRDefault="004F3ACD" w:rsidP="008E006F">
      <w:pPr>
        <w:pStyle w:val="NormalWeb"/>
        <w:numPr>
          <w:ilvl w:val="0"/>
          <w:numId w:val="5"/>
        </w:numPr>
        <w:tabs>
          <w:tab w:val="num" w:pos="1080"/>
        </w:tabs>
        <w:autoSpaceDE w:val="0"/>
        <w:autoSpaceDN w:val="0"/>
        <w:adjustRightInd w:val="0"/>
        <w:spacing w:before="60" w:beforeAutospacing="0" w:after="60" w:afterAutospacing="0"/>
      </w:pPr>
      <w:r>
        <w:t>the s</w:t>
      </w:r>
      <w:r w:rsidR="00D37FA3">
        <w:t>pecimens</w:t>
      </w:r>
      <w:r w:rsidR="00212721" w:rsidRPr="006C4E3E">
        <w:t xml:space="preserve"> are representative of the intended use population (e.g. reflects variability of the clinical condition not just typical cases);</w:t>
      </w:r>
    </w:p>
    <w:p w:rsidR="00212721" w:rsidRPr="006C4E3E" w:rsidRDefault="004F3ACD" w:rsidP="008E006F">
      <w:pPr>
        <w:pStyle w:val="NormalWeb"/>
        <w:numPr>
          <w:ilvl w:val="0"/>
          <w:numId w:val="5"/>
        </w:numPr>
        <w:tabs>
          <w:tab w:val="num" w:pos="1080"/>
        </w:tabs>
        <w:autoSpaceDE w:val="0"/>
        <w:autoSpaceDN w:val="0"/>
        <w:adjustRightInd w:val="0"/>
        <w:spacing w:before="60" w:beforeAutospacing="0" w:after="60" w:afterAutospacing="0"/>
      </w:pPr>
      <w:r>
        <w:t xml:space="preserve">the </w:t>
      </w:r>
      <w:r w:rsidR="00B70A07">
        <w:t>s</w:t>
      </w:r>
      <w:r w:rsidR="00D37FA3">
        <w:t>pecimens</w:t>
      </w:r>
      <w:r w:rsidR="00212721" w:rsidRPr="006C4E3E">
        <w:t xml:space="preserve"> </w:t>
      </w:r>
      <w:r>
        <w:t xml:space="preserve">are derived </w:t>
      </w:r>
      <w:r w:rsidR="00212721" w:rsidRPr="006C4E3E">
        <w:t>from a sufficiently large number of study subjects to reflect a random sampling;</w:t>
      </w:r>
    </w:p>
    <w:p w:rsidR="00212721" w:rsidRPr="00EE29DC" w:rsidRDefault="00212721" w:rsidP="008E006F">
      <w:pPr>
        <w:pStyle w:val="NormalWeb"/>
        <w:numPr>
          <w:ilvl w:val="0"/>
          <w:numId w:val="5"/>
        </w:numPr>
        <w:tabs>
          <w:tab w:val="num" w:pos="1080"/>
        </w:tabs>
        <w:autoSpaceDE w:val="0"/>
        <w:autoSpaceDN w:val="0"/>
        <w:adjustRightInd w:val="0"/>
        <w:spacing w:before="60" w:beforeAutospacing="0" w:after="60" w:afterAutospacing="0"/>
      </w:pPr>
      <w:r w:rsidRPr="00EE29DC">
        <w:t xml:space="preserve">there is adequate data related to the </w:t>
      </w:r>
      <w:r>
        <w:t>clinical status</w:t>
      </w:r>
      <w:r w:rsidRPr="00EE29DC">
        <w:t xml:space="preserve"> of patients;</w:t>
      </w:r>
    </w:p>
    <w:p w:rsidR="00212721" w:rsidRPr="00EE29DC" w:rsidRDefault="00212721" w:rsidP="008E006F">
      <w:pPr>
        <w:pStyle w:val="NormalWeb"/>
        <w:numPr>
          <w:ilvl w:val="0"/>
          <w:numId w:val="5"/>
        </w:numPr>
        <w:tabs>
          <w:tab w:val="num" w:pos="1080"/>
        </w:tabs>
        <w:autoSpaceDE w:val="0"/>
        <w:autoSpaceDN w:val="0"/>
        <w:adjustRightInd w:val="0"/>
        <w:spacing w:before="60" w:beforeAutospacing="0" w:after="60" w:afterAutospacing="0"/>
      </w:pPr>
      <w:r w:rsidRPr="00EE29DC">
        <w:t>the s</w:t>
      </w:r>
      <w:r w:rsidR="00D37FA3">
        <w:t>amples</w:t>
      </w:r>
      <w:r w:rsidRPr="00EE29DC">
        <w:t xml:space="preserve"> span the </w:t>
      </w:r>
      <w:r w:rsidR="00EA1F23">
        <w:t>assay range (if applicable);</w:t>
      </w:r>
    </w:p>
    <w:p w:rsidR="00212721" w:rsidRDefault="00212721" w:rsidP="008E006F">
      <w:pPr>
        <w:pStyle w:val="NormalWeb"/>
        <w:numPr>
          <w:ilvl w:val="0"/>
          <w:numId w:val="5"/>
        </w:numPr>
        <w:tabs>
          <w:tab w:val="num" w:pos="1080"/>
        </w:tabs>
        <w:autoSpaceDE w:val="0"/>
        <w:autoSpaceDN w:val="0"/>
        <w:adjustRightInd w:val="0"/>
        <w:spacing w:before="60" w:beforeAutospacing="0" w:after="60" w:afterAutospacing="0"/>
      </w:pPr>
      <w:r w:rsidRPr="00EE29DC">
        <w:t>the</w:t>
      </w:r>
      <w:r w:rsidR="004F3ACD">
        <w:t xml:space="preserve">re is minimal bias due to </w:t>
      </w:r>
      <w:r w:rsidR="00EB094B">
        <w:t>specimen/</w:t>
      </w:r>
      <w:r w:rsidR="004F3ACD">
        <w:t>s</w:t>
      </w:r>
      <w:r w:rsidR="00B70A07">
        <w:t>amp</w:t>
      </w:r>
      <w:r w:rsidR="00D37FA3">
        <w:t>le</w:t>
      </w:r>
      <w:r w:rsidRPr="00EE29DC">
        <w:t xml:space="preserve"> selection</w:t>
      </w:r>
      <w:r w:rsidR="00F65BB1">
        <w:t>;</w:t>
      </w:r>
      <w:r w:rsidR="004F3ACD">
        <w:t xml:space="preserve"> </w:t>
      </w:r>
      <w:r w:rsidR="00F65BB1">
        <w:t>and</w:t>
      </w:r>
    </w:p>
    <w:p w:rsidR="00F65BB1" w:rsidRDefault="00F65BB1" w:rsidP="008E006F">
      <w:pPr>
        <w:pStyle w:val="NormalWeb"/>
        <w:numPr>
          <w:ilvl w:val="0"/>
          <w:numId w:val="5"/>
        </w:numPr>
        <w:tabs>
          <w:tab w:val="num" w:pos="1080"/>
        </w:tabs>
        <w:autoSpaceDE w:val="0"/>
        <w:autoSpaceDN w:val="0"/>
        <w:adjustRightInd w:val="0"/>
        <w:spacing w:before="60" w:beforeAutospacing="0" w:after="60" w:afterAutospacing="0"/>
      </w:pPr>
      <w:r>
        <w:t>the analyte is stable over time</w:t>
      </w:r>
      <w:r w:rsidR="00EA1F23">
        <w:t>.</w:t>
      </w:r>
    </w:p>
    <w:p w:rsidR="00F65BB1" w:rsidRDefault="00276A38" w:rsidP="00F65BB1">
      <w:pPr>
        <w:pStyle w:val="NormalWeb"/>
      </w:pPr>
      <w:r>
        <w:t>When the</w:t>
      </w:r>
      <w:r w:rsidR="00F65BB1">
        <w:t xml:space="preserve"> criteria </w:t>
      </w:r>
      <w:r>
        <w:t>for retrospective study design eligibi</w:t>
      </w:r>
      <w:r w:rsidR="00557C38">
        <w:t>li</w:t>
      </w:r>
      <w:r>
        <w:t xml:space="preserve">ty </w:t>
      </w:r>
      <w:r w:rsidR="00F65BB1">
        <w:t>are not met</w:t>
      </w:r>
      <w:r w:rsidR="0021539B">
        <w:t>,</w:t>
      </w:r>
      <w:r w:rsidR="00F65BB1">
        <w:t xml:space="preserve"> the clinical performance study would need to follow a prospective design. </w:t>
      </w:r>
    </w:p>
    <w:p w:rsidR="00F65BB1" w:rsidRDefault="00F65BB1" w:rsidP="00F65BB1">
      <w:pPr>
        <w:pStyle w:val="NormalWeb"/>
      </w:pPr>
      <w:r w:rsidRPr="0002488F">
        <w:t xml:space="preserve">In the case of IVD medical devices used for the determination of a patient’s future state (e.g. predisposition, prognosis, prediction), the clinical performance study will often be based on a prospective design. </w:t>
      </w:r>
      <w:r w:rsidRPr="00276BDB">
        <w:t>However, a retrospective design</w:t>
      </w:r>
      <w:r w:rsidR="00B0314A">
        <w:t xml:space="preserve"> or </w:t>
      </w:r>
      <w:r w:rsidR="00D05D0D">
        <w:t xml:space="preserve">a </w:t>
      </w:r>
      <w:r w:rsidR="00B0314A">
        <w:t>prospective-retrospective design</w:t>
      </w:r>
      <w:r w:rsidRPr="00276BDB">
        <w:t xml:space="preserve"> could be used if specimen collection protocols were controlled to ensure that results are not biased or confounded.</w:t>
      </w:r>
    </w:p>
    <w:p w:rsidR="006854CF" w:rsidRDefault="00A6352F" w:rsidP="00D05D0D">
      <w:pPr>
        <w:pStyle w:val="NormalWeb"/>
      </w:pPr>
      <w:r>
        <w:t>A prospective-retrospective study</w:t>
      </w:r>
      <w:r w:rsidR="00D05D0D">
        <w:t xml:space="preserve"> employ</w:t>
      </w:r>
      <w:r w:rsidR="00200A2F">
        <w:t>s</w:t>
      </w:r>
      <w:r w:rsidR="00D05D0D">
        <w:t xml:space="preserve"> a design that uses s</w:t>
      </w:r>
      <w:r w:rsidR="00D37FA3">
        <w:t>pecimens</w:t>
      </w:r>
      <w:r w:rsidR="00D05D0D">
        <w:t xml:space="preserve"> that were collected previously under another protocol. These s</w:t>
      </w:r>
      <w:r w:rsidR="00D37FA3">
        <w:t>pecimens</w:t>
      </w:r>
      <w:r w:rsidR="00D05D0D">
        <w:t xml:space="preserve"> will not be characterized for the analyte in question but wil</w:t>
      </w:r>
      <w:r w:rsidR="00F36E4C">
        <w:t xml:space="preserve">l be clinically characterized. </w:t>
      </w:r>
      <w:r w:rsidR="00D05D0D">
        <w:t>The s</w:t>
      </w:r>
      <w:r w:rsidR="00D37FA3">
        <w:t>pecimens</w:t>
      </w:r>
      <w:r w:rsidR="00D05D0D">
        <w:t xml:space="preserve"> are collected retrospectively and are analytically characterized </w:t>
      </w:r>
      <w:r w:rsidR="00F36E4C">
        <w:t>prospectively during the study.</w:t>
      </w:r>
    </w:p>
    <w:p w:rsidR="00D05D0D" w:rsidRPr="00B97EEE" w:rsidRDefault="00E846AA" w:rsidP="00D05D0D">
      <w:pPr>
        <w:pStyle w:val="NormalWeb"/>
      </w:pPr>
      <w:r>
        <w:lastRenderedPageBreak/>
        <w:t>R</w:t>
      </w:r>
      <w:r w:rsidR="00D05D0D" w:rsidRPr="00B97EEE">
        <w:t>andomized controlled trials for therapeutic agents present a pote</w:t>
      </w:r>
      <w:r w:rsidR="00B70A07">
        <w:t>ntial valuable source of specimens</w:t>
      </w:r>
      <w:r w:rsidR="00D05D0D" w:rsidRPr="00B97EEE">
        <w:t xml:space="preserve"> for a prospective-retrospective study as the patient outcome is known. Use of these s</w:t>
      </w:r>
      <w:r w:rsidR="00D37FA3">
        <w:t>pecimens</w:t>
      </w:r>
      <w:r w:rsidR="00200A2F">
        <w:t xml:space="preserve"> for prognosis or prediction </w:t>
      </w:r>
      <w:r w:rsidR="00D05D0D" w:rsidRPr="00B97EEE">
        <w:t>is subject to the following considerations:</w:t>
      </w:r>
    </w:p>
    <w:p w:rsidR="00D05D0D" w:rsidRPr="00B97EEE" w:rsidRDefault="00D05D0D" w:rsidP="008E006F">
      <w:pPr>
        <w:pStyle w:val="NormalWeb"/>
        <w:numPr>
          <w:ilvl w:val="0"/>
          <w:numId w:val="5"/>
        </w:numPr>
        <w:tabs>
          <w:tab w:val="num" w:pos="1080"/>
        </w:tabs>
        <w:autoSpaceDE w:val="0"/>
        <w:autoSpaceDN w:val="0"/>
        <w:adjustRightInd w:val="0"/>
        <w:spacing w:before="60" w:beforeAutospacing="0" w:after="60" w:afterAutospacing="0"/>
      </w:pPr>
      <w:r w:rsidRPr="00B97EEE">
        <w:t>s</w:t>
      </w:r>
      <w:r w:rsidR="00D37FA3">
        <w:t>pecimens</w:t>
      </w:r>
      <w:r w:rsidRPr="00B97EEE">
        <w:t xml:space="preserve"> were collected prior to treatment;</w:t>
      </w:r>
      <w:r w:rsidR="00F36E4C">
        <w:t xml:space="preserve"> </w:t>
      </w:r>
      <w:r w:rsidRPr="00B97EEE">
        <w:t>and</w:t>
      </w:r>
    </w:p>
    <w:p w:rsidR="00D05D0D" w:rsidRPr="00B97EEE" w:rsidRDefault="00D05D0D" w:rsidP="008E006F">
      <w:pPr>
        <w:pStyle w:val="NormalWeb"/>
        <w:numPr>
          <w:ilvl w:val="0"/>
          <w:numId w:val="5"/>
        </w:numPr>
        <w:tabs>
          <w:tab w:val="num" w:pos="1080"/>
        </w:tabs>
        <w:autoSpaceDE w:val="0"/>
        <w:autoSpaceDN w:val="0"/>
        <w:adjustRightInd w:val="0"/>
        <w:spacing w:before="60" w:beforeAutospacing="0" w:after="60" w:afterAutospacing="0"/>
      </w:pPr>
      <w:r w:rsidRPr="00B97EEE">
        <w:t>s</w:t>
      </w:r>
      <w:r w:rsidR="00D37FA3">
        <w:t>pecimens</w:t>
      </w:r>
      <w:r w:rsidRPr="00B97EEE">
        <w:t xml:space="preserve"> for testing reflect a relatively equal distribution from each of the study arms (treatment groups)</w:t>
      </w:r>
    </w:p>
    <w:p w:rsidR="001D4394" w:rsidRPr="00267DCE" w:rsidRDefault="00540C60" w:rsidP="001D4394">
      <w:pPr>
        <w:pStyle w:val="NormalWeb"/>
        <w:tabs>
          <w:tab w:val="left" w:pos="4200"/>
        </w:tabs>
      </w:pPr>
      <w:r w:rsidRPr="00267DCE">
        <w:t>For certain clinical conditions</w:t>
      </w:r>
      <w:r>
        <w:t xml:space="preserve"> (</w:t>
      </w:r>
      <w:r w:rsidR="00F36E4C">
        <w:t>e.g.</w:t>
      </w:r>
      <w:r>
        <w:t xml:space="preserve"> low disease prevalence)</w:t>
      </w:r>
      <w:r w:rsidR="00200A2F">
        <w:t>,</w:t>
      </w:r>
      <w:r w:rsidRPr="00267DCE">
        <w:t xml:space="preserve"> </w:t>
      </w:r>
      <w:r>
        <w:t>it may be</w:t>
      </w:r>
      <w:r w:rsidRPr="00267DCE">
        <w:t xml:space="preserve"> necessary to design a clinical performance study that </w:t>
      </w:r>
      <w:r>
        <w:t xml:space="preserve">combines retrospective and prospective study designs. </w:t>
      </w:r>
      <w:r w:rsidRPr="00267DCE">
        <w:t xml:space="preserve">For example, a clinical performance study of an HIV-1/2 assay intended for donor screening may involve random blood donors (i.e. </w:t>
      </w:r>
      <w:r w:rsidRPr="001D4394">
        <w:t>prospective</w:t>
      </w:r>
      <w:r>
        <w:t xml:space="preserve"> </w:t>
      </w:r>
      <w:r w:rsidRPr="00267DCE">
        <w:t xml:space="preserve">uncharacterized specimens), </w:t>
      </w:r>
      <w:r>
        <w:t>HIV/AIDS</w:t>
      </w:r>
      <w:r w:rsidRPr="00267DCE">
        <w:t xml:space="preserve"> patients (i.e. </w:t>
      </w:r>
      <w:r>
        <w:t xml:space="preserve">retrospective </w:t>
      </w:r>
      <w:r w:rsidRPr="00267DCE">
        <w:t xml:space="preserve">specimens characterized according to clinical status), and HIV-2 antibody-positive specimens (i.e. </w:t>
      </w:r>
      <w:r>
        <w:t xml:space="preserve">retrospective </w:t>
      </w:r>
      <w:r w:rsidRPr="00267DCE">
        <w:t>specimens characterized according to analyte status).</w:t>
      </w:r>
    </w:p>
    <w:p w:rsidR="00272CE4" w:rsidRDefault="00272CE4" w:rsidP="00272CE4">
      <w:pPr>
        <w:pStyle w:val="Heading2"/>
      </w:pPr>
      <w:bookmarkStart w:id="73" w:name="_Toc332286367"/>
      <w:r>
        <w:t>Interventional Designs</w:t>
      </w:r>
      <w:bookmarkEnd w:id="73"/>
    </w:p>
    <w:p w:rsidR="002C7AC5" w:rsidRDefault="00100636" w:rsidP="00272CE4">
      <w:pPr>
        <w:pStyle w:val="NormalWeb"/>
      </w:pPr>
      <w:r>
        <w:t>If</w:t>
      </w:r>
      <w:r w:rsidR="00272CE4">
        <w:t xml:space="preserve"> performance claims for an IVD medical device </w:t>
      </w:r>
      <w:r w:rsidR="005874B7">
        <w:t xml:space="preserve">cannot be demonstrated by </w:t>
      </w:r>
      <w:r w:rsidR="002C7AC5">
        <w:t xml:space="preserve">an observational </w:t>
      </w:r>
      <w:r w:rsidR="00001C76">
        <w:t xml:space="preserve">clinical performance </w:t>
      </w:r>
      <w:r w:rsidR="002C7AC5">
        <w:t>study design</w:t>
      </w:r>
      <w:r w:rsidR="002E63FB">
        <w:t>,</w:t>
      </w:r>
      <w:r w:rsidR="002C7AC5">
        <w:t xml:space="preserve"> </w:t>
      </w:r>
      <w:r>
        <w:t>an interventional design w</w:t>
      </w:r>
      <w:r w:rsidR="00835B66">
        <w:t>ould</w:t>
      </w:r>
      <w:r>
        <w:t xml:space="preserve"> be appropriate when:</w:t>
      </w:r>
    </w:p>
    <w:p w:rsidR="005277F8" w:rsidRDefault="00B33232" w:rsidP="008E006F">
      <w:pPr>
        <w:pStyle w:val="NormalWeb"/>
        <w:numPr>
          <w:ilvl w:val="0"/>
          <w:numId w:val="5"/>
        </w:numPr>
        <w:tabs>
          <w:tab w:val="num" w:pos="1080"/>
        </w:tabs>
        <w:autoSpaceDE w:val="0"/>
        <w:autoSpaceDN w:val="0"/>
        <w:adjustRightInd w:val="0"/>
        <w:spacing w:before="60" w:beforeAutospacing="0" w:after="60" w:afterAutospacing="0"/>
      </w:pPr>
      <w:r>
        <w:t xml:space="preserve">there exists </w:t>
      </w:r>
      <w:r w:rsidR="00100636">
        <w:t>n</w:t>
      </w:r>
      <w:r w:rsidR="002C7AC5">
        <w:t>o established method</w:t>
      </w:r>
      <w:r w:rsidR="008A6922">
        <w:t xml:space="preserve"> for making decisions on patient management </w:t>
      </w:r>
      <w:r w:rsidR="001D5A5D">
        <w:t>and the use of archived</w:t>
      </w:r>
      <w:r w:rsidR="00F64E7D">
        <w:t xml:space="preserve"> s</w:t>
      </w:r>
      <w:r w:rsidR="00D37FA3">
        <w:t>pecimens</w:t>
      </w:r>
      <w:r w:rsidR="00F64E7D">
        <w:t xml:space="preserve"> would not </w:t>
      </w:r>
      <w:r w:rsidR="008A6922">
        <w:t>be suitable to demonstrate the intended performance claims</w:t>
      </w:r>
      <w:r w:rsidR="002E63FB">
        <w:t>; or</w:t>
      </w:r>
    </w:p>
    <w:p w:rsidR="00835B66" w:rsidRDefault="00A77AF0" w:rsidP="008E006F">
      <w:pPr>
        <w:pStyle w:val="NormalWeb"/>
        <w:numPr>
          <w:ilvl w:val="0"/>
          <w:numId w:val="5"/>
        </w:numPr>
        <w:tabs>
          <w:tab w:val="num" w:pos="1080"/>
        </w:tabs>
        <w:autoSpaceDE w:val="0"/>
        <w:autoSpaceDN w:val="0"/>
        <w:adjustRightInd w:val="0"/>
        <w:spacing w:before="60" w:beforeAutospacing="0" w:after="60" w:afterAutospacing="0"/>
      </w:pPr>
      <w:r>
        <w:t xml:space="preserve">the manufacturer intends to demonstrate that the use of the IVD medical device impacts patient </w:t>
      </w:r>
      <w:r w:rsidR="00001C76">
        <w:t xml:space="preserve">clinical </w:t>
      </w:r>
      <w:r>
        <w:t>outcome</w:t>
      </w:r>
      <w:r w:rsidR="002E63FB">
        <w:t>; or</w:t>
      </w:r>
    </w:p>
    <w:p w:rsidR="00835B66" w:rsidRDefault="00100636" w:rsidP="008E006F">
      <w:pPr>
        <w:pStyle w:val="NormalWeb"/>
        <w:numPr>
          <w:ilvl w:val="0"/>
          <w:numId w:val="5"/>
        </w:numPr>
        <w:tabs>
          <w:tab w:val="num" w:pos="1080"/>
        </w:tabs>
        <w:autoSpaceDE w:val="0"/>
        <w:autoSpaceDN w:val="0"/>
        <w:adjustRightInd w:val="0"/>
        <w:spacing w:before="60" w:beforeAutospacing="0" w:after="60" w:afterAutospacing="0"/>
      </w:pPr>
      <w:r>
        <w:t xml:space="preserve">an IVD medical device is co-developed alongside </w:t>
      </w:r>
      <w:r w:rsidR="009D6982">
        <w:t>a therapeutic product such that</w:t>
      </w:r>
      <w:r>
        <w:t xml:space="preserve"> the information provided by the IVD medical device will influence the patient treatment in a </w:t>
      </w:r>
      <w:r w:rsidR="00E66B9A">
        <w:t>therapeutic</w:t>
      </w:r>
      <w:r>
        <w:t xml:space="preserve"> clinical trial (e.g</w:t>
      </w:r>
      <w:r w:rsidR="004214BD">
        <w:t>.</w:t>
      </w:r>
      <w:r>
        <w:t xml:space="preserve"> st</w:t>
      </w:r>
      <w:r w:rsidR="009D6982">
        <w:t>ratification of treatment arm).</w:t>
      </w:r>
    </w:p>
    <w:p w:rsidR="008A6922" w:rsidRDefault="002C7AC5" w:rsidP="00272CE4">
      <w:pPr>
        <w:pStyle w:val="NormalWeb"/>
      </w:pPr>
      <w:r>
        <w:t>This design uses specimens specifically collected for the study and the results of the clinical performance study would be used i</w:t>
      </w:r>
      <w:r w:rsidR="009D6982">
        <w:t>n patient management decisions.</w:t>
      </w:r>
    </w:p>
    <w:p w:rsidR="00272CE4" w:rsidRDefault="00272CE4" w:rsidP="00272CE4">
      <w:pPr>
        <w:pStyle w:val="NormalWeb"/>
      </w:pPr>
      <w:r>
        <w:t>The following examples outline situations when an interventional design would be required:</w:t>
      </w:r>
    </w:p>
    <w:p w:rsidR="00663BAF" w:rsidRDefault="00663BAF" w:rsidP="00663BAF">
      <w:pPr>
        <w:pStyle w:val="NormalWeb"/>
        <w:ind w:left="720"/>
      </w:pPr>
      <w:r>
        <w:t xml:space="preserve">Example </w:t>
      </w:r>
      <w:r w:rsidRPr="007F29A3">
        <w:t xml:space="preserve">1 (Diagnosis): </w:t>
      </w:r>
      <w:r>
        <w:t xml:space="preserve">To determine if patient outcome (i.e. treatment efficacy) is improved by correct </w:t>
      </w:r>
      <w:r w:rsidR="002E63FB">
        <w:t xml:space="preserve">infectious </w:t>
      </w:r>
      <w:r>
        <w:t>disease identification</w:t>
      </w:r>
      <w:r w:rsidR="00A81F38">
        <w:t xml:space="preserve"> (</w:t>
      </w:r>
      <w:r w:rsidR="00A52459">
        <w:t xml:space="preserve">e.g. </w:t>
      </w:r>
      <w:r w:rsidR="00A81F38">
        <w:t>Hep</w:t>
      </w:r>
      <w:r w:rsidR="00A52459">
        <w:t>atitis</w:t>
      </w:r>
      <w:r w:rsidR="00A81F38">
        <w:t xml:space="preserve"> A versus Hep</w:t>
      </w:r>
      <w:r w:rsidR="00A52459">
        <w:t>atitis</w:t>
      </w:r>
      <w:r w:rsidR="00A81F38">
        <w:t xml:space="preserve"> B)</w:t>
      </w:r>
      <w:r>
        <w:t xml:space="preserve"> thereby facilitating selection of optimal treatment regimens</w:t>
      </w:r>
      <w:r w:rsidRPr="007F29A3">
        <w:t>.</w:t>
      </w:r>
    </w:p>
    <w:p w:rsidR="00663BAF" w:rsidRDefault="00663BAF" w:rsidP="00663BAF">
      <w:pPr>
        <w:pStyle w:val="NormalWeb"/>
        <w:ind w:left="720"/>
      </w:pPr>
      <w:r>
        <w:t>Example 2 (Screening): To determine if prenatal screening for a particular genetic developmental disorder improves patient outcome (i.e. disease mitigation) because treatment can begin immediately following birth.</w:t>
      </w:r>
    </w:p>
    <w:p w:rsidR="00663BAF" w:rsidRDefault="00663BAF" w:rsidP="00663BAF">
      <w:pPr>
        <w:pStyle w:val="NormalWeb"/>
        <w:ind w:left="720"/>
      </w:pPr>
      <w:r>
        <w:t>Example 3 (Monitoring): To determine if patient outcome (i.e. treatment efficacy) is improved by regular monitoring of changes to analyte concentration.</w:t>
      </w:r>
    </w:p>
    <w:p w:rsidR="0080716D" w:rsidRDefault="0080716D" w:rsidP="0080716D">
      <w:pPr>
        <w:pStyle w:val="NormalWeb"/>
        <w:ind w:left="720"/>
      </w:pPr>
      <w:r>
        <w:t>Example 4 (Predisposition): To determine if prophylactic interventions and/or lifestyle changes improve outcomes for patients at high risk of developing late-onset genetic conditions.</w:t>
      </w:r>
    </w:p>
    <w:p w:rsidR="0080716D" w:rsidRDefault="0080716D" w:rsidP="0080716D">
      <w:pPr>
        <w:pStyle w:val="NormalWeb"/>
        <w:ind w:left="720"/>
      </w:pPr>
      <w:r>
        <w:lastRenderedPageBreak/>
        <w:t>Example 5 (Prognosis): To determine if patient outcome (i.e. treatment efficacy) is improved by accurate disease staging and more aggressive treatments for patients with worse prognosis.</w:t>
      </w:r>
    </w:p>
    <w:p w:rsidR="0080716D" w:rsidRDefault="0080716D" w:rsidP="0080716D">
      <w:pPr>
        <w:pStyle w:val="NormalWeb"/>
        <w:tabs>
          <w:tab w:val="left" w:pos="4200"/>
        </w:tabs>
        <w:ind w:left="720"/>
      </w:pPr>
      <w:r>
        <w:t xml:space="preserve">Example 6 (Prediction): To determine if a marker predicts a differential efficacy or safety of a particular therapy based on the marker’s status (e.g. to test if </w:t>
      </w:r>
      <w:r w:rsidRPr="00292987">
        <w:t>pat</w:t>
      </w:r>
      <w:r>
        <w:t xml:space="preserve">ients expressing the marker </w:t>
      </w:r>
      <w:r w:rsidRPr="00292987">
        <w:t>respond to</w:t>
      </w:r>
      <w:r>
        <w:t xml:space="preserve"> the specific treatment or </w:t>
      </w:r>
      <w:r w:rsidRPr="00292987">
        <w:t>respond to a greater</w:t>
      </w:r>
      <w:r>
        <w:t xml:space="preserve"> </w:t>
      </w:r>
      <w:r w:rsidRPr="00292987">
        <w:t>degree than those without the marker</w:t>
      </w:r>
      <w:r>
        <w:t xml:space="preserve"> or that some will respond negatively on the treatment</w:t>
      </w:r>
      <w:r w:rsidR="00C42F19">
        <w:t>)</w:t>
      </w:r>
    </w:p>
    <w:p w:rsidR="00B9381E" w:rsidRPr="00C360EA" w:rsidRDefault="00080984" w:rsidP="00B52403">
      <w:pPr>
        <w:pStyle w:val="Heading1"/>
        <w:numPr>
          <w:ilvl w:val="0"/>
          <w:numId w:val="1"/>
        </w:numPr>
      </w:pPr>
      <w:bookmarkStart w:id="74" w:name="_Toc306278610"/>
      <w:bookmarkStart w:id="75" w:name="_Toc301712627"/>
      <w:bookmarkStart w:id="76" w:name="_Toc301712741"/>
      <w:bookmarkStart w:id="77" w:name="_Toc301712855"/>
      <w:bookmarkStart w:id="78" w:name="_Toc301712970"/>
      <w:bookmarkStart w:id="79" w:name="_Toc302023210"/>
      <w:bookmarkStart w:id="80" w:name="_Toc302023324"/>
      <w:bookmarkStart w:id="81" w:name="_Toc332286368"/>
      <w:bookmarkEnd w:id="74"/>
      <w:bookmarkEnd w:id="75"/>
      <w:bookmarkEnd w:id="76"/>
      <w:bookmarkEnd w:id="77"/>
      <w:bookmarkEnd w:id="78"/>
      <w:bookmarkEnd w:id="79"/>
      <w:bookmarkEnd w:id="80"/>
      <w:r>
        <w:t>Clinical Performance Study Design Considerations</w:t>
      </w:r>
      <w:bookmarkEnd w:id="48"/>
      <w:bookmarkEnd w:id="49"/>
      <w:bookmarkEnd w:id="81"/>
    </w:p>
    <w:p w:rsidR="00B57C67" w:rsidRDefault="00404F69" w:rsidP="00404F69">
      <w:pPr>
        <w:pStyle w:val="NormalWeb"/>
        <w:rPr>
          <w:rFonts w:ascii="Times New (W1)" w:hAnsi="Times New (W1)" w:cs="Times New (W1)"/>
          <w:bCs/>
        </w:rPr>
      </w:pPr>
      <w:r>
        <w:t>The design of a</w:t>
      </w:r>
      <w:r w:rsidR="006A179E">
        <w:t xml:space="preserve"> clinical performance study should provide the data necessary to address the clinical performance</w:t>
      </w:r>
      <w:r w:rsidR="0027380E">
        <w:t xml:space="preserve"> of the IVD medical device</w:t>
      </w:r>
      <w:r>
        <w:t xml:space="preserve">. The </w:t>
      </w:r>
      <w:r w:rsidR="00B57C67">
        <w:t xml:space="preserve">clinical performance study </w:t>
      </w:r>
      <w:r w:rsidR="0027380E">
        <w:t xml:space="preserve">design </w:t>
      </w:r>
      <w:r w:rsidR="00347E0B">
        <w:t>should</w:t>
      </w:r>
      <w:r w:rsidR="0027380E">
        <w:t xml:space="preserve"> account for potential risks, </w:t>
      </w:r>
      <w:r w:rsidR="00347E0B">
        <w:t xml:space="preserve">should </w:t>
      </w:r>
      <w:r w:rsidR="00B57C67">
        <w:t xml:space="preserve">follow </w:t>
      </w:r>
      <w:r>
        <w:t xml:space="preserve">appropriate ethical principles, and </w:t>
      </w:r>
      <w:r w:rsidR="00347E0B">
        <w:t xml:space="preserve">should </w:t>
      </w:r>
      <w:r>
        <w:t xml:space="preserve">be </w:t>
      </w:r>
      <w:r w:rsidR="00B57C67">
        <w:t>compliant with all relevant le</w:t>
      </w:r>
      <w:r w:rsidR="004F1459">
        <w:t>gal and regulatory requirements.</w:t>
      </w:r>
    </w:p>
    <w:p w:rsidR="005F411B" w:rsidRDefault="005F411B" w:rsidP="00131348">
      <w:pPr>
        <w:pStyle w:val="NormalWeb"/>
      </w:pPr>
      <w:r>
        <w:t>The choice of the design for the clinical performance study will depend on the following considerations:</w:t>
      </w:r>
    </w:p>
    <w:p w:rsidR="00A6250F" w:rsidRPr="0087513F" w:rsidRDefault="005F0D3B" w:rsidP="0087513F">
      <w:pPr>
        <w:pStyle w:val="NormalWeb"/>
        <w:numPr>
          <w:ilvl w:val="0"/>
          <w:numId w:val="5"/>
        </w:numPr>
        <w:tabs>
          <w:tab w:val="num" w:pos="1080"/>
        </w:tabs>
        <w:autoSpaceDE w:val="0"/>
        <w:autoSpaceDN w:val="0"/>
        <w:adjustRightInd w:val="0"/>
        <w:spacing w:before="60" w:beforeAutospacing="0" w:after="60" w:afterAutospacing="0"/>
      </w:pPr>
      <w:r>
        <w:t>s</w:t>
      </w:r>
      <w:r w:rsidR="00A6250F" w:rsidRPr="00BF1433">
        <w:t>tudy objectives</w:t>
      </w:r>
    </w:p>
    <w:p w:rsidR="00E4496A" w:rsidRPr="0087513F" w:rsidRDefault="00A6250F" w:rsidP="0087513F">
      <w:pPr>
        <w:pStyle w:val="NormalWeb"/>
        <w:numPr>
          <w:ilvl w:val="0"/>
          <w:numId w:val="5"/>
        </w:numPr>
        <w:tabs>
          <w:tab w:val="num" w:pos="1080"/>
        </w:tabs>
        <w:autoSpaceDE w:val="0"/>
        <w:autoSpaceDN w:val="0"/>
        <w:adjustRightInd w:val="0"/>
        <w:spacing w:before="60" w:beforeAutospacing="0" w:after="60" w:afterAutospacing="0"/>
      </w:pPr>
      <w:r>
        <w:t>intended use</w:t>
      </w:r>
      <w:r w:rsidR="00E4496A">
        <w:t xml:space="preserve">, </w:t>
      </w:r>
      <w:r w:rsidR="002C0697">
        <w:t>specifically</w:t>
      </w:r>
    </w:p>
    <w:p w:rsidR="009B2BAA" w:rsidRPr="00E4496A" w:rsidRDefault="00F13BFF" w:rsidP="009B2BAA">
      <w:pPr>
        <w:numPr>
          <w:ilvl w:val="2"/>
          <w:numId w:val="6"/>
        </w:numPr>
        <w:autoSpaceDE w:val="0"/>
        <w:autoSpaceDN w:val="0"/>
        <w:adjustRightInd w:val="0"/>
        <w:spacing w:before="60" w:after="60"/>
        <w:rPr>
          <w:rFonts w:ascii="Times New (W1)" w:hAnsi="Times New (W1)" w:cs="Times New (W1)"/>
          <w:bCs/>
        </w:rPr>
      </w:pPr>
      <w:r>
        <w:t>test purpose(s) (e.g. diagnosis, screeni</w:t>
      </w:r>
      <w:r w:rsidR="009C5B56">
        <w:t>ng, monitoring</w:t>
      </w:r>
      <w:r w:rsidR="00365B5B">
        <w:t xml:space="preserve">; </w:t>
      </w:r>
      <w:r w:rsidR="00E66B9A">
        <w:t xml:space="preserve">Refer to Section </w:t>
      </w:r>
      <w:r w:rsidR="00343277">
        <w:t>7.1</w:t>
      </w:r>
      <w:r w:rsidR="006116E8">
        <w:t xml:space="preserve"> and Appendix</w:t>
      </w:r>
      <w:r w:rsidR="00343277">
        <w:t>)</w:t>
      </w:r>
    </w:p>
    <w:p w:rsidR="00A6250F" w:rsidRPr="00E4496A" w:rsidRDefault="00E4496A" w:rsidP="00E4496A">
      <w:pPr>
        <w:numPr>
          <w:ilvl w:val="2"/>
          <w:numId w:val="6"/>
        </w:numPr>
        <w:autoSpaceDE w:val="0"/>
        <w:autoSpaceDN w:val="0"/>
        <w:adjustRightInd w:val="0"/>
        <w:spacing w:before="60" w:after="60"/>
        <w:rPr>
          <w:rFonts w:ascii="Times New (W1)" w:hAnsi="Times New (W1)" w:cs="Times New (W1)"/>
          <w:bCs/>
        </w:rPr>
      </w:pPr>
      <w:r w:rsidRPr="00E4496A">
        <w:t>target population(s) (e.g. age, race, gender, geography, clinical condition)</w:t>
      </w:r>
    </w:p>
    <w:p w:rsidR="00A6250F" w:rsidRPr="00E4496A" w:rsidRDefault="00A6250F" w:rsidP="00E4496A">
      <w:pPr>
        <w:numPr>
          <w:ilvl w:val="3"/>
          <w:numId w:val="6"/>
        </w:numPr>
        <w:autoSpaceDE w:val="0"/>
        <w:autoSpaceDN w:val="0"/>
        <w:adjustRightInd w:val="0"/>
        <w:spacing w:before="60" w:after="60"/>
        <w:rPr>
          <w:rFonts w:ascii="Times New (W1)" w:hAnsi="Times New (W1)" w:cs="Times New (W1)"/>
          <w:bCs/>
        </w:rPr>
      </w:pPr>
      <w:r w:rsidRPr="00E4496A">
        <w:t>specimen type(s) (e.g. serum, plasma, urine)</w:t>
      </w:r>
    </w:p>
    <w:p w:rsidR="00A6250F" w:rsidRPr="00E4496A" w:rsidRDefault="00747F0B" w:rsidP="00E4496A">
      <w:pPr>
        <w:numPr>
          <w:ilvl w:val="3"/>
          <w:numId w:val="6"/>
        </w:numPr>
        <w:autoSpaceDE w:val="0"/>
        <w:autoSpaceDN w:val="0"/>
        <w:adjustRightInd w:val="0"/>
        <w:spacing w:before="60" w:after="60"/>
        <w:rPr>
          <w:rFonts w:ascii="Times New (W1)" w:hAnsi="Times New (W1)" w:cs="Times New (W1)"/>
          <w:bCs/>
        </w:rPr>
      </w:pPr>
      <w:r>
        <w:t>i</w:t>
      </w:r>
      <w:r w:rsidR="00E4496A" w:rsidRPr="00E4496A">
        <w:t>ntended user</w:t>
      </w:r>
      <w:r w:rsidR="001D5A5D">
        <w:t>(s)</w:t>
      </w:r>
      <w:r w:rsidR="00E4496A" w:rsidRPr="00E4496A">
        <w:t xml:space="preserve"> (e.g</w:t>
      </w:r>
      <w:r w:rsidR="002C0697">
        <w:t>.</w:t>
      </w:r>
      <w:r w:rsidR="00E4496A" w:rsidRPr="00E4496A">
        <w:t xml:space="preserve"> lay person)</w:t>
      </w:r>
    </w:p>
    <w:p w:rsidR="00A6250F" w:rsidRPr="002B5AB5" w:rsidRDefault="00A6250F" w:rsidP="00BE0E28">
      <w:pPr>
        <w:numPr>
          <w:ilvl w:val="1"/>
          <w:numId w:val="6"/>
        </w:numPr>
        <w:tabs>
          <w:tab w:val="clear" w:pos="1440"/>
          <w:tab w:val="num" w:pos="720"/>
        </w:tabs>
        <w:autoSpaceDE w:val="0"/>
        <w:autoSpaceDN w:val="0"/>
        <w:adjustRightInd w:val="0"/>
        <w:spacing w:before="60" w:after="60"/>
        <w:ind w:left="720"/>
      </w:pPr>
      <w:r>
        <w:t xml:space="preserve">established analytical characteristics (e.g. </w:t>
      </w:r>
      <w:r w:rsidRPr="000F4325">
        <w:t>precision</w:t>
      </w:r>
      <w:r>
        <w:t xml:space="preserve">, interference, </w:t>
      </w:r>
      <w:r w:rsidR="00D917D7">
        <w:t>measuring interval (range)</w:t>
      </w:r>
      <w:r>
        <w:t>, cutoff)</w:t>
      </w:r>
    </w:p>
    <w:p w:rsidR="00A6250F" w:rsidRPr="009E544D" w:rsidRDefault="00B40D29"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t>expected</w:t>
      </w:r>
      <w:r w:rsidR="00A6250F">
        <w:t xml:space="preserve"> clinical performance characteristics</w:t>
      </w:r>
      <w:r w:rsidR="00BB22AD">
        <w:t xml:space="preserve"> (e.g</w:t>
      </w:r>
      <w:r w:rsidR="00F6050D">
        <w:t>.</w:t>
      </w:r>
      <w:r w:rsidR="00BB22AD">
        <w:t xml:space="preserve"> sensitivity, specificity)</w:t>
      </w:r>
    </w:p>
    <w:p w:rsidR="00A6250F" w:rsidRPr="00B97EEE" w:rsidRDefault="00A6250F"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sidRPr="00697125">
        <w:t>novelty of the technology and/or clinical use (e.g. relevant previous experience)</w:t>
      </w:r>
    </w:p>
    <w:p w:rsidR="00D917D7" w:rsidRPr="004F1459" w:rsidRDefault="00D917D7" w:rsidP="00BE0E28">
      <w:pPr>
        <w:numPr>
          <w:ilvl w:val="1"/>
          <w:numId w:val="6"/>
        </w:numPr>
        <w:tabs>
          <w:tab w:val="clear" w:pos="1440"/>
          <w:tab w:val="num" w:pos="720"/>
        </w:tabs>
        <w:autoSpaceDE w:val="0"/>
        <w:autoSpaceDN w:val="0"/>
        <w:adjustRightInd w:val="0"/>
        <w:spacing w:before="60" w:after="60"/>
        <w:ind w:left="720"/>
        <w:rPr>
          <w:szCs w:val="24"/>
        </w:rPr>
      </w:pPr>
      <w:r>
        <w:rPr>
          <w:rFonts w:ascii="Times New (W1)" w:hAnsi="Times New (W1)" w:cs="Times New (W1)"/>
          <w:bCs/>
        </w:rPr>
        <w:t>availability of an appropriate method to establish the clinical status of the p</w:t>
      </w:r>
      <w:r w:rsidRPr="004F1459">
        <w:rPr>
          <w:szCs w:val="24"/>
        </w:rPr>
        <w:t>atient</w:t>
      </w:r>
      <w:r w:rsidR="00365B5B" w:rsidRPr="004F1459">
        <w:rPr>
          <w:szCs w:val="24"/>
        </w:rPr>
        <w:t>.</w:t>
      </w:r>
    </w:p>
    <w:p w:rsidR="005F411B" w:rsidRPr="004F1459" w:rsidRDefault="005F411B" w:rsidP="004F1459">
      <w:pPr>
        <w:pStyle w:val="NormalWeb"/>
      </w:pPr>
      <w:r w:rsidRPr="004F1459">
        <w:t>The following additional considerations will also need to be taken into account in designing the clinical performance study</w:t>
      </w:r>
    </w:p>
    <w:p w:rsidR="000662F8" w:rsidRPr="0000795F" w:rsidRDefault="0000795F"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Pr>
          <w:rFonts w:ascii="Times New (W1)" w:hAnsi="Times New (W1)" w:cs="Times New (W1)"/>
          <w:bCs/>
        </w:rPr>
        <w:t>s</w:t>
      </w:r>
      <w:r w:rsidR="000662F8" w:rsidRPr="0000795F">
        <w:rPr>
          <w:rFonts w:ascii="Times New (W1)" w:hAnsi="Times New (W1)" w:cs="Times New (W1)"/>
          <w:bCs/>
        </w:rPr>
        <w:t>pecimen collection and handling</w:t>
      </w:r>
      <w:r w:rsidR="00B97B95" w:rsidRPr="0000795F">
        <w:rPr>
          <w:rFonts w:ascii="Times New (W1)" w:hAnsi="Times New (W1)" w:cs="Times New (W1)"/>
          <w:bCs/>
        </w:rPr>
        <w:t xml:space="preserve"> (</w:t>
      </w:r>
      <w:r w:rsidR="00E66B9A">
        <w:rPr>
          <w:rFonts w:ascii="Times New (W1)" w:hAnsi="Times New (W1)" w:cs="Times New (W1)"/>
          <w:bCs/>
        </w:rPr>
        <w:t>Refer to Section</w:t>
      </w:r>
      <w:r w:rsidR="00E66B9A" w:rsidRPr="0000795F">
        <w:rPr>
          <w:rFonts w:ascii="Times New (W1)" w:hAnsi="Times New (W1)" w:cs="Times New (W1)"/>
          <w:bCs/>
        </w:rPr>
        <w:t xml:space="preserve"> </w:t>
      </w:r>
      <w:r w:rsidR="00B97B95" w:rsidRPr="0000795F">
        <w:rPr>
          <w:rFonts w:ascii="Times New (W1)" w:hAnsi="Times New (W1)" w:cs="Times New (W1)"/>
          <w:bCs/>
        </w:rPr>
        <w:t>7.</w:t>
      </w:r>
      <w:r w:rsidR="0092420D">
        <w:rPr>
          <w:rFonts w:ascii="Times New (W1)" w:hAnsi="Times New (W1)" w:cs="Times New (W1)"/>
          <w:bCs/>
        </w:rPr>
        <w:t>2</w:t>
      </w:r>
      <w:r w:rsidR="00B97B95" w:rsidRPr="0000795F">
        <w:rPr>
          <w:rFonts w:ascii="Times New (W1)" w:hAnsi="Times New (W1)" w:cs="Times New (W1)"/>
          <w:bCs/>
        </w:rPr>
        <w:t>)</w:t>
      </w:r>
    </w:p>
    <w:p w:rsidR="00A6250F" w:rsidRPr="0000795F" w:rsidRDefault="0000795F"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Pr>
          <w:rFonts w:ascii="Times New (W1)" w:hAnsi="Times New (W1)" w:cs="Times New (W1)"/>
          <w:bCs/>
        </w:rPr>
        <w:t>c</w:t>
      </w:r>
      <w:r w:rsidR="000662F8" w:rsidRPr="0000795F">
        <w:rPr>
          <w:rFonts w:ascii="Times New (W1)" w:hAnsi="Times New (W1)" w:cs="Times New (W1)"/>
          <w:bCs/>
        </w:rPr>
        <w:t xml:space="preserve">linical </w:t>
      </w:r>
      <w:r w:rsidR="00747F0B">
        <w:rPr>
          <w:rFonts w:ascii="Times New (W1)" w:hAnsi="Times New (W1)" w:cs="Times New (W1)"/>
          <w:bCs/>
        </w:rPr>
        <w:t>p</w:t>
      </w:r>
      <w:r w:rsidR="000662F8" w:rsidRPr="0000795F">
        <w:rPr>
          <w:rFonts w:ascii="Times New (W1)" w:hAnsi="Times New (W1)" w:cs="Times New (W1)"/>
          <w:bCs/>
        </w:rPr>
        <w:t>erformance study site</w:t>
      </w:r>
      <w:r w:rsidR="00B97B95" w:rsidRPr="0000795F">
        <w:rPr>
          <w:rFonts w:ascii="Times New (W1)" w:hAnsi="Times New (W1)" w:cs="Times New (W1)"/>
          <w:bCs/>
        </w:rPr>
        <w:t xml:space="preserve"> (</w:t>
      </w:r>
      <w:r w:rsidR="00E66B9A">
        <w:rPr>
          <w:rFonts w:ascii="Times New (W1)" w:hAnsi="Times New (W1)" w:cs="Times New (W1)"/>
          <w:bCs/>
        </w:rPr>
        <w:t xml:space="preserve">Refer to Section </w:t>
      </w:r>
      <w:r w:rsidR="00B97B95" w:rsidRPr="0000795F">
        <w:rPr>
          <w:rFonts w:ascii="Times New (W1)" w:hAnsi="Times New (W1)" w:cs="Times New (W1)"/>
          <w:bCs/>
        </w:rPr>
        <w:t>7.</w:t>
      </w:r>
      <w:r w:rsidR="0092420D">
        <w:rPr>
          <w:rFonts w:ascii="Times New (W1)" w:hAnsi="Times New (W1)" w:cs="Times New (W1)"/>
          <w:bCs/>
        </w:rPr>
        <w:t>3</w:t>
      </w:r>
      <w:r w:rsidR="00B97B95" w:rsidRPr="0000795F">
        <w:rPr>
          <w:rFonts w:ascii="Times New (W1)" w:hAnsi="Times New (W1)" w:cs="Times New (W1)"/>
          <w:bCs/>
        </w:rPr>
        <w:t>)</w:t>
      </w:r>
    </w:p>
    <w:p w:rsidR="00B97B95" w:rsidRPr="0000795F" w:rsidRDefault="00B97B95"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sidRPr="0000795F">
        <w:rPr>
          <w:bCs/>
        </w:rPr>
        <w:t>statistical design (</w:t>
      </w:r>
      <w:r w:rsidR="00E66B9A">
        <w:rPr>
          <w:bCs/>
        </w:rPr>
        <w:t>Refer to Section</w:t>
      </w:r>
      <w:r w:rsidR="00E66B9A" w:rsidRPr="0000795F">
        <w:rPr>
          <w:bCs/>
        </w:rPr>
        <w:t xml:space="preserve"> </w:t>
      </w:r>
      <w:r w:rsidRPr="0000795F">
        <w:rPr>
          <w:bCs/>
        </w:rPr>
        <w:t>7.</w:t>
      </w:r>
      <w:r w:rsidR="0092420D">
        <w:rPr>
          <w:bCs/>
        </w:rPr>
        <w:t>4</w:t>
      </w:r>
      <w:r w:rsidRPr="0000795F">
        <w:rPr>
          <w:bCs/>
        </w:rPr>
        <w:t>)</w:t>
      </w:r>
    </w:p>
    <w:p w:rsidR="00B97B95" w:rsidRPr="0000795F" w:rsidRDefault="003D4295"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Pr>
          <w:rFonts w:ascii="Times New (W1)" w:hAnsi="Times New (W1)" w:cs="Times New (W1)"/>
          <w:bCs/>
        </w:rPr>
        <w:t xml:space="preserve">potential </w:t>
      </w:r>
      <w:r w:rsidR="0000795F">
        <w:rPr>
          <w:rFonts w:ascii="Times New (W1)" w:hAnsi="Times New (W1)" w:cs="Times New (W1)"/>
          <w:bCs/>
        </w:rPr>
        <w:t>r</w:t>
      </w:r>
      <w:r w:rsidR="00B97B95" w:rsidRPr="0000795F">
        <w:rPr>
          <w:rFonts w:ascii="Times New (W1)" w:hAnsi="Times New (W1)" w:cs="Times New (W1)"/>
          <w:bCs/>
        </w:rPr>
        <w:t>isk</w:t>
      </w:r>
      <w:r>
        <w:rPr>
          <w:rFonts w:ascii="Times New (W1)" w:hAnsi="Times New (W1)" w:cs="Times New (W1)"/>
          <w:bCs/>
        </w:rPr>
        <w:t>s</w:t>
      </w:r>
      <w:r w:rsidR="00B97B95" w:rsidRPr="0000795F">
        <w:rPr>
          <w:rFonts w:ascii="Times New (W1)" w:hAnsi="Times New (W1)" w:cs="Times New (W1)"/>
          <w:bCs/>
        </w:rPr>
        <w:t xml:space="preserve"> (</w:t>
      </w:r>
      <w:r w:rsidR="00E66B9A">
        <w:rPr>
          <w:rFonts w:ascii="Times New (W1)" w:hAnsi="Times New (W1)" w:cs="Times New (W1)"/>
          <w:bCs/>
        </w:rPr>
        <w:t>Refer to Section</w:t>
      </w:r>
      <w:r w:rsidR="00E66B9A" w:rsidRPr="0000795F">
        <w:rPr>
          <w:rFonts w:ascii="Times New (W1)" w:hAnsi="Times New (W1)" w:cs="Times New (W1)"/>
          <w:bCs/>
        </w:rPr>
        <w:t xml:space="preserve"> </w:t>
      </w:r>
      <w:r w:rsidR="00B97B95" w:rsidRPr="0000795F">
        <w:rPr>
          <w:rFonts w:ascii="Times New (W1)" w:hAnsi="Times New (W1)" w:cs="Times New (W1)"/>
          <w:bCs/>
        </w:rPr>
        <w:t>7.</w:t>
      </w:r>
      <w:r w:rsidR="0092420D">
        <w:rPr>
          <w:rFonts w:ascii="Times New (W1)" w:hAnsi="Times New (W1)" w:cs="Times New (W1)"/>
          <w:bCs/>
        </w:rPr>
        <w:t>5</w:t>
      </w:r>
      <w:r w:rsidR="00B97B95" w:rsidRPr="0000795F">
        <w:rPr>
          <w:rFonts w:ascii="Times New (W1)" w:hAnsi="Times New (W1)" w:cs="Times New (W1)"/>
          <w:bCs/>
        </w:rPr>
        <w:t>)</w:t>
      </w:r>
    </w:p>
    <w:p w:rsidR="00A6250F" w:rsidRPr="0000795F" w:rsidRDefault="0000795F"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Pr>
          <w:bCs/>
        </w:rPr>
        <w:t>e</w:t>
      </w:r>
      <w:r w:rsidR="00A6250F" w:rsidRPr="0000795F">
        <w:rPr>
          <w:bCs/>
        </w:rPr>
        <w:t>thic</w:t>
      </w:r>
      <w:r w:rsidR="00E0429B" w:rsidRPr="0000795F">
        <w:rPr>
          <w:bCs/>
        </w:rPr>
        <w:t>s</w:t>
      </w:r>
      <w:r w:rsidR="00B97B95" w:rsidRPr="0000795F">
        <w:rPr>
          <w:bCs/>
        </w:rPr>
        <w:t xml:space="preserve"> (</w:t>
      </w:r>
      <w:r w:rsidR="00E66B9A">
        <w:rPr>
          <w:bCs/>
        </w:rPr>
        <w:t>Refer to Section</w:t>
      </w:r>
      <w:r w:rsidR="00E66B9A" w:rsidRPr="0000795F">
        <w:rPr>
          <w:bCs/>
        </w:rPr>
        <w:t xml:space="preserve"> </w:t>
      </w:r>
      <w:r w:rsidR="00B97B95" w:rsidRPr="0000795F">
        <w:rPr>
          <w:bCs/>
        </w:rPr>
        <w:t>7.</w:t>
      </w:r>
      <w:r w:rsidR="0092420D">
        <w:rPr>
          <w:bCs/>
        </w:rPr>
        <w:t>6</w:t>
      </w:r>
      <w:r w:rsidR="00B97B95" w:rsidRPr="0000795F">
        <w:rPr>
          <w:bCs/>
        </w:rPr>
        <w:t>)</w:t>
      </w:r>
    </w:p>
    <w:p w:rsidR="00343277" w:rsidRDefault="00343277" w:rsidP="0000795F">
      <w:pPr>
        <w:pStyle w:val="Heading2"/>
        <w:rPr>
          <w:bCs/>
        </w:rPr>
      </w:pPr>
      <w:bookmarkStart w:id="82" w:name="_Toc332286369"/>
      <w:r>
        <w:rPr>
          <w:bCs/>
        </w:rPr>
        <w:lastRenderedPageBreak/>
        <w:t>Test purpose</w:t>
      </w:r>
      <w:bookmarkEnd w:id="82"/>
    </w:p>
    <w:p w:rsidR="00343277" w:rsidRDefault="00343277" w:rsidP="00343277">
      <w:pPr>
        <w:spacing w:before="120" w:after="120"/>
      </w:pPr>
      <w:r w:rsidRPr="00104CF5">
        <w:t xml:space="preserve">An IVD medical device may be designed for a variety of intended uses with different </w:t>
      </w:r>
      <w:r w:rsidRPr="00C45529">
        <w:t>test purposes</w:t>
      </w:r>
      <w:r w:rsidRPr="00104CF5">
        <w:t xml:space="preserve"> </w:t>
      </w:r>
      <w:r>
        <w:t xml:space="preserve">(e.g. diagnosis, screening, monitoring). </w:t>
      </w:r>
      <w:r w:rsidR="00E66B9A">
        <w:t>S</w:t>
      </w:r>
      <w:r>
        <w:t>ee Appendix</w:t>
      </w:r>
      <w:r w:rsidR="00E66B9A">
        <w:t xml:space="preserve"> for details</w:t>
      </w:r>
      <w:r>
        <w:t>.</w:t>
      </w:r>
    </w:p>
    <w:p w:rsidR="000C3271" w:rsidRDefault="000C3271" w:rsidP="000C3271">
      <w:pPr>
        <w:spacing w:before="120" w:after="120"/>
      </w:pPr>
      <w:r w:rsidRPr="000C3271">
        <w:t>The test purpose will directly influence the subject sample size (N) and selection criteria (including inclusion and exclusion) when planning and designing the clinical performance study. For example, if the disease state prevalence is low and the intent of the assay is to screen asymptomatic individuals, specimens from a large number of subjects may be required to provide sufficient evidence of clinical performance. However, if the assay is to be used for diagnosis in symptomatic individuals, specimens from a smaller number of subjects may be adequate.</w:t>
      </w:r>
    </w:p>
    <w:p w:rsidR="000C3271" w:rsidRDefault="000C3271" w:rsidP="000C3271">
      <w:pPr>
        <w:spacing w:before="120" w:after="120"/>
      </w:pPr>
      <w:r>
        <w:t xml:space="preserve">Where appropriate, there should be consideration </w:t>
      </w:r>
      <w:r w:rsidR="007E6C33">
        <w:t xml:space="preserve">regarding </w:t>
      </w:r>
      <w:r>
        <w:t xml:space="preserve">the timing of </w:t>
      </w:r>
      <w:r w:rsidR="005277F8">
        <w:t>specimen collection</w:t>
      </w:r>
      <w:r w:rsidR="00C43936">
        <w:t xml:space="preserve"> such as</w:t>
      </w:r>
      <w:r>
        <w:t xml:space="preserve"> prior t</w:t>
      </w:r>
      <w:r w:rsidR="00C43936">
        <w:t>o treatment or during treatment</w:t>
      </w:r>
      <w:r>
        <w:t>.</w:t>
      </w:r>
      <w:r w:rsidR="00C43936">
        <w:t xml:space="preserve"> For example</w:t>
      </w:r>
      <w:r w:rsidR="008852BF">
        <w:t>,</w:t>
      </w:r>
      <w:r w:rsidR="00C43936">
        <w:t xml:space="preserve"> </w:t>
      </w:r>
      <w:r w:rsidR="004C3CB5">
        <w:t xml:space="preserve">a test for predisposition </w:t>
      </w:r>
      <w:r w:rsidR="00C43936">
        <w:t xml:space="preserve">would require that </w:t>
      </w:r>
      <w:r w:rsidR="004C3CB5">
        <w:t>the specimen</w:t>
      </w:r>
      <w:r w:rsidR="00C43936">
        <w:t>s should be drawn prior to the onset of the condition</w:t>
      </w:r>
      <w:r w:rsidR="004C3CB5">
        <w:t xml:space="preserve">. </w:t>
      </w:r>
    </w:p>
    <w:p w:rsidR="000C3271" w:rsidRPr="00104CF5" w:rsidRDefault="00FC42B6" w:rsidP="00343277">
      <w:pPr>
        <w:spacing w:before="120" w:after="120"/>
      </w:pPr>
      <w:r>
        <w:t>Where appropriate, the study should be designed to include patient follow-up to determine their clinical endpoint/outcome. This would be applicable</w:t>
      </w:r>
      <w:r w:rsidR="000463F2">
        <w:t xml:space="preserve"> for</w:t>
      </w:r>
      <w:r w:rsidR="000B777F">
        <w:t xml:space="preserve"> tests that</w:t>
      </w:r>
      <w:r w:rsidR="00D65A51">
        <w:t xml:space="preserve"> identify future conditions</w:t>
      </w:r>
      <w:r>
        <w:t xml:space="preserve"> such as </w:t>
      </w:r>
      <w:r w:rsidR="00A73D3C">
        <w:t xml:space="preserve">tests for </w:t>
      </w:r>
      <w:r>
        <w:t>predisposition, prognosis and prediction.</w:t>
      </w:r>
    </w:p>
    <w:p w:rsidR="00343277" w:rsidRPr="007C57F7" w:rsidRDefault="00343277" w:rsidP="00343277">
      <w:pPr>
        <w:spacing w:before="120" w:after="120"/>
      </w:pPr>
      <w:r w:rsidRPr="001261D3">
        <w:t>Where appropriate, multiple test purposes mi</w:t>
      </w:r>
      <w:r w:rsidR="005277F8" w:rsidRPr="001261D3">
        <w:t>ght be evaluated simultaneously. In these</w:t>
      </w:r>
      <w:r w:rsidRPr="001261D3">
        <w:t xml:space="preserve"> case</w:t>
      </w:r>
      <w:r w:rsidR="005277F8" w:rsidRPr="001261D3">
        <w:t>s</w:t>
      </w:r>
      <w:r w:rsidRPr="001261D3">
        <w:t xml:space="preserve"> more than one design type can be combined into a single clinical performance study.</w:t>
      </w:r>
      <w:r w:rsidR="00CA445A" w:rsidRPr="001261D3">
        <w:t xml:space="preserve"> </w:t>
      </w:r>
      <w:r w:rsidR="00241B0F" w:rsidRPr="001261D3">
        <w:t xml:space="preserve">Such </w:t>
      </w:r>
      <w:r w:rsidR="00CA445A" w:rsidRPr="001261D3">
        <w:t xml:space="preserve">clinical performance studies should </w:t>
      </w:r>
      <w:r w:rsidR="00241B0F" w:rsidRPr="001261D3">
        <w:t xml:space="preserve">be designed and </w:t>
      </w:r>
      <w:r w:rsidR="00CA445A" w:rsidRPr="001261D3">
        <w:t>involve patient populations (with known or readily identifiable clinical status) that would suffici</w:t>
      </w:r>
      <w:r w:rsidR="00241B0F" w:rsidRPr="001261D3">
        <w:t>ently validate all of the potential</w:t>
      </w:r>
      <w:r w:rsidR="00CA445A" w:rsidRPr="001261D3">
        <w:t xml:space="preserve"> test purposes.</w:t>
      </w:r>
    </w:p>
    <w:p w:rsidR="00D85DA5" w:rsidRPr="0000795F" w:rsidRDefault="00D85DA5" w:rsidP="0000795F">
      <w:pPr>
        <w:pStyle w:val="Heading2"/>
      </w:pPr>
      <w:bookmarkStart w:id="83" w:name="_Toc306278613"/>
      <w:bookmarkStart w:id="84" w:name="_Toc301712629"/>
      <w:bookmarkStart w:id="85" w:name="_Toc301712743"/>
      <w:bookmarkStart w:id="86" w:name="_Toc301712857"/>
      <w:bookmarkStart w:id="87" w:name="_Toc301712972"/>
      <w:bookmarkStart w:id="88" w:name="_Toc302023212"/>
      <w:bookmarkStart w:id="89" w:name="_Toc302023326"/>
      <w:bookmarkStart w:id="90" w:name="_Toc301712630"/>
      <w:bookmarkStart w:id="91" w:name="_Toc301712744"/>
      <w:bookmarkStart w:id="92" w:name="_Toc301712858"/>
      <w:bookmarkStart w:id="93" w:name="_Toc301712973"/>
      <w:bookmarkStart w:id="94" w:name="_Toc302023213"/>
      <w:bookmarkStart w:id="95" w:name="_Toc302023327"/>
      <w:bookmarkStart w:id="96" w:name="_Toc301712631"/>
      <w:bookmarkStart w:id="97" w:name="_Toc301712745"/>
      <w:bookmarkStart w:id="98" w:name="_Toc301712859"/>
      <w:bookmarkStart w:id="99" w:name="_Toc301712974"/>
      <w:bookmarkStart w:id="100" w:name="_Toc302023214"/>
      <w:bookmarkStart w:id="101" w:name="_Toc302023328"/>
      <w:bookmarkStart w:id="102" w:name="_Toc301712632"/>
      <w:bookmarkStart w:id="103" w:name="_Toc301712746"/>
      <w:bookmarkStart w:id="104" w:name="_Toc301712860"/>
      <w:bookmarkStart w:id="105" w:name="_Toc301712975"/>
      <w:bookmarkStart w:id="106" w:name="_Toc302023215"/>
      <w:bookmarkStart w:id="107" w:name="_Toc302023329"/>
      <w:bookmarkStart w:id="108" w:name="_Toc301712633"/>
      <w:bookmarkStart w:id="109" w:name="_Toc301712747"/>
      <w:bookmarkStart w:id="110" w:name="_Toc301712861"/>
      <w:bookmarkStart w:id="111" w:name="_Toc301712976"/>
      <w:bookmarkStart w:id="112" w:name="_Toc302023216"/>
      <w:bookmarkStart w:id="113" w:name="_Toc302023330"/>
      <w:bookmarkStart w:id="114" w:name="_Toc301712634"/>
      <w:bookmarkStart w:id="115" w:name="_Toc301712748"/>
      <w:bookmarkStart w:id="116" w:name="_Toc301712862"/>
      <w:bookmarkStart w:id="117" w:name="_Toc301712977"/>
      <w:bookmarkStart w:id="118" w:name="_Toc302023217"/>
      <w:bookmarkStart w:id="119" w:name="_Toc302023331"/>
      <w:bookmarkStart w:id="120" w:name="_Toc301712635"/>
      <w:bookmarkStart w:id="121" w:name="_Toc301712749"/>
      <w:bookmarkStart w:id="122" w:name="_Toc301712863"/>
      <w:bookmarkStart w:id="123" w:name="_Toc301712978"/>
      <w:bookmarkStart w:id="124" w:name="_Toc302023218"/>
      <w:bookmarkStart w:id="125" w:name="_Toc302023332"/>
      <w:bookmarkStart w:id="126" w:name="_Toc301712637"/>
      <w:bookmarkStart w:id="127" w:name="_Toc301712751"/>
      <w:bookmarkStart w:id="128" w:name="_Toc301712865"/>
      <w:bookmarkStart w:id="129" w:name="_Toc301712980"/>
      <w:bookmarkStart w:id="130" w:name="_Toc302023220"/>
      <w:bookmarkStart w:id="131" w:name="_Toc302023334"/>
      <w:bookmarkStart w:id="132" w:name="_Toc301712638"/>
      <w:bookmarkStart w:id="133" w:name="_Toc301712752"/>
      <w:bookmarkStart w:id="134" w:name="_Toc301712866"/>
      <w:bookmarkStart w:id="135" w:name="_Toc301712981"/>
      <w:bookmarkStart w:id="136" w:name="_Toc302023221"/>
      <w:bookmarkStart w:id="137" w:name="_Toc302023335"/>
      <w:bookmarkStart w:id="138" w:name="_Toc301712639"/>
      <w:bookmarkStart w:id="139" w:name="_Toc301712753"/>
      <w:bookmarkStart w:id="140" w:name="_Toc301712867"/>
      <w:bookmarkStart w:id="141" w:name="_Toc301712982"/>
      <w:bookmarkStart w:id="142" w:name="_Toc302023222"/>
      <w:bookmarkStart w:id="143" w:name="_Toc302023336"/>
      <w:bookmarkStart w:id="144" w:name="_Toc301712640"/>
      <w:bookmarkStart w:id="145" w:name="_Toc301712754"/>
      <w:bookmarkStart w:id="146" w:name="_Toc301712868"/>
      <w:bookmarkStart w:id="147" w:name="_Toc301712983"/>
      <w:bookmarkStart w:id="148" w:name="_Toc302023223"/>
      <w:bookmarkStart w:id="149" w:name="_Toc302023337"/>
      <w:bookmarkStart w:id="150" w:name="_Toc301712644"/>
      <w:bookmarkStart w:id="151" w:name="_Toc301712758"/>
      <w:bookmarkStart w:id="152" w:name="_Toc301712872"/>
      <w:bookmarkStart w:id="153" w:name="_Toc301712987"/>
      <w:bookmarkStart w:id="154" w:name="_Toc302023227"/>
      <w:bookmarkStart w:id="155" w:name="_Toc302023341"/>
      <w:bookmarkStart w:id="156" w:name="_Toc301712647"/>
      <w:bookmarkStart w:id="157" w:name="_Toc301712761"/>
      <w:bookmarkStart w:id="158" w:name="_Toc301712875"/>
      <w:bookmarkStart w:id="159" w:name="_Toc301712990"/>
      <w:bookmarkStart w:id="160" w:name="_Toc302023230"/>
      <w:bookmarkStart w:id="161" w:name="_Toc302023344"/>
      <w:bookmarkStart w:id="162" w:name="_Toc301712651"/>
      <w:bookmarkStart w:id="163" w:name="_Toc301712765"/>
      <w:bookmarkStart w:id="164" w:name="_Toc301712879"/>
      <w:bookmarkStart w:id="165" w:name="_Toc301712994"/>
      <w:bookmarkStart w:id="166" w:name="_Toc302023234"/>
      <w:bookmarkStart w:id="167" w:name="_Toc302023348"/>
      <w:bookmarkStart w:id="168" w:name="_Toc301712652"/>
      <w:bookmarkStart w:id="169" w:name="_Toc301712766"/>
      <w:bookmarkStart w:id="170" w:name="_Toc301712880"/>
      <w:bookmarkStart w:id="171" w:name="_Toc301712995"/>
      <w:bookmarkStart w:id="172" w:name="_Toc302023235"/>
      <w:bookmarkStart w:id="173" w:name="_Toc302023349"/>
      <w:bookmarkStart w:id="174" w:name="_Toc301712671"/>
      <w:bookmarkStart w:id="175" w:name="_Toc301712785"/>
      <w:bookmarkStart w:id="176" w:name="_Toc301712899"/>
      <w:bookmarkStart w:id="177" w:name="_Toc301713014"/>
      <w:bookmarkStart w:id="178" w:name="_Toc302023254"/>
      <w:bookmarkStart w:id="179" w:name="_Toc302023368"/>
      <w:bookmarkStart w:id="180" w:name="_Toc301712672"/>
      <w:bookmarkStart w:id="181" w:name="_Toc301712786"/>
      <w:bookmarkStart w:id="182" w:name="_Toc301712900"/>
      <w:bookmarkStart w:id="183" w:name="_Toc301713015"/>
      <w:bookmarkStart w:id="184" w:name="_Toc302023255"/>
      <w:bookmarkStart w:id="185" w:name="_Toc302023369"/>
      <w:bookmarkStart w:id="186" w:name="_Toc301712673"/>
      <w:bookmarkStart w:id="187" w:name="_Toc301712787"/>
      <w:bookmarkStart w:id="188" w:name="_Toc301712901"/>
      <w:bookmarkStart w:id="189" w:name="_Toc301713016"/>
      <w:bookmarkStart w:id="190" w:name="_Toc302023256"/>
      <w:bookmarkStart w:id="191" w:name="_Toc302023370"/>
      <w:bookmarkStart w:id="192" w:name="_Toc301712674"/>
      <w:bookmarkStart w:id="193" w:name="_Toc301712788"/>
      <w:bookmarkStart w:id="194" w:name="_Toc301712902"/>
      <w:bookmarkStart w:id="195" w:name="_Toc301713017"/>
      <w:bookmarkStart w:id="196" w:name="_Toc302023257"/>
      <w:bookmarkStart w:id="197" w:name="_Toc302023371"/>
      <w:bookmarkStart w:id="198" w:name="_Toc301712675"/>
      <w:bookmarkStart w:id="199" w:name="_Toc301712789"/>
      <w:bookmarkStart w:id="200" w:name="_Toc301712903"/>
      <w:bookmarkStart w:id="201" w:name="_Toc301713018"/>
      <w:bookmarkStart w:id="202" w:name="_Toc302023258"/>
      <w:bookmarkStart w:id="203" w:name="_Toc302023372"/>
      <w:bookmarkStart w:id="204" w:name="_Toc301712676"/>
      <w:bookmarkStart w:id="205" w:name="_Toc301712790"/>
      <w:bookmarkStart w:id="206" w:name="_Toc301712904"/>
      <w:bookmarkStart w:id="207" w:name="_Toc301713019"/>
      <w:bookmarkStart w:id="208" w:name="_Toc302023259"/>
      <w:bookmarkStart w:id="209" w:name="_Toc302023373"/>
      <w:bookmarkStart w:id="210" w:name="_Toc301712677"/>
      <w:bookmarkStart w:id="211" w:name="_Toc301712791"/>
      <w:bookmarkStart w:id="212" w:name="_Toc301712905"/>
      <w:bookmarkStart w:id="213" w:name="_Toc301713020"/>
      <w:bookmarkStart w:id="214" w:name="_Toc302023260"/>
      <w:bookmarkStart w:id="215" w:name="_Toc302023374"/>
      <w:bookmarkStart w:id="216" w:name="_Toc33228637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00795F">
        <w:t>Specimen Collection</w:t>
      </w:r>
      <w:r w:rsidR="00B97B95" w:rsidRPr="0000795F">
        <w:t xml:space="preserve"> and Handling</w:t>
      </w:r>
      <w:bookmarkEnd w:id="216"/>
    </w:p>
    <w:p w:rsidR="00D85DA5" w:rsidRDefault="00D85DA5" w:rsidP="00D85DA5">
      <w:pPr>
        <w:pStyle w:val="NormalWeb"/>
      </w:pPr>
      <w:r>
        <w:t>S</w:t>
      </w:r>
      <w:r w:rsidR="00CC274D">
        <w:t xml:space="preserve">amples </w:t>
      </w:r>
      <w:r>
        <w:t xml:space="preserve">used in clinical performance studies </w:t>
      </w:r>
      <w:r w:rsidR="00CC274D">
        <w:t xml:space="preserve">are derived from specimens which may be obtained from </w:t>
      </w:r>
      <w:r>
        <w:t>several sources</w:t>
      </w:r>
      <w:r w:rsidR="00315A7A">
        <w:t xml:space="preserve">, including purposefully-collected specimens, </w:t>
      </w:r>
      <w:r w:rsidR="005E0EDA">
        <w:t>leftover specimens</w:t>
      </w:r>
      <w:r w:rsidR="00315A7A">
        <w:t xml:space="preserve">, </w:t>
      </w:r>
      <w:r w:rsidR="005E0EDA">
        <w:t>or</w:t>
      </w:r>
      <w:r w:rsidR="005E0EDA" w:rsidRPr="005E0EDA">
        <w:t xml:space="preserve"> </w:t>
      </w:r>
      <w:r w:rsidR="005E0EDA">
        <w:t>archived specimens.</w:t>
      </w:r>
    </w:p>
    <w:p w:rsidR="00315A7A" w:rsidRDefault="00315A7A" w:rsidP="00315A7A">
      <w:pPr>
        <w:pStyle w:val="NormalWeb"/>
      </w:pPr>
      <w:r>
        <w:t>Purposefully-collected specimens refer to s</w:t>
      </w:r>
      <w:r w:rsidR="009660E3">
        <w:t>pecimens</w:t>
      </w:r>
      <w:r>
        <w:t xml:space="preserve"> that were </w:t>
      </w:r>
      <w:r w:rsidR="00FA1B10">
        <w:t>drawn from patients</w:t>
      </w:r>
      <w:r>
        <w:t xml:space="preserve"> with the specific intention of using them in a particular clinical performance study. These s</w:t>
      </w:r>
      <w:r w:rsidR="009660E3">
        <w:t>pecimens</w:t>
      </w:r>
      <w:r w:rsidR="00E62AE3">
        <w:t xml:space="preserve"> or their derived samples</w:t>
      </w:r>
      <w:r>
        <w:t xml:space="preserve"> may be tested immediately after collection</w:t>
      </w:r>
      <w:r w:rsidR="005E0EDA">
        <w:t xml:space="preserve"> (i.e. fresh)</w:t>
      </w:r>
      <w:r>
        <w:t xml:space="preserve"> or may be stored (e</w:t>
      </w:r>
      <w:r w:rsidR="00276278">
        <w:t>.g.</w:t>
      </w:r>
      <w:r>
        <w:t xml:space="preserve"> refrigerated or frozen) for testing at a later date.</w:t>
      </w:r>
    </w:p>
    <w:p w:rsidR="00D91166" w:rsidRDefault="00D91166" w:rsidP="00D91166">
      <w:pPr>
        <w:pStyle w:val="NormalWeb"/>
      </w:pPr>
      <w:r>
        <w:t>Leftover specimens are considered to be remnants of s</w:t>
      </w:r>
      <w:r w:rsidR="009660E3">
        <w:t>pecimens</w:t>
      </w:r>
      <w:r>
        <w:t xml:space="preserve"> collected for routine </w:t>
      </w:r>
      <w:r w:rsidR="009660E3">
        <w:t>diagnostic testing</w:t>
      </w:r>
      <w:r>
        <w:t xml:space="preserve"> that would otherwise have been discarded, or s</w:t>
      </w:r>
      <w:r w:rsidR="009660E3">
        <w:t>pecimens</w:t>
      </w:r>
      <w:r>
        <w:t xml:space="preserve"> that were previously collected for other research purposes (e.g. basic research studies, pharmaceutical clinical trials, previous IVD medical device clinical performance studies).</w:t>
      </w:r>
    </w:p>
    <w:p w:rsidR="00EB20C1" w:rsidRDefault="00EB20C1" w:rsidP="00D91166">
      <w:pPr>
        <w:pStyle w:val="NormalWeb"/>
      </w:pPr>
      <w:r>
        <w:t>Archived specimens</w:t>
      </w:r>
      <w:r w:rsidR="00FD59B9">
        <w:t xml:space="preserve"> or samples</w:t>
      </w:r>
      <w:r>
        <w:t xml:space="preserve"> refer to s</w:t>
      </w:r>
      <w:r w:rsidR="00FD59B9">
        <w:t>pecimens or samples</w:t>
      </w:r>
      <w:r>
        <w:t xml:space="preserve"> that were collected in</w:t>
      </w:r>
      <w:r w:rsidR="000B43F2">
        <w:t xml:space="preserve"> the past and are </w:t>
      </w:r>
      <w:r>
        <w:t>ob</w:t>
      </w:r>
      <w:r w:rsidR="00E62AE3">
        <w:t>t</w:t>
      </w:r>
      <w:r>
        <w:t>ained from repositories (e.g. tissue banks, commercial vendor collections)</w:t>
      </w:r>
      <w:r w:rsidR="00A608C0">
        <w:t>. While archived specimens</w:t>
      </w:r>
      <w:r w:rsidR="00FD59B9">
        <w:t xml:space="preserve"> or samples</w:t>
      </w:r>
      <w:r w:rsidR="00A608C0">
        <w:t xml:space="preserve"> tend to be well-characterized whereby the analyt</w:t>
      </w:r>
      <w:r w:rsidR="00DF3FBA">
        <w:t>e</w:t>
      </w:r>
      <w:r w:rsidR="00A608C0">
        <w:t xml:space="preserve"> status and/or clinical status of the patient are known, some </w:t>
      </w:r>
      <w:r w:rsidR="00FD59B9">
        <w:t xml:space="preserve">specimens or </w:t>
      </w:r>
      <w:r w:rsidR="00A608C0">
        <w:t xml:space="preserve">samples may be </w:t>
      </w:r>
      <w:r w:rsidR="00FD59B9">
        <w:t>archived</w:t>
      </w:r>
      <w:r w:rsidR="00A608C0">
        <w:t xml:space="preserve"> without first </w:t>
      </w:r>
      <w:r w:rsidR="00A608C0">
        <w:lastRenderedPageBreak/>
        <w:t>establishing their analyt</w:t>
      </w:r>
      <w:r w:rsidR="00DF3FBA">
        <w:t>e</w:t>
      </w:r>
      <w:r w:rsidR="00A608C0">
        <w:t>/clinical status.</w:t>
      </w:r>
      <w:r w:rsidR="00D91166">
        <w:t xml:space="preserve"> W</w:t>
      </w:r>
      <w:r w:rsidR="00910824">
        <w:t>ell-characterized archived specimens</w:t>
      </w:r>
      <w:r w:rsidR="00D91166">
        <w:t xml:space="preserve"> </w:t>
      </w:r>
      <w:r w:rsidR="00FD59B9">
        <w:t xml:space="preserve">or samples </w:t>
      </w:r>
      <w:r w:rsidR="00D91166">
        <w:t xml:space="preserve">are often the source for unique </w:t>
      </w:r>
      <w:r w:rsidR="009A1B5B">
        <w:t>or</w:t>
      </w:r>
      <w:r w:rsidR="00D91166">
        <w:t xml:space="preserve"> rare </w:t>
      </w:r>
      <w:r w:rsidR="00FD59B9">
        <w:t xml:space="preserve">specimens or </w:t>
      </w:r>
      <w:r w:rsidR="00D91166">
        <w:t>s</w:t>
      </w:r>
      <w:r w:rsidR="002D0E39">
        <w:t>amples</w:t>
      </w:r>
      <w:r w:rsidR="00D91166">
        <w:t xml:space="preserve"> in sufficient qu</w:t>
      </w:r>
      <w:r w:rsidR="002D0E39">
        <w:t xml:space="preserve">antity, whereby without these </w:t>
      </w:r>
      <w:r w:rsidR="00FD59B9">
        <w:t xml:space="preserve">specimens or </w:t>
      </w:r>
      <w:r w:rsidR="002D0E39">
        <w:t>samples, it</w:t>
      </w:r>
      <w:r w:rsidR="00D91166">
        <w:t xml:space="preserve"> would be difficult, if not impossible, to conduct </w:t>
      </w:r>
      <w:r w:rsidR="002D0E39">
        <w:t xml:space="preserve">the study </w:t>
      </w:r>
      <w:r w:rsidR="00D91166">
        <w:t xml:space="preserve">in a reasonable </w:t>
      </w:r>
      <w:r w:rsidR="002D0E39">
        <w:t>timeframe.</w:t>
      </w:r>
    </w:p>
    <w:p w:rsidR="00D85DA5" w:rsidRDefault="00D85DA5" w:rsidP="00D85DA5">
      <w:pPr>
        <w:pStyle w:val="NormalWeb"/>
      </w:pPr>
      <w:r w:rsidRPr="00380CD0">
        <w:t xml:space="preserve">For many </w:t>
      </w:r>
      <w:r>
        <w:t>IVD medical device clinical performance studies</w:t>
      </w:r>
      <w:r w:rsidRPr="00380CD0">
        <w:t>, it is appropriate to u</w:t>
      </w:r>
      <w:r w:rsidRPr="00B74A7B">
        <w:t xml:space="preserve">se </w:t>
      </w:r>
      <w:r w:rsidR="00D27100">
        <w:t>leftover</w:t>
      </w:r>
      <w:r w:rsidRPr="00B74A7B">
        <w:t xml:space="preserve"> </w:t>
      </w:r>
      <w:r w:rsidR="00B74A7B" w:rsidRPr="00B74A7B">
        <w:t xml:space="preserve">or </w:t>
      </w:r>
      <w:r w:rsidR="00D27100">
        <w:t>archived</w:t>
      </w:r>
      <w:r w:rsidR="00B74A7B" w:rsidRPr="00B74A7B">
        <w:t xml:space="preserve"> </w:t>
      </w:r>
      <w:r w:rsidRPr="00B74A7B">
        <w:t xml:space="preserve">specimens in lieu of </w:t>
      </w:r>
      <w:r w:rsidR="00910824" w:rsidRPr="00B74A7B">
        <w:t>purposefully</w:t>
      </w:r>
      <w:r w:rsidRPr="00B74A7B">
        <w:t>-collected specimens provided that sufficient</w:t>
      </w:r>
      <w:r w:rsidRPr="00380CD0">
        <w:t xml:space="preserve"> information concerning s</w:t>
      </w:r>
      <w:r w:rsidR="00A7225B">
        <w:t>pecimen</w:t>
      </w:r>
      <w:r w:rsidRPr="00380CD0">
        <w:t xml:space="preserve"> characterization is available (e.g. </w:t>
      </w:r>
      <w:r w:rsidR="00A7225B">
        <w:t xml:space="preserve">anticoagulant, </w:t>
      </w:r>
      <w:r w:rsidR="00007127">
        <w:t>known patient treatment</w:t>
      </w:r>
      <w:r w:rsidR="00754561">
        <w:t>(</w:t>
      </w:r>
      <w:r w:rsidR="00007127">
        <w:t>s</w:t>
      </w:r>
      <w:r w:rsidR="00754561">
        <w:t>)</w:t>
      </w:r>
      <w:r w:rsidR="00007127">
        <w:t xml:space="preserve"> that may influence test results</w:t>
      </w:r>
      <w:r w:rsidR="00754561">
        <w:t>,</w:t>
      </w:r>
      <w:r w:rsidR="00866E77">
        <w:t xml:space="preserve"> </w:t>
      </w:r>
      <w:r w:rsidRPr="00380CD0">
        <w:t xml:space="preserve">time of last treatment dose for therapeutic drug monitoring assays). Generally, clinical performance characteristics can be validated using </w:t>
      </w:r>
      <w:r w:rsidR="00B65575">
        <w:t>leftover</w:t>
      </w:r>
      <w:r>
        <w:t xml:space="preserve"> </w:t>
      </w:r>
      <w:r w:rsidR="00B74A7B">
        <w:t xml:space="preserve">or </w:t>
      </w:r>
      <w:r w:rsidR="00B65575">
        <w:t>archived</w:t>
      </w:r>
      <w:r w:rsidR="00B74A7B">
        <w:t xml:space="preserve"> </w:t>
      </w:r>
      <w:r>
        <w:t>specimens</w:t>
      </w:r>
      <w:r w:rsidRPr="00380CD0">
        <w:t xml:space="preserve"> if</w:t>
      </w:r>
      <w:r>
        <w:t xml:space="preserve"> </w:t>
      </w:r>
      <w:r w:rsidRPr="00380CD0">
        <w:t>the</w:t>
      </w:r>
      <w:r w:rsidR="00E376F5">
        <w:t>y</w:t>
      </w:r>
      <w:r w:rsidRPr="00380CD0">
        <w:t xml:space="preserve"> were collected</w:t>
      </w:r>
      <w:r w:rsidR="00222745">
        <w:t>, handled</w:t>
      </w:r>
      <w:r w:rsidRPr="00380CD0">
        <w:t xml:space="preserve"> and stored appropriately</w:t>
      </w:r>
      <w:r>
        <w:t xml:space="preserve"> (i.e. good integrity) and if the information available for the specimen</w:t>
      </w:r>
      <w:r w:rsidR="00726671">
        <w:t>s</w:t>
      </w:r>
      <w:r w:rsidR="00D37FA3">
        <w:t xml:space="preserve"> </w:t>
      </w:r>
      <w:r>
        <w:t>meets the study design requirements.</w:t>
      </w:r>
      <w:r w:rsidR="00E376F5">
        <w:t xml:space="preserve"> </w:t>
      </w:r>
      <w:r w:rsidR="00D27100" w:rsidRPr="00B97EEE">
        <w:rPr>
          <w:lang w:val="en-GB" w:eastAsia="ja-JP"/>
        </w:rPr>
        <w:t xml:space="preserve">Care must be taken to avoid introducing a selection bias through the use of leftover </w:t>
      </w:r>
      <w:r w:rsidR="00D27100">
        <w:rPr>
          <w:lang w:val="en-GB" w:eastAsia="ja-JP"/>
        </w:rPr>
        <w:t>or archived specimens</w:t>
      </w:r>
      <w:r w:rsidR="00D27100" w:rsidRPr="00B97EEE">
        <w:rPr>
          <w:lang w:val="en-GB" w:eastAsia="ja-JP"/>
        </w:rPr>
        <w:t>.</w:t>
      </w:r>
      <w:r w:rsidR="00C41D2B">
        <w:rPr>
          <w:lang w:val="en-GB" w:eastAsia="ja-JP"/>
        </w:rPr>
        <w:t xml:space="preserve"> </w:t>
      </w:r>
      <w:r w:rsidR="00E376F5">
        <w:t xml:space="preserve">Documentation should exist to support the </w:t>
      </w:r>
      <w:r w:rsidR="00BB2C13">
        <w:t>integrity of the selected</w:t>
      </w:r>
      <w:r w:rsidR="00E376F5">
        <w:t xml:space="preserve"> specimen</w:t>
      </w:r>
      <w:r w:rsidR="00BB2C13">
        <w:t>s</w:t>
      </w:r>
      <w:r w:rsidR="00D37FA3">
        <w:t xml:space="preserve"> </w:t>
      </w:r>
      <w:r w:rsidR="00E376F5">
        <w:t>in the clinical performance studies</w:t>
      </w:r>
      <w:r w:rsidR="00B601F3">
        <w:t>.</w:t>
      </w:r>
    </w:p>
    <w:p w:rsidR="00222745" w:rsidRDefault="0052181F" w:rsidP="007F1D42">
      <w:pPr>
        <w:pStyle w:val="NormalWeb"/>
        <w:tabs>
          <w:tab w:val="left" w:pos="6960"/>
        </w:tabs>
      </w:pPr>
      <w:r>
        <w:t>Attention</w:t>
      </w:r>
      <w:r w:rsidR="00307BC5">
        <w:t xml:space="preserve"> needs to be </w:t>
      </w:r>
      <w:r>
        <w:t>given</w:t>
      </w:r>
      <w:r w:rsidR="00307BC5">
        <w:t xml:space="preserve"> when using </w:t>
      </w:r>
      <w:r>
        <w:t>leftover</w:t>
      </w:r>
      <w:r w:rsidR="00307BC5">
        <w:t xml:space="preserve"> or </w:t>
      </w:r>
      <w:r>
        <w:t>archived</w:t>
      </w:r>
      <w:r w:rsidR="00307BC5">
        <w:t xml:space="preserve"> specimens</w:t>
      </w:r>
      <w:r w:rsidR="00D37FA3">
        <w:t xml:space="preserve"> </w:t>
      </w:r>
      <w:r w:rsidR="00307BC5">
        <w:t xml:space="preserve">to evaluate certain prognostic or predictive tests due to the potential that treatment regimens may bias results. It is generally more appropriate to use </w:t>
      </w:r>
      <w:r w:rsidR="00B601F3">
        <w:t>leftover</w:t>
      </w:r>
      <w:r w:rsidR="00B601F3" w:rsidDel="00B601F3">
        <w:t xml:space="preserve"> </w:t>
      </w:r>
      <w:r w:rsidR="00307BC5">
        <w:t xml:space="preserve">or </w:t>
      </w:r>
      <w:r w:rsidR="00B601F3">
        <w:t xml:space="preserve">archived </w:t>
      </w:r>
      <w:r w:rsidR="00307BC5">
        <w:t>specimens when there is minimal treatment heterogeneity among the patient populations. Such an approach reduces the risk that variable treatment regimens will obscure the influence of prognostic or predictive markers on clinical outcomes.</w:t>
      </w:r>
    </w:p>
    <w:p w:rsidR="00BF6399" w:rsidRPr="0000795F" w:rsidRDefault="00BF6399" w:rsidP="0000795F">
      <w:pPr>
        <w:pStyle w:val="Heading2"/>
      </w:pPr>
      <w:bookmarkStart w:id="217" w:name="_Toc301712679"/>
      <w:bookmarkStart w:id="218" w:name="_Toc301712793"/>
      <w:bookmarkStart w:id="219" w:name="_Toc301712907"/>
      <w:bookmarkStart w:id="220" w:name="_Toc301713022"/>
      <w:bookmarkStart w:id="221" w:name="_Toc302023262"/>
      <w:bookmarkStart w:id="222" w:name="_Toc302023376"/>
      <w:bookmarkStart w:id="223" w:name="_Toc332286371"/>
      <w:bookmarkEnd w:id="217"/>
      <w:bookmarkEnd w:id="218"/>
      <w:bookmarkEnd w:id="219"/>
      <w:bookmarkEnd w:id="220"/>
      <w:bookmarkEnd w:id="221"/>
      <w:bookmarkEnd w:id="222"/>
      <w:r w:rsidRPr="0000795F">
        <w:t xml:space="preserve">Clinical </w:t>
      </w:r>
      <w:r w:rsidR="0000795F" w:rsidRPr="0000795F">
        <w:t>P</w:t>
      </w:r>
      <w:r w:rsidRPr="0000795F">
        <w:t xml:space="preserve">erformance </w:t>
      </w:r>
      <w:r w:rsidR="0000795F" w:rsidRPr="0000795F">
        <w:t>S</w:t>
      </w:r>
      <w:r w:rsidRPr="0000795F">
        <w:t xml:space="preserve">tudy </w:t>
      </w:r>
      <w:r w:rsidR="0000795F" w:rsidRPr="0000795F">
        <w:t>S</w:t>
      </w:r>
      <w:r w:rsidRPr="0000795F">
        <w:t xml:space="preserve">ite </w:t>
      </w:r>
      <w:r w:rsidR="0000795F" w:rsidRPr="0000795F">
        <w:t>L</w:t>
      </w:r>
      <w:r w:rsidRPr="0000795F">
        <w:t>ocation</w:t>
      </w:r>
      <w:bookmarkEnd w:id="223"/>
    </w:p>
    <w:p w:rsidR="002D49A3" w:rsidRDefault="002D49A3" w:rsidP="00B37F48">
      <w:pPr>
        <w:pStyle w:val="NormalWeb"/>
      </w:pPr>
      <w:r w:rsidRPr="00A06CFE">
        <w:t xml:space="preserve">Clinical performance studies </w:t>
      </w:r>
      <w:r w:rsidR="00C16A7A">
        <w:t>are generally</w:t>
      </w:r>
      <w:r w:rsidRPr="00A06CFE">
        <w:t xml:space="preserve"> performed at sit</w:t>
      </w:r>
      <w:r>
        <w:t>es external to the manufacturer although the manufacturer</w:t>
      </w:r>
      <w:r w:rsidR="00A150D5">
        <w:t>’s</w:t>
      </w:r>
      <w:r>
        <w:t xml:space="preserve"> site can be one of the </w:t>
      </w:r>
      <w:r w:rsidR="00E2693B">
        <w:t xml:space="preserve">testing </w:t>
      </w:r>
      <w:r>
        <w:t>sites included in the study. However</w:t>
      </w:r>
      <w:r w:rsidR="00D30F87">
        <w:t>,</w:t>
      </w:r>
      <w:r>
        <w:t xml:space="preserve"> </w:t>
      </w:r>
      <w:r w:rsidR="00C16A7A">
        <w:t xml:space="preserve">in certain circumstances </w:t>
      </w:r>
      <w:r>
        <w:t>it might be appropriate to perform</w:t>
      </w:r>
      <w:r w:rsidR="00E2693B">
        <w:t xml:space="preserve"> the testing</w:t>
      </w:r>
      <w:r>
        <w:t xml:space="preserve"> only at the manufactur</w:t>
      </w:r>
      <w:r w:rsidR="00A150D5">
        <w:t>er’s</w:t>
      </w:r>
      <w:r>
        <w:t xml:space="preserve"> site</w:t>
      </w:r>
      <w:r w:rsidR="00614237">
        <w:t>;</w:t>
      </w:r>
      <w:r w:rsidR="008F5FD0">
        <w:t xml:space="preserve"> in this case a justification for this decision should be provided</w:t>
      </w:r>
      <w:r>
        <w:t>.</w:t>
      </w:r>
      <w:r w:rsidR="00E21B5F">
        <w:t xml:space="preserve"> For example, a study to determine expected values can often be performed entirely at the manufacturer’s site.</w:t>
      </w:r>
    </w:p>
    <w:p w:rsidR="00A81412" w:rsidRPr="00B97EEE" w:rsidRDefault="00907BEA" w:rsidP="00B37F48">
      <w:pPr>
        <w:pStyle w:val="NormalWeb"/>
        <w:rPr>
          <w:dstrike/>
        </w:rPr>
      </w:pPr>
      <w:r>
        <w:t>S</w:t>
      </w:r>
      <w:r w:rsidR="00A81412" w:rsidRPr="00B97EEE">
        <w:t xml:space="preserve">ites are </w:t>
      </w:r>
      <w:r>
        <w:t xml:space="preserve">often </w:t>
      </w:r>
      <w:r w:rsidR="00A81412" w:rsidRPr="00B97EEE">
        <w:t>chosen to serve as specimen collection sites only and do not perfo</w:t>
      </w:r>
      <w:r w:rsidR="00EC64DB">
        <w:t xml:space="preserve">rm testing. Similarly, </w:t>
      </w:r>
      <w:r w:rsidR="00A81412" w:rsidRPr="00B97EEE">
        <w:t>sites can perform testing using the investigational IVD medical device but do not have the ability to perform testing using the reference method. In these cases, extra care is needed to minimize bias between study sites</w:t>
      </w:r>
      <w:r w:rsidR="00A81412" w:rsidRPr="00152A04">
        <w:rPr>
          <w:sz w:val="20"/>
          <w:szCs w:val="20"/>
        </w:rPr>
        <w:t xml:space="preserve">. </w:t>
      </w:r>
    </w:p>
    <w:p w:rsidR="00A81412" w:rsidRDefault="00A81412" w:rsidP="00B37F48">
      <w:pPr>
        <w:pStyle w:val="NormalWeb"/>
      </w:pPr>
      <w:r>
        <w:t>I</w:t>
      </w:r>
      <w:r w:rsidRPr="00A06CFE">
        <w:t xml:space="preserve">t is important to ensure that the </w:t>
      </w:r>
      <w:r w:rsidR="00EC64DB">
        <w:t xml:space="preserve">collection and </w:t>
      </w:r>
      <w:r>
        <w:t>testing sites are</w:t>
      </w:r>
      <w:r w:rsidRPr="00A06CFE">
        <w:t xml:space="preserve"> reflective of the intended use environment and/or intended user.</w:t>
      </w:r>
    </w:p>
    <w:p w:rsidR="00B37F48" w:rsidRPr="00F01D33" w:rsidRDefault="00B37F48" w:rsidP="0000795F">
      <w:pPr>
        <w:pStyle w:val="Heading2"/>
      </w:pPr>
      <w:bookmarkStart w:id="224" w:name="_Toc301712681"/>
      <w:bookmarkStart w:id="225" w:name="_Toc301712795"/>
      <w:bookmarkStart w:id="226" w:name="_Toc301712909"/>
      <w:bookmarkStart w:id="227" w:name="_Toc301713024"/>
      <w:bookmarkStart w:id="228" w:name="_Toc302023264"/>
      <w:bookmarkStart w:id="229" w:name="_Toc302023378"/>
      <w:bookmarkStart w:id="230" w:name="_Toc332286372"/>
      <w:bookmarkEnd w:id="224"/>
      <w:bookmarkEnd w:id="225"/>
      <w:bookmarkEnd w:id="226"/>
      <w:bookmarkEnd w:id="227"/>
      <w:bookmarkEnd w:id="228"/>
      <w:bookmarkEnd w:id="229"/>
      <w:r>
        <w:t xml:space="preserve">Statistical </w:t>
      </w:r>
      <w:r w:rsidR="00F73A61">
        <w:t>Design</w:t>
      </w:r>
      <w:bookmarkEnd w:id="230"/>
    </w:p>
    <w:p w:rsidR="00314CED" w:rsidRDefault="00D021AB" w:rsidP="00854AE6">
      <w:pPr>
        <w:pStyle w:val="NormalWeb"/>
      </w:pPr>
      <w:r>
        <w:t xml:space="preserve">In designing the study, statistical considerations should be specified </w:t>
      </w:r>
      <w:r w:rsidR="005D7B60">
        <w:t xml:space="preserve">in advance </w:t>
      </w:r>
      <w:r>
        <w:t>and be based on sound scientif</w:t>
      </w:r>
      <w:r w:rsidR="00B37F48">
        <w:t xml:space="preserve">ic principles and methodology. </w:t>
      </w:r>
      <w:r>
        <w:t>Care must be taken in developing a statistical plan that includes consideration of</w:t>
      </w:r>
      <w:r w:rsidR="00BC1230">
        <w:t>, for example,</w:t>
      </w:r>
      <w:r>
        <w:t xml:space="preserve"> the following:</w:t>
      </w:r>
    </w:p>
    <w:p w:rsidR="005D7B60" w:rsidRDefault="00BC1230" w:rsidP="005D7B60">
      <w:pPr>
        <w:pStyle w:val="NormalWeb"/>
        <w:numPr>
          <w:ilvl w:val="0"/>
          <w:numId w:val="5"/>
        </w:numPr>
        <w:autoSpaceDE w:val="0"/>
        <w:autoSpaceDN w:val="0"/>
        <w:adjustRightInd w:val="0"/>
        <w:spacing w:before="60" w:beforeAutospacing="0" w:after="60" w:afterAutospacing="0"/>
      </w:pPr>
      <w:r>
        <w:t xml:space="preserve">statistical </w:t>
      </w:r>
      <w:r w:rsidR="00D337D8">
        <w:t xml:space="preserve">significance levels, </w:t>
      </w:r>
      <w:r>
        <w:t>power</w:t>
      </w:r>
      <w:r w:rsidR="00416091">
        <w:t xml:space="preserve"> </w:t>
      </w:r>
    </w:p>
    <w:p w:rsidR="006D18D2" w:rsidRPr="00130CE1" w:rsidRDefault="006D18D2"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sidRPr="00130CE1">
        <w:lastRenderedPageBreak/>
        <w:t>appropriate sample size</w:t>
      </w:r>
      <w:r w:rsidR="00D646D2">
        <w:t xml:space="preserve"> (N)</w:t>
      </w:r>
      <w:r w:rsidRPr="00130CE1">
        <w:t xml:space="preserve"> </w:t>
      </w:r>
      <w:r w:rsidR="009C29EF" w:rsidRPr="00531138">
        <w:t xml:space="preserve">for estimation of clinical performance measures </w:t>
      </w:r>
      <w:r w:rsidR="009C29EF">
        <w:t>(</w:t>
      </w:r>
      <w:r w:rsidR="009C29EF" w:rsidRPr="00531138">
        <w:t>e.g</w:t>
      </w:r>
      <w:r w:rsidR="00404CED">
        <w:t>.</w:t>
      </w:r>
      <w:r w:rsidR="009C29EF" w:rsidRPr="00531138">
        <w:t xml:space="preserve"> sensitivity and specificity</w:t>
      </w:r>
      <w:r w:rsidR="009C29EF">
        <w:t>)</w:t>
      </w:r>
      <w:r w:rsidR="009C29EF" w:rsidRPr="00531138">
        <w:t xml:space="preserve"> with confidence intervals</w:t>
      </w:r>
    </w:p>
    <w:p w:rsidR="006D18D2" w:rsidRPr="00130CE1" w:rsidRDefault="006D18D2"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sidRPr="00130CE1">
        <w:t>appropriate subject inclusion and exclusion criteria (e.g. age, disease status)</w:t>
      </w:r>
    </w:p>
    <w:p w:rsidR="006D18D2" w:rsidRPr="00130CE1" w:rsidRDefault="006D18D2"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sidRPr="00130CE1">
        <w:rPr>
          <w:bCs/>
        </w:rPr>
        <w:t xml:space="preserve">appropriate </w:t>
      </w:r>
      <w:r w:rsidR="00D646D2">
        <w:rPr>
          <w:bCs/>
        </w:rPr>
        <w:t>specimen/</w:t>
      </w:r>
      <w:r w:rsidRPr="00130CE1">
        <w:rPr>
          <w:bCs/>
        </w:rPr>
        <w:t>sample inclusion and exclusion criteria (e.g</w:t>
      </w:r>
      <w:r w:rsidR="001F4EBB">
        <w:rPr>
          <w:bCs/>
        </w:rPr>
        <w:t>.</w:t>
      </w:r>
      <w:r w:rsidRPr="00130CE1">
        <w:rPr>
          <w:bCs/>
        </w:rPr>
        <w:t xml:space="preserve"> </w:t>
      </w:r>
      <w:r w:rsidR="00D646D2">
        <w:rPr>
          <w:bCs/>
        </w:rPr>
        <w:t>specimen/</w:t>
      </w:r>
      <w:r w:rsidRPr="00130CE1">
        <w:rPr>
          <w:bCs/>
        </w:rPr>
        <w:t>sample integrity)</w:t>
      </w:r>
    </w:p>
    <w:p w:rsidR="006D18D2" w:rsidRPr="00130CE1" w:rsidRDefault="006D18D2" w:rsidP="00BE0E28">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sidRPr="00130CE1">
        <w:t>minimization of bias</w:t>
      </w:r>
      <w:r w:rsidR="00793C7F">
        <w:t xml:space="preserve"> such as selection bias, spectrum bias, verification bias</w:t>
      </w:r>
      <w:r w:rsidRPr="00130CE1">
        <w:t xml:space="preserve"> (e.g. </w:t>
      </w:r>
      <w:r w:rsidR="00D646D2">
        <w:t>specimen/</w:t>
      </w:r>
      <w:r w:rsidRPr="00130CE1">
        <w:t>sample selection, collection</w:t>
      </w:r>
      <w:r w:rsidR="00D646D2">
        <w:t>,</w:t>
      </w:r>
      <w:r w:rsidRPr="00130CE1">
        <w:t xml:space="preserve"> handling</w:t>
      </w:r>
      <w:r w:rsidR="00D646D2">
        <w:t xml:space="preserve"> and storage</w:t>
      </w:r>
      <w:r w:rsidR="00333A8E">
        <w:t>;</w:t>
      </w:r>
      <w:r w:rsidR="00326BA9">
        <w:t xml:space="preserve"> </w:t>
      </w:r>
      <w:r w:rsidR="00333A8E">
        <w:t>blinding of operator to clinical status of patient</w:t>
      </w:r>
      <w:r w:rsidRPr="00130CE1">
        <w:t>)</w:t>
      </w:r>
    </w:p>
    <w:p w:rsidR="00430E1D" w:rsidRPr="00B97EEE" w:rsidRDefault="006D18D2" w:rsidP="00B97EEE">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sidRPr="009F2D12">
        <w:t>criteria for re-examination</w:t>
      </w:r>
      <w:r w:rsidR="00430E1D" w:rsidRPr="00B97EEE">
        <w:t xml:space="preserve"> </w:t>
      </w:r>
      <w:r w:rsidR="009E624B" w:rsidRPr="00B97EEE">
        <w:t xml:space="preserve">and resolution </w:t>
      </w:r>
      <w:r w:rsidR="00430E1D" w:rsidRPr="00B97EEE">
        <w:t>(e.g. equivocal results</w:t>
      </w:r>
      <w:r w:rsidR="009E624B" w:rsidRPr="00B97EEE">
        <w:t>, discrepant results</w:t>
      </w:r>
      <w:r w:rsidR="00430E1D" w:rsidRPr="00B97EEE">
        <w:t>)</w:t>
      </w:r>
    </w:p>
    <w:p w:rsidR="005D7B60" w:rsidRPr="00B97EEE" w:rsidRDefault="00430E1D" w:rsidP="00B97EEE">
      <w:pPr>
        <w:numPr>
          <w:ilvl w:val="1"/>
          <w:numId w:val="6"/>
        </w:numPr>
        <w:tabs>
          <w:tab w:val="clear" w:pos="1440"/>
          <w:tab w:val="num" w:pos="720"/>
        </w:tabs>
        <w:autoSpaceDE w:val="0"/>
        <w:autoSpaceDN w:val="0"/>
        <w:adjustRightInd w:val="0"/>
        <w:spacing w:before="60" w:after="60"/>
        <w:ind w:left="720"/>
        <w:rPr>
          <w:rFonts w:ascii="Times New (W1)" w:hAnsi="Times New (W1)" w:cs="Times New (W1)"/>
          <w:bCs/>
          <w:lang w:val="pt-PT"/>
        </w:rPr>
      </w:pPr>
      <w:r w:rsidRPr="00B97EEE">
        <w:rPr>
          <w:lang w:val="pt-PT"/>
        </w:rPr>
        <w:t xml:space="preserve">criteria for </w:t>
      </w:r>
      <w:r w:rsidR="006D18D2" w:rsidRPr="00B97EEE">
        <w:rPr>
          <w:lang w:val="pt-PT"/>
        </w:rPr>
        <w:t>data exclusion</w:t>
      </w:r>
      <w:r w:rsidR="00920F76" w:rsidRPr="00B97EEE">
        <w:rPr>
          <w:lang w:val="pt-PT"/>
        </w:rPr>
        <w:t xml:space="preserve"> </w:t>
      </w:r>
      <w:r w:rsidR="009E624B" w:rsidRPr="00B97EEE">
        <w:rPr>
          <w:lang w:val="pt-PT"/>
        </w:rPr>
        <w:t xml:space="preserve">(e.g. </w:t>
      </w:r>
      <w:r w:rsidR="009F2D12" w:rsidRPr="00B97EEE">
        <w:rPr>
          <w:lang w:val="pt-PT"/>
        </w:rPr>
        <w:t>protocol deviation)</w:t>
      </w:r>
    </w:p>
    <w:p w:rsidR="00D337D8" w:rsidRPr="00130CE1" w:rsidRDefault="00883B29" w:rsidP="005D7B60">
      <w:pPr>
        <w:pStyle w:val="NormalWeb"/>
        <w:numPr>
          <w:ilvl w:val="0"/>
          <w:numId w:val="5"/>
        </w:numPr>
        <w:autoSpaceDE w:val="0"/>
        <w:autoSpaceDN w:val="0"/>
        <w:adjustRightInd w:val="0"/>
        <w:spacing w:before="60" w:beforeAutospacing="0" w:after="60" w:afterAutospacing="0"/>
      </w:pPr>
      <w:r w:rsidRPr="00130CE1">
        <w:t>analysis</w:t>
      </w:r>
      <w:r w:rsidR="00854AE6" w:rsidRPr="00130CE1">
        <w:t xml:space="preserve"> methodology</w:t>
      </w:r>
    </w:p>
    <w:p w:rsidR="00025FA2" w:rsidRPr="00130CE1" w:rsidRDefault="00326BA9" w:rsidP="00902FBB">
      <w:pPr>
        <w:pStyle w:val="NormalWeb"/>
        <w:numPr>
          <w:ilvl w:val="0"/>
          <w:numId w:val="5"/>
        </w:numPr>
        <w:autoSpaceDE w:val="0"/>
        <w:autoSpaceDN w:val="0"/>
        <w:adjustRightInd w:val="0"/>
        <w:spacing w:before="60" w:beforeAutospacing="0" w:after="60" w:afterAutospacing="0"/>
        <w:rPr>
          <w:rFonts w:ascii="Times New (W1)" w:hAnsi="Times New (W1)" w:cs="Times New (W1)"/>
          <w:bCs/>
        </w:rPr>
      </w:pPr>
      <w:r>
        <w:t>clinically relevant performance characteristics</w:t>
      </w:r>
      <w:r w:rsidR="00F077DB" w:rsidRPr="00130CE1">
        <w:t xml:space="preserve"> (</w:t>
      </w:r>
      <w:r w:rsidR="00D646D2">
        <w:t xml:space="preserve">e.g. </w:t>
      </w:r>
      <w:r w:rsidR="00F077DB" w:rsidRPr="00130CE1">
        <w:t xml:space="preserve">sensitivity, specificity, </w:t>
      </w:r>
      <w:r w:rsidR="00CE323C">
        <w:t xml:space="preserve">positive likelihood ratio, negative likelihood ratio, </w:t>
      </w:r>
      <w:r w:rsidR="00F077DB" w:rsidRPr="00130CE1">
        <w:t xml:space="preserve">positive predictive value, negative predictive value, </w:t>
      </w:r>
      <w:r w:rsidR="00CE323C">
        <w:t xml:space="preserve">prevalence, </w:t>
      </w:r>
      <w:r w:rsidR="00F077DB" w:rsidRPr="00130CE1">
        <w:t xml:space="preserve">percent agreement, correlation to clinical </w:t>
      </w:r>
      <w:r>
        <w:t>endpoints/</w:t>
      </w:r>
      <w:r w:rsidR="00F077DB" w:rsidRPr="00130CE1">
        <w:t>outcomes</w:t>
      </w:r>
      <w:r w:rsidR="00CE323C">
        <w:t>, expected values</w:t>
      </w:r>
      <w:r w:rsidR="00F077DB" w:rsidRPr="00130CE1">
        <w:t>)</w:t>
      </w:r>
    </w:p>
    <w:p w:rsidR="008056B1" w:rsidRPr="0000795F" w:rsidRDefault="00461C48" w:rsidP="0000795F">
      <w:pPr>
        <w:pStyle w:val="Heading2"/>
      </w:pPr>
      <w:bookmarkStart w:id="231" w:name="_Toc301712683"/>
      <w:bookmarkStart w:id="232" w:name="_Toc301712797"/>
      <w:bookmarkStart w:id="233" w:name="_Toc301712911"/>
      <w:bookmarkStart w:id="234" w:name="_Toc301713026"/>
      <w:bookmarkStart w:id="235" w:name="_Toc302023266"/>
      <w:bookmarkStart w:id="236" w:name="_Toc302023380"/>
      <w:bookmarkStart w:id="237" w:name="_Toc301712684"/>
      <w:bookmarkStart w:id="238" w:name="_Toc301712798"/>
      <w:bookmarkStart w:id="239" w:name="_Toc301712912"/>
      <w:bookmarkStart w:id="240" w:name="_Toc301713027"/>
      <w:bookmarkStart w:id="241" w:name="_Toc302023267"/>
      <w:bookmarkStart w:id="242" w:name="_Toc302023381"/>
      <w:bookmarkStart w:id="243" w:name="_Toc332286373"/>
      <w:bookmarkEnd w:id="231"/>
      <w:bookmarkEnd w:id="232"/>
      <w:bookmarkEnd w:id="233"/>
      <w:bookmarkEnd w:id="234"/>
      <w:bookmarkEnd w:id="235"/>
      <w:bookmarkEnd w:id="236"/>
      <w:bookmarkEnd w:id="237"/>
      <w:bookmarkEnd w:id="238"/>
      <w:bookmarkEnd w:id="239"/>
      <w:bookmarkEnd w:id="240"/>
      <w:bookmarkEnd w:id="241"/>
      <w:bookmarkEnd w:id="242"/>
      <w:r>
        <w:t xml:space="preserve">Potential </w:t>
      </w:r>
      <w:r w:rsidR="008056B1" w:rsidRPr="0000795F">
        <w:t>Risk</w:t>
      </w:r>
      <w:r w:rsidR="009B0DDA" w:rsidRPr="0000795F">
        <w:t>s</w:t>
      </w:r>
      <w:bookmarkEnd w:id="243"/>
    </w:p>
    <w:p w:rsidR="00ED7E64" w:rsidRDefault="00D23533" w:rsidP="00ED7E64">
      <w:pPr>
        <w:pStyle w:val="NormalWeb"/>
      </w:pPr>
      <w:r>
        <w:t xml:space="preserve">A variety of factors influence the </w:t>
      </w:r>
      <w:r w:rsidR="00BF4BE3">
        <w:t xml:space="preserve">potential </w:t>
      </w:r>
      <w:r>
        <w:t>risks to patients when conductin</w:t>
      </w:r>
      <w:r w:rsidR="00B05F76">
        <w:t>g clinical performance studies</w:t>
      </w:r>
      <w:r w:rsidR="00B77F66">
        <w:t xml:space="preserve"> for IVD medical devices.</w:t>
      </w:r>
    </w:p>
    <w:p w:rsidR="006C35CB" w:rsidRDefault="00BE4A77" w:rsidP="00C554D3">
      <w:pPr>
        <w:pStyle w:val="NormalWeb"/>
      </w:pPr>
      <w:r>
        <w:t xml:space="preserve">When study specimens are obtained from specimens already taken for routine diagnostic testing there is no additional risk coming from the study. However, if the specimen is collected specifically for the study and involves invasive collection procedures the risks </w:t>
      </w:r>
      <w:r w:rsidR="00203D02">
        <w:t>associated with these</w:t>
      </w:r>
      <w:r>
        <w:t xml:space="preserve"> procedures should be taken into consideration. In doing so the level of invasiveness of the sampling procedures should also be taken into account (e.g</w:t>
      </w:r>
      <w:r w:rsidR="004214BD">
        <w:t>.</w:t>
      </w:r>
      <w:r>
        <w:t xml:space="preserve"> venipuncture versus spinal puncture).</w:t>
      </w:r>
    </w:p>
    <w:p w:rsidR="007529CC" w:rsidRDefault="007529CC" w:rsidP="007529CC">
      <w:pPr>
        <w:pStyle w:val="NormalWeb"/>
      </w:pPr>
      <w:r>
        <w:t>Interventional studies carry higher risks as the results are used to manage patients. For these studies, appropriate procedures for adverse events monitoring and handling should be in place.</w:t>
      </w:r>
    </w:p>
    <w:p w:rsidR="00E167B3" w:rsidRPr="0034612C" w:rsidRDefault="00D6191F" w:rsidP="00C554D3">
      <w:pPr>
        <w:pStyle w:val="NormalWeb"/>
      </w:pPr>
      <w:r>
        <w:t xml:space="preserve">For </w:t>
      </w:r>
      <w:r w:rsidR="007529CC">
        <w:t>clinical performance studies in which there is a risk to patients</w:t>
      </w:r>
      <w:r w:rsidR="005832E0">
        <w:t>,</w:t>
      </w:r>
      <w:r w:rsidR="007529CC">
        <w:t xml:space="preserve"> c</w:t>
      </w:r>
      <w:r w:rsidR="007529CC" w:rsidRPr="00F61A1A">
        <w:t xml:space="preserve">linical performance </w:t>
      </w:r>
      <w:r w:rsidR="00F359D3">
        <w:t xml:space="preserve">studies </w:t>
      </w:r>
      <w:r w:rsidR="007529CC" w:rsidRPr="00F61A1A">
        <w:t xml:space="preserve">should </w:t>
      </w:r>
      <w:r w:rsidR="007529CC" w:rsidRPr="00E167B3">
        <w:t>only</w:t>
      </w:r>
      <w:r w:rsidR="007529CC">
        <w:t xml:space="preserve"> </w:t>
      </w:r>
      <w:r w:rsidR="007529CC" w:rsidRPr="00F61A1A">
        <w:t>be performed once the analytical performance of the device has been established and determined to be acceptable</w:t>
      </w:r>
      <w:r w:rsidR="00EA1EB3">
        <w:t>.</w:t>
      </w:r>
      <w:r w:rsidR="007529CC">
        <w:t xml:space="preserve"> </w:t>
      </w:r>
      <w:r w:rsidRPr="007F1D42">
        <w:rPr>
          <w:lang w:val="en-GB"/>
        </w:rPr>
        <w:t>For example, in clinical performance studies for companion diagnostics</w:t>
      </w:r>
      <w:r w:rsidR="00F76ADF">
        <w:rPr>
          <w:lang w:val="en-GB"/>
        </w:rPr>
        <w:t>,</w:t>
      </w:r>
      <w:r w:rsidRPr="007F1D42">
        <w:rPr>
          <w:lang w:val="en-GB"/>
        </w:rPr>
        <w:t xml:space="preserve"> the way in which the biomarker status impacts treatment decisions may pose a risk to the patients</w:t>
      </w:r>
      <w:r w:rsidR="007529CC" w:rsidRPr="00D6191F">
        <w:t>.</w:t>
      </w:r>
    </w:p>
    <w:p w:rsidR="006C35CB" w:rsidRPr="00C360EA" w:rsidRDefault="006C35CB" w:rsidP="0000795F">
      <w:pPr>
        <w:pStyle w:val="Heading2"/>
      </w:pPr>
      <w:bookmarkStart w:id="244" w:name="_Toc332286374"/>
      <w:r w:rsidRPr="00C360EA">
        <w:t xml:space="preserve">Ethical Considerations for Clinical </w:t>
      </w:r>
      <w:r>
        <w:t>Performance Studies</w:t>
      </w:r>
      <w:bookmarkEnd w:id="244"/>
    </w:p>
    <w:p w:rsidR="006C35CB" w:rsidRPr="006300CC" w:rsidRDefault="006C35CB" w:rsidP="006C35CB">
      <w:pPr>
        <w:spacing w:before="120" w:after="120"/>
      </w:pPr>
      <w:r w:rsidRPr="006300CC">
        <w:t>As a general principle, the rights, safety and well</w:t>
      </w:r>
      <w:r w:rsidR="009A7FE5">
        <w:t>-</w:t>
      </w:r>
      <w:r w:rsidRPr="006300CC">
        <w:t xml:space="preserve">being of </w:t>
      </w:r>
      <w:r>
        <w:t xml:space="preserve">subjects participating in IVD medical device clinical performance studies </w:t>
      </w:r>
      <w:r w:rsidRPr="006300CC">
        <w:t xml:space="preserve">shall be protected </w:t>
      </w:r>
      <w:r w:rsidR="0073633D">
        <w:t xml:space="preserve">in accordance </w:t>
      </w:r>
      <w:r w:rsidRPr="006300CC">
        <w:t>with the ethical principles laid down in the Declaration of Helsinki</w:t>
      </w:r>
      <w:r>
        <w:t>.</w:t>
      </w:r>
    </w:p>
    <w:p w:rsidR="006C35CB" w:rsidRDefault="006C35CB" w:rsidP="006C35CB">
      <w:pPr>
        <w:spacing w:before="120" w:after="120"/>
      </w:pPr>
      <w:r>
        <w:lastRenderedPageBreak/>
        <w:t>It is ethically important in deciding to conduct a clinical performance study that it should generate new data and answer specific safety and/or performance questions that remain unanswered by the current body of knowledge. The desire to protect human subjects from unnecessary or inappropriate experimentation must be balanced with the need to protect public health through the use of clinical performance studies where they are indicated based on scientific needs (e.g. specific mutations in a given population). In all cases, however, care must be</w:t>
      </w:r>
      <w:r w:rsidRPr="00FE7F84">
        <w:t xml:space="preserve"> </w:t>
      </w:r>
      <w:r>
        <w:t>taken to ensure that the necessary data are obtained through a scientific and ethical manner that does not expose subjects to undue risks or discomfort. The rights, safety and well-being of subjects are paramount, and appropriate clinical performance study design and conduct is essential to generate meaningful data.</w:t>
      </w:r>
    </w:p>
    <w:p w:rsidR="006C35CB" w:rsidRPr="00EE68A8" w:rsidRDefault="006C35CB" w:rsidP="0000795F">
      <w:pPr>
        <w:pStyle w:val="Heading3"/>
      </w:pPr>
      <w:bookmarkStart w:id="245" w:name="_Toc332286375"/>
      <w:r>
        <w:t>Informed Consent</w:t>
      </w:r>
      <w:bookmarkEnd w:id="245"/>
    </w:p>
    <w:p w:rsidR="006C35CB" w:rsidRDefault="006C35CB" w:rsidP="006C35CB">
      <w:pPr>
        <w:pStyle w:val="NormalWeb"/>
      </w:pPr>
      <w:r>
        <w:t>The requirement for patient informed consent should be based on the risk posed to subjects participating in the clinical performance study. For IVD medical devices, informed consent is required for specimens specifically collected for the purpose of a clinical performance study.</w:t>
      </w:r>
    </w:p>
    <w:p w:rsidR="006C35CB" w:rsidRDefault="006C35CB" w:rsidP="006C35CB">
      <w:pPr>
        <w:pStyle w:val="NormalWeb"/>
      </w:pPr>
      <w:r>
        <w:t xml:space="preserve">If the clinical performance study will solely use </w:t>
      </w:r>
      <w:r w:rsidR="00C06545">
        <w:t xml:space="preserve">leftover </w:t>
      </w:r>
      <w:r>
        <w:t xml:space="preserve">or </w:t>
      </w:r>
      <w:r w:rsidR="00C06545">
        <w:t>archived</w:t>
      </w:r>
      <w:r w:rsidR="00C06545" w:rsidDel="00C06545">
        <w:t xml:space="preserve"> </w:t>
      </w:r>
      <w:r>
        <w:t xml:space="preserve">specimens that are not individually identifiable (i.e. devoid of information that would otherwise permit traceability to the patient of origin), the requirement for informed consent may not </w:t>
      </w:r>
      <w:r w:rsidR="00040067">
        <w:t>apply or may be waived</w:t>
      </w:r>
      <w:r>
        <w:t>.</w:t>
      </w:r>
    </w:p>
    <w:p w:rsidR="00DA1440" w:rsidRDefault="006C35CB" w:rsidP="00DA1440">
      <w:pPr>
        <w:pStyle w:val="NormalWeb"/>
      </w:pPr>
      <w:r>
        <w:t>In some cases, informed consent may exist in a general form to cover the use of the specimens in an</w:t>
      </w:r>
      <w:r w:rsidR="004C3D41">
        <w:t>y clinical performance studies.</w:t>
      </w:r>
    </w:p>
    <w:p w:rsidR="00DA1440" w:rsidRPr="00DA1440" w:rsidRDefault="00DA1440" w:rsidP="006C35CB">
      <w:pPr>
        <w:pStyle w:val="NormalWeb"/>
      </w:pPr>
      <w:r w:rsidRPr="00DA1440">
        <w:t>The need for informed consent should be discussed with the ethics committee of each institution included in the study.</w:t>
      </w:r>
    </w:p>
    <w:p w:rsidR="006C35CB" w:rsidRPr="00EE68A8" w:rsidRDefault="006C35CB" w:rsidP="0000795F">
      <w:pPr>
        <w:pStyle w:val="Heading3"/>
      </w:pPr>
      <w:bookmarkStart w:id="246" w:name="_Toc332286376"/>
      <w:r>
        <w:t>Ethics Committee Involvement</w:t>
      </w:r>
      <w:bookmarkEnd w:id="246"/>
    </w:p>
    <w:p w:rsidR="006C35CB" w:rsidRDefault="006C35CB" w:rsidP="006C35CB">
      <w:pPr>
        <w:spacing w:before="120" w:after="120"/>
      </w:pPr>
      <w:r>
        <w:t xml:space="preserve">Prior to commencing a clinical performance study, the participating sites may require approval by their local ethics committee. This independent committee </w:t>
      </w:r>
      <w:r w:rsidRPr="00663BB5">
        <w:t xml:space="preserve">is formally designated to </w:t>
      </w:r>
      <w:r w:rsidR="00C26E3F">
        <w:t xml:space="preserve">review, </w:t>
      </w:r>
      <w:r w:rsidRPr="00663BB5">
        <w:t>approve</w:t>
      </w:r>
      <w:r w:rsidR="00C26E3F">
        <w:t xml:space="preserve"> and </w:t>
      </w:r>
      <w:r w:rsidRPr="00663BB5">
        <w:t>monitor</w:t>
      </w:r>
      <w:r w:rsidR="00C26E3F">
        <w:t xml:space="preserve"> </w:t>
      </w:r>
      <w:r>
        <w:t>studies involving human subjects</w:t>
      </w:r>
      <w:r w:rsidRPr="00663BB5">
        <w:t xml:space="preserve"> with the aim </w:t>
      </w:r>
      <w:r>
        <w:t xml:space="preserve">of </w:t>
      </w:r>
      <w:r w:rsidRPr="00663BB5">
        <w:t>protect</w:t>
      </w:r>
      <w:r>
        <w:t xml:space="preserve">ing their </w:t>
      </w:r>
      <w:r w:rsidRPr="00663BB5">
        <w:t>rights and welfare</w:t>
      </w:r>
      <w:r w:rsidR="00DA1440">
        <w:t>.</w:t>
      </w:r>
    </w:p>
    <w:p w:rsidR="006C35CB" w:rsidRDefault="006C35CB" w:rsidP="0000795F">
      <w:pPr>
        <w:spacing w:before="120" w:after="120"/>
      </w:pPr>
      <w:r>
        <w:t>The ethics committee may choose to exempt certain IVD medical device clinical performance studies from their approval.</w:t>
      </w:r>
    </w:p>
    <w:p w:rsidR="006C35CB" w:rsidRPr="00EE68A8" w:rsidRDefault="005A46DF" w:rsidP="0000795F">
      <w:pPr>
        <w:pStyle w:val="Heading3"/>
      </w:pPr>
      <w:bookmarkStart w:id="247" w:name="_Toc332286377"/>
      <w:r>
        <w:t>Communicating</w:t>
      </w:r>
      <w:r w:rsidR="006C35CB">
        <w:t xml:space="preserve"> Test Results </w:t>
      </w:r>
      <w:r w:rsidR="00F059AC">
        <w:t>O</w:t>
      </w:r>
      <w:r w:rsidR="0058091B">
        <w:t xml:space="preserve">utside </w:t>
      </w:r>
      <w:r w:rsidR="00F059AC">
        <w:t>of the S</w:t>
      </w:r>
      <w:r w:rsidR="0058091B">
        <w:t>tudy</w:t>
      </w:r>
      <w:bookmarkEnd w:id="247"/>
    </w:p>
    <w:p w:rsidR="00D7650D" w:rsidRPr="0058091B" w:rsidRDefault="00D7650D" w:rsidP="009D6982">
      <w:pPr>
        <w:spacing w:before="120" w:after="120"/>
      </w:pPr>
      <w:r>
        <w:t>In some rare instances</w:t>
      </w:r>
      <w:r w:rsidR="004E367E">
        <w:t xml:space="preserve">, there may be a need </w:t>
      </w:r>
      <w:r>
        <w:t xml:space="preserve">to communicate </w:t>
      </w:r>
      <w:r w:rsidR="004E367E">
        <w:t xml:space="preserve">clinical performance </w:t>
      </w:r>
      <w:r>
        <w:t>study results to clinicians and/or public health institutions</w:t>
      </w:r>
      <w:r w:rsidR="004E367E" w:rsidRPr="004E367E">
        <w:t xml:space="preserve"> </w:t>
      </w:r>
      <w:r w:rsidR="004E367E">
        <w:t>during or after the study</w:t>
      </w:r>
      <w:r>
        <w:t>. This can be the case when</w:t>
      </w:r>
      <w:r w:rsidR="00F32C7B">
        <w:t xml:space="preserve"> </w:t>
      </w:r>
      <w:r w:rsidRPr="0058091B">
        <w:t xml:space="preserve">test results may have an immediate health impact </w:t>
      </w:r>
      <w:r w:rsidR="00BC17ED">
        <w:t>(e.g. no routine testing exists)</w:t>
      </w:r>
      <w:r w:rsidR="00BC2653">
        <w:t xml:space="preserve"> </w:t>
      </w:r>
      <w:r w:rsidRPr="0058091B">
        <w:t>to the patient</w:t>
      </w:r>
      <w:r w:rsidR="00621D03">
        <w:t>, patient’s relatives</w:t>
      </w:r>
      <w:r w:rsidRPr="0058091B">
        <w:t xml:space="preserve"> or the public.</w:t>
      </w:r>
    </w:p>
    <w:p w:rsidR="00D7650D" w:rsidRDefault="00D7650D" w:rsidP="009D6982">
      <w:pPr>
        <w:spacing w:before="120" w:after="120"/>
      </w:pPr>
      <w:r>
        <w:lastRenderedPageBreak/>
        <w:t>The decision and the mechanism to report results to clinicians and or public health institutions should be discussed with the local ethics committee prior to beginning the clinical performance study.</w:t>
      </w:r>
    </w:p>
    <w:p w:rsidR="006C35CB" w:rsidRDefault="006C35CB" w:rsidP="009D6982">
      <w:pPr>
        <w:pStyle w:val="NormalWeb"/>
        <w:ind w:left="720"/>
      </w:pPr>
      <w:r>
        <w:t>Example</w:t>
      </w:r>
      <w:r w:rsidR="002E60CE">
        <w:t>:</w:t>
      </w:r>
      <w:r>
        <w:t xml:space="preserve"> An IVD medical device for </w:t>
      </w:r>
      <w:r w:rsidR="00230266">
        <w:t xml:space="preserve">the </w:t>
      </w:r>
      <w:r>
        <w:t xml:space="preserve">detection of </w:t>
      </w:r>
      <w:r w:rsidR="00BA0EC9">
        <w:t>SARS</w:t>
      </w:r>
      <w:r>
        <w:t xml:space="preserve"> is undergoing </w:t>
      </w:r>
      <w:r w:rsidR="00BC2653">
        <w:t xml:space="preserve">a </w:t>
      </w:r>
      <w:r>
        <w:t xml:space="preserve">clinical performance </w:t>
      </w:r>
      <w:r w:rsidR="00BC2653">
        <w:t>study</w:t>
      </w:r>
      <w:r>
        <w:t>. Specificity is assessed using prospectively-collected patient s</w:t>
      </w:r>
      <w:r w:rsidR="00D37FA3">
        <w:t>pecimens</w:t>
      </w:r>
      <w:r>
        <w:t xml:space="preserve">. During testing of the specificity population, a sample is reported as positive. This result is confirmed by testing with an alternate method. </w:t>
      </w:r>
      <w:r w:rsidR="003B6028">
        <w:t>It is ethically appropriate to communicate such unexpected results to ensure appropriate patient treatment.</w:t>
      </w:r>
    </w:p>
    <w:p w:rsidR="00013FD7" w:rsidRPr="0000795F" w:rsidRDefault="00013FD7" w:rsidP="00B52403">
      <w:pPr>
        <w:pStyle w:val="Heading1"/>
        <w:numPr>
          <w:ilvl w:val="0"/>
          <w:numId w:val="1"/>
        </w:numPr>
      </w:pPr>
      <w:bookmarkStart w:id="248" w:name="_Toc301712695"/>
      <w:bookmarkStart w:id="249" w:name="_Toc301712809"/>
      <w:bookmarkStart w:id="250" w:name="_Toc301712923"/>
      <w:bookmarkStart w:id="251" w:name="_Toc301713038"/>
      <w:bookmarkStart w:id="252" w:name="_Toc302023278"/>
      <w:bookmarkStart w:id="253" w:name="_Toc302023392"/>
      <w:bookmarkStart w:id="254" w:name="_Toc301712697"/>
      <w:bookmarkStart w:id="255" w:name="_Toc301712811"/>
      <w:bookmarkStart w:id="256" w:name="_Toc301712925"/>
      <w:bookmarkStart w:id="257" w:name="_Toc301713040"/>
      <w:bookmarkStart w:id="258" w:name="_Toc302023280"/>
      <w:bookmarkStart w:id="259" w:name="_Toc302023394"/>
      <w:bookmarkStart w:id="260" w:name="_Toc301712698"/>
      <w:bookmarkStart w:id="261" w:name="_Toc301712812"/>
      <w:bookmarkStart w:id="262" w:name="_Toc301712926"/>
      <w:bookmarkStart w:id="263" w:name="_Toc301713041"/>
      <w:bookmarkStart w:id="264" w:name="_Toc302023281"/>
      <w:bookmarkStart w:id="265" w:name="_Toc302023395"/>
      <w:bookmarkStart w:id="266" w:name="_Toc332286378"/>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00795F">
        <w:t xml:space="preserve">Clinical Performance </w:t>
      </w:r>
      <w:r w:rsidR="009F46BC">
        <w:t>Study Protocol</w:t>
      </w:r>
      <w:bookmarkEnd w:id="266"/>
    </w:p>
    <w:p w:rsidR="00013FD7" w:rsidRDefault="00013FD7" w:rsidP="00013FD7">
      <w:pPr>
        <w:spacing w:before="120" w:after="120"/>
      </w:pPr>
      <w:r>
        <w:t>The clinical performance study p</w:t>
      </w:r>
      <w:r w:rsidR="00DC36C5">
        <w:t>rotocol</w:t>
      </w:r>
      <w:r>
        <w:t xml:space="preserve"> sets out how the study is intended to be conducted. It contains important information about the study design such as the purpose, objectives, study population, description of test method(s)</w:t>
      </w:r>
      <w:r w:rsidR="00A8592B">
        <w:t xml:space="preserve"> and interpretation of results</w:t>
      </w:r>
      <w:r>
        <w:t xml:space="preserve">, site training and monitoring, specimen type, specimen collection, preparation, </w:t>
      </w:r>
      <w:r w:rsidR="00A8592B">
        <w:t xml:space="preserve">handling and </w:t>
      </w:r>
      <w:r>
        <w:t>storage, inclusion and exclusion criteria, limitations, warning and precautions, data collection/management, data analysis, required materials, number of study sites</w:t>
      </w:r>
      <w:r w:rsidR="007E17CE">
        <w:t xml:space="preserve"> and if applicable, clinical endpoints/outcomes, and requirements for patient follow-up</w:t>
      </w:r>
      <w:r>
        <w:t>.</w:t>
      </w:r>
    </w:p>
    <w:p w:rsidR="008111DF" w:rsidRPr="008111DF" w:rsidRDefault="00013FD7" w:rsidP="008111DF">
      <w:pPr>
        <w:spacing w:before="120" w:after="120"/>
      </w:pPr>
      <w:r>
        <w:t>In addition, the clinical performance study p</w:t>
      </w:r>
      <w:r w:rsidR="00137BCF">
        <w:t>rotocol</w:t>
      </w:r>
      <w:r>
        <w:t xml:space="preserve"> identifies the key factors which may impact the completeness and significance of results, such as intended participant follow-up procedures, decision algorithms, discrepancy resolution process, </w:t>
      </w:r>
      <w:r w:rsidRPr="008E1A37">
        <w:t>masking/blinding</w:t>
      </w:r>
      <w:r>
        <w:t>, approaches to statistical analyses, and methods for recording</w:t>
      </w:r>
      <w:r w:rsidR="00B7562F">
        <w:t xml:space="preserve"> </w:t>
      </w:r>
      <w:r w:rsidR="002C6562">
        <w:t>endpoints/</w:t>
      </w:r>
      <w:r w:rsidR="00B7562F">
        <w:t>outcomes and</w:t>
      </w:r>
      <w:r w:rsidR="002C6562">
        <w:t>,</w:t>
      </w:r>
      <w:r w:rsidR="00A56564">
        <w:t xml:space="preserve"> where appropriate</w:t>
      </w:r>
      <w:r w:rsidR="002C6562">
        <w:t>,</w:t>
      </w:r>
      <w:r w:rsidR="00A56564">
        <w:t xml:space="preserve"> communication of</w:t>
      </w:r>
      <w:r w:rsidR="002C6562">
        <w:t xml:space="preserve"> </w:t>
      </w:r>
      <w:r w:rsidR="00B7562F">
        <w:t>test results.</w:t>
      </w:r>
    </w:p>
    <w:p w:rsidR="008111DF" w:rsidRPr="008111DF" w:rsidRDefault="008111DF" w:rsidP="008111DF">
      <w:pPr>
        <w:pStyle w:val="NormalWeb"/>
      </w:pPr>
      <w:r w:rsidRPr="008111DF">
        <w:t xml:space="preserve">Discussion with regulatory authorities or a conformity assessment body may be appropriate when there is uncertainty as to whether the proposed clinical performance study </w:t>
      </w:r>
      <w:r w:rsidR="00B7562F">
        <w:t>protocol</w:t>
      </w:r>
      <w:r w:rsidRPr="008111DF">
        <w:t xml:space="preserve"> is </w:t>
      </w:r>
      <w:r w:rsidR="00A56564">
        <w:t>adequate</w:t>
      </w:r>
      <w:r w:rsidRPr="008111DF">
        <w:t>.</w:t>
      </w:r>
    </w:p>
    <w:p w:rsidR="0061376F" w:rsidRPr="0000795F" w:rsidRDefault="001250E1" w:rsidP="00B52403">
      <w:pPr>
        <w:pStyle w:val="Heading1"/>
        <w:numPr>
          <w:ilvl w:val="0"/>
          <w:numId w:val="1"/>
        </w:numPr>
      </w:pPr>
      <w:bookmarkStart w:id="267" w:name="_Toc301712700"/>
      <w:bookmarkStart w:id="268" w:name="_Toc301712814"/>
      <w:bookmarkStart w:id="269" w:name="_Toc301712928"/>
      <w:bookmarkStart w:id="270" w:name="_Toc301713043"/>
      <w:bookmarkStart w:id="271" w:name="_Toc302023283"/>
      <w:bookmarkStart w:id="272" w:name="_Toc302023397"/>
      <w:bookmarkStart w:id="273" w:name="_Toc301712702"/>
      <w:bookmarkStart w:id="274" w:name="_Toc301712816"/>
      <w:bookmarkStart w:id="275" w:name="_Toc301712930"/>
      <w:bookmarkStart w:id="276" w:name="_Toc301713045"/>
      <w:bookmarkStart w:id="277" w:name="_Toc302023285"/>
      <w:bookmarkStart w:id="278" w:name="_Toc302023399"/>
      <w:bookmarkStart w:id="279" w:name="_Toc301712703"/>
      <w:bookmarkStart w:id="280" w:name="_Toc301712817"/>
      <w:bookmarkStart w:id="281" w:name="_Toc301712931"/>
      <w:bookmarkStart w:id="282" w:name="_Toc301713046"/>
      <w:bookmarkStart w:id="283" w:name="_Toc302023286"/>
      <w:bookmarkStart w:id="284" w:name="_Toc302023400"/>
      <w:bookmarkStart w:id="285" w:name="_Toc301712706"/>
      <w:bookmarkStart w:id="286" w:name="_Toc301712820"/>
      <w:bookmarkStart w:id="287" w:name="_Toc301712934"/>
      <w:bookmarkStart w:id="288" w:name="_Toc301713049"/>
      <w:bookmarkStart w:id="289" w:name="_Toc302023289"/>
      <w:bookmarkStart w:id="290" w:name="_Toc302023403"/>
      <w:bookmarkStart w:id="291" w:name="_Toc301712713"/>
      <w:bookmarkStart w:id="292" w:name="_Toc301712827"/>
      <w:bookmarkStart w:id="293" w:name="_Toc301712941"/>
      <w:bookmarkStart w:id="294" w:name="_Toc301713056"/>
      <w:bookmarkStart w:id="295" w:name="_Toc302023296"/>
      <w:bookmarkStart w:id="296" w:name="_Toc302023410"/>
      <w:bookmarkStart w:id="297" w:name="_Toc332286379"/>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00795F">
        <w:t xml:space="preserve">Conduct of Clinical </w:t>
      </w:r>
      <w:r w:rsidR="0011409E" w:rsidRPr="0000795F">
        <w:t>Performance Studies</w:t>
      </w:r>
      <w:bookmarkEnd w:id="297"/>
    </w:p>
    <w:p w:rsidR="003D1574" w:rsidRDefault="000F3995" w:rsidP="009A276B">
      <w:pPr>
        <w:pStyle w:val="NormalWeb"/>
      </w:pPr>
      <w:r>
        <w:t>A</w:t>
      </w:r>
      <w:r w:rsidR="00D610C7">
        <w:t xml:space="preserve"> </w:t>
      </w:r>
      <w:r w:rsidR="00EE68A8">
        <w:t xml:space="preserve">properly </w:t>
      </w:r>
      <w:r w:rsidR="00D610C7">
        <w:t xml:space="preserve">conducted clinical </w:t>
      </w:r>
      <w:r w:rsidR="00763EAD">
        <w:t>performance study</w:t>
      </w:r>
      <w:r>
        <w:t xml:space="preserve">, including compliance to </w:t>
      </w:r>
      <w:r w:rsidR="00622123">
        <w:t>the clinical performance study</w:t>
      </w:r>
      <w:r w:rsidR="00026167">
        <w:t xml:space="preserve"> p</w:t>
      </w:r>
      <w:r w:rsidR="008B15A5">
        <w:t>rotocol</w:t>
      </w:r>
      <w:r>
        <w:t xml:space="preserve"> and local laws and regulations</w:t>
      </w:r>
      <w:r w:rsidR="00082544">
        <w:t xml:space="preserve"> (e.g. pre-study authorization for interventional studies by the RA)</w:t>
      </w:r>
      <w:r>
        <w:t xml:space="preserve">, ensures the protection of subjects, the </w:t>
      </w:r>
      <w:r w:rsidR="00D610C7">
        <w:t>integrity of the data</w:t>
      </w:r>
      <w:r>
        <w:t xml:space="preserve"> and that the data obtained is acceptable for the purpose of </w:t>
      </w:r>
      <w:r w:rsidR="003329AA">
        <w:t xml:space="preserve">demonstrating </w:t>
      </w:r>
      <w:r>
        <w:t>conform</w:t>
      </w:r>
      <w:r w:rsidR="003329AA">
        <w:t>ity</w:t>
      </w:r>
      <w:r>
        <w:t xml:space="preserve"> to </w:t>
      </w:r>
      <w:r w:rsidR="00EE68A8">
        <w:t xml:space="preserve">the </w:t>
      </w:r>
      <w:r w:rsidR="008B15A5">
        <w:t xml:space="preserve">relevant </w:t>
      </w:r>
      <w:r>
        <w:t>Essential Principles</w:t>
      </w:r>
      <w:r w:rsidR="00BB1757">
        <w:t xml:space="preserve"> of Safety and Performance</w:t>
      </w:r>
      <w:r>
        <w:t>.</w:t>
      </w:r>
      <w:r w:rsidR="00B37F48">
        <w:t xml:space="preserve"> </w:t>
      </w:r>
    </w:p>
    <w:p w:rsidR="00880ACB" w:rsidRDefault="000224A3" w:rsidP="009A276B">
      <w:pPr>
        <w:pStyle w:val="NormalWeb"/>
      </w:pPr>
      <w:r>
        <w:t>C</w:t>
      </w:r>
      <w:r w:rsidR="00880ACB" w:rsidRPr="000224A3">
        <w:t>onsiderations</w:t>
      </w:r>
      <w:r w:rsidR="00880ACB">
        <w:t xml:space="preserve"> for the conduct of a clinical performance study</w:t>
      </w:r>
      <w:r w:rsidR="007F7EC6">
        <w:t xml:space="preserve"> </w:t>
      </w:r>
      <w:r>
        <w:t xml:space="preserve">may </w:t>
      </w:r>
      <w:r w:rsidR="007F7EC6">
        <w:t>include</w:t>
      </w:r>
      <w:r w:rsidR="00880ACB">
        <w:t>:</w:t>
      </w:r>
    </w:p>
    <w:p w:rsidR="00AC6B7A" w:rsidRPr="00EF11F8" w:rsidRDefault="00AC6B7A" w:rsidP="00AC6B7A">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sidRPr="00DF3A18">
        <w:rPr>
          <w:bCs/>
        </w:rPr>
        <w:t>independence of study personnel</w:t>
      </w:r>
    </w:p>
    <w:p w:rsidR="00AC6B7A" w:rsidRPr="00B97EEE" w:rsidRDefault="00AC6B7A" w:rsidP="00AC6B7A">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Pr>
          <w:bCs/>
        </w:rPr>
        <w:t>qualification and training of study personnel</w:t>
      </w:r>
    </w:p>
    <w:p w:rsidR="00AC6B7A" w:rsidRPr="00B97EEE" w:rsidRDefault="00AC6B7A" w:rsidP="00AC6B7A">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Pr>
          <w:bCs/>
        </w:rPr>
        <w:t>adequate infrastructure</w:t>
      </w:r>
    </w:p>
    <w:p w:rsidR="000662F8" w:rsidRPr="00DF3A18" w:rsidRDefault="000662F8" w:rsidP="00AC6B7A">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sidRPr="00DF3A18">
        <w:rPr>
          <w:bCs/>
        </w:rPr>
        <w:t>appropriate calibration procedures and means of control</w:t>
      </w:r>
      <w:r w:rsidR="006B534E">
        <w:rPr>
          <w:bCs/>
        </w:rPr>
        <w:t xml:space="preserve"> </w:t>
      </w:r>
    </w:p>
    <w:p w:rsidR="00EF11F8" w:rsidRPr="00DF3A18" w:rsidRDefault="000662F8" w:rsidP="00B97EEE">
      <w:pPr>
        <w:numPr>
          <w:ilvl w:val="1"/>
          <w:numId w:val="6"/>
        </w:numPr>
        <w:tabs>
          <w:tab w:val="clear" w:pos="1440"/>
          <w:tab w:val="num" w:pos="720"/>
        </w:tabs>
        <w:autoSpaceDE w:val="0"/>
        <w:autoSpaceDN w:val="0"/>
        <w:adjustRightInd w:val="0"/>
        <w:spacing w:before="60" w:after="60"/>
        <w:ind w:left="720"/>
        <w:rPr>
          <w:rFonts w:ascii="Times New (W1)" w:hAnsi="Times New (W1)" w:cs="Times New (W1)"/>
          <w:bCs/>
        </w:rPr>
      </w:pPr>
      <w:r w:rsidRPr="00DF3A18">
        <w:rPr>
          <w:bCs/>
        </w:rPr>
        <w:t xml:space="preserve">relevant method for determining the true clinical status of patient </w:t>
      </w:r>
      <w:r w:rsidR="007F7EC6">
        <w:rPr>
          <w:bCs/>
        </w:rPr>
        <w:t>specimens</w:t>
      </w:r>
    </w:p>
    <w:p w:rsidR="00DF3A18" w:rsidRDefault="00DF3A18" w:rsidP="00DF3A18">
      <w:pPr>
        <w:pStyle w:val="NormalWeb"/>
      </w:pPr>
      <w:r>
        <w:lastRenderedPageBreak/>
        <w:t>Raw data of a clinical performance study should be maintained based on the Q</w:t>
      </w:r>
      <w:r w:rsidR="006B534E">
        <w:t xml:space="preserve">uality </w:t>
      </w:r>
      <w:r>
        <w:t>M</w:t>
      </w:r>
      <w:r w:rsidR="006B534E">
        <w:t xml:space="preserve">anagement </w:t>
      </w:r>
      <w:r>
        <w:t>S</w:t>
      </w:r>
      <w:r w:rsidR="006B534E">
        <w:t>ystem (QMS)</w:t>
      </w:r>
      <w:r>
        <w:t xml:space="preserve"> requirements.</w:t>
      </w:r>
    </w:p>
    <w:p w:rsidR="002B396D" w:rsidRPr="00EE68A8" w:rsidRDefault="009A276B" w:rsidP="00B52403">
      <w:pPr>
        <w:pStyle w:val="Heading1"/>
        <w:numPr>
          <w:ilvl w:val="0"/>
          <w:numId w:val="1"/>
        </w:numPr>
      </w:pPr>
      <w:bookmarkStart w:id="298" w:name="_Toc301712716"/>
      <w:bookmarkStart w:id="299" w:name="_Toc301712830"/>
      <w:bookmarkStart w:id="300" w:name="_Toc301712944"/>
      <w:bookmarkStart w:id="301" w:name="_Toc301713059"/>
      <w:bookmarkStart w:id="302" w:name="_Toc302023299"/>
      <w:bookmarkStart w:id="303" w:name="_Toc302023413"/>
      <w:bookmarkStart w:id="304" w:name="_Toc301712717"/>
      <w:bookmarkStart w:id="305" w:name="_Toc301712831"/>
      <w:bookmarkStart w:id="306" w:name="_Toc301712945"/>
      <w:bookmarkStart w:id="307" w:name="_Toc301713060"/>
      <w:bookmarkStart w:id="308" w:name="_Toc302023300"/>
      <w:bookmarkStart w:id="309" w:name="_Toc302023414"/>
      <w:bookmarkStart w:id="310" w:name="_Toc332286380"/>
      <w:bookmarkEnd w:id="298"/>
      <w:bookmarkEnd w:id="299"/>
      <w:bookmarkEnd w:id="300"/>
      <w:bookmarkEnd w:id="301"/>
      <w:bookmarkEnd w:id="302"/>
      <w:bookmarkEnd w:id="303"/>
      <w:bookmarkEnd w:id="304"/>
      <w:bookmarkEnd w:id="305"/>
      <w:bookmarkEnd w:id="306"/>
      <w:bookmarkEnd w:id="307"/>
      <w:bookmarkEnd w:id="308"/>
      <w:bookmarkEnd w:id="309"/>
      <w:r>
        <w:t>Clinical Performance Study</w:t>
      </w:r>
      <w:r w:rsidR="002B396D" w:rsidRPr="00EE68A8">
        <w:t xml:space="preserve"> Report</w:t>
      </w:r>
      <w:bookmarkEnd w:id="310"/>
    </w:p>
    <w:p w:rsidR="009A276B" w:rsidRDefault="001040BE" w:rsidP="00870554">
      <w:pPr>
        <w:pStyle w:val="NormalWeb"/>
      </w:pPr>
      <w:r>
        <w:t>The protocol, results and conclusions of a clinical performance study should be documented in a Clinical Performance Study report.</w:t>
      </w:r>
      <w:r w:rsidRPr="00CF1DE3">
        <w:t xml:space="preserve"> </w:t>
      </w:r>
      <w:r w:rsidR="0017269F">
        <w:t xml:space="preserve">The </w:t>
      </w:r>
      <w:r w:rsidRPr="00CF1DE3">
        <w:t xml:space="preserve">results and conclusions </w:t>
      </w:r>
      <w:r w:rsidR="0017269F">
        <w:t>should be</w:t>
      </w:r>
      <w:r w:rsidRPr="00CF1DE3">
        <w:t xml:space="preserve"> transparent, free of bias, and clinically relevant. </w:t>
      </w:r>
      <w:r w:rsidR="0017269F">
        <w:t>T</w:t>
      </w:r>
      <w:r w:rsidRPr="00CF1DE3">
        <w:t xml:space="preserve">he report should contain sufficient information to </w:t>
      </w:r>
      <w:r w:rsidR="0017269F">
        <w:t xml:space="preserve">enable it to </w:t>
      </w:r>
      <w:r w:rsidRPr="00CF1DE3">
        <w:t xml:space="preserve">be </w:t>
      </w:r>
      <w:r w:rsidR="00563771">
        <w:t xml:space="preserve">understood </w:t>
      </w:r>
      <w:r w:rsidRPr="00CF1DE3">
        <w:t>by an independent party</w:t>
      </w:r>
      <w:r w:rsidR="00563771">
        <w:t xml:space="preserve"> without reference to other documents</w:t>
      </w:r>
      <w:r>
        <w:t>.</w:t>
      </w:r>
      <w:r w:rsidRPr="00CF1DE3">
        <w:t xml:space="preserve"> </w:t>
      </w:r>
    </w:p>
    <w:p w:rsidR="009A276B" w:rsidRDefault="00A637D7" w:rsidP="00870554">
      <w:pPr>
        <w:pStyle w:val="NormalWeb"/>
      </w:pPr>
      <w:r>
        <w:t xml:space="preserve">Such a report </w:t>
      </w:r>
      <w:r w:rsidR="007F541C">
        <w:t xml:space="preserve">should also include as appropriate any protocol </w:t>
      </w:r>
      <w:r w:rsidR="000A4B47">
        <w:t>amendment</w:t>
      </w:r>
      <w:r w:rsidR="005A0219">
        <w:t>s</w:t>
      </w:r>
      <w:r w:rsidR="000A4B47">
        <w:t xml:space="preserve"> or </w:t>
      </w:r>
      <w:r w:rsidR="007F541C">
        <w:t>deviations</w:t>
      </w:r>
      <w:r w:rsidR="00D61E20">
        <w:t>, and data exclusions with the appropriate rationale</w:t>
      </w:r>
      <w:r w:rsidR="004C3D41">
        <w:t>.</w:t>
      </w:r>
    </w:p>
    <w:p w:rsidR="00C36D4D" w:rsidRPr="00F61A1A" w:rsidRDefault="00A36F5D" w:rsidP="00C36D4D">
      <w:pPr>
        <w:pStyle w:val="Texttype2"/>
      </w:pPr>
      <w:r>
        <w:rPr>
          <w:lang w:val="en-US"/>
        </w:rPr>
        <w:t>T</w:t>
      </w:r>
      <w:r w:rsidR="00C36D4D" w:rsidRPr="00F61A1A">
        <w:t>he level of detail of the clinical performance study report will vary based on the class of the IVD medical device:</w:t>
      </w:r>
    </w:p>
    <w:p w:rsidR="00C36D4D" w:rsidRPr="00082842" w:rsidRDefault="00C36D4D" w:rsidP="008E006F">
      <w:pPr>
        <w:pStyle w:val="NormalWeb"/>
        <w:numPr>
          <w:ilvl w:val="0"/>
          <w:numId w:val="5"/>
        </w:numPr>
        <w:tabs>
          <w:tab w:val="num" w:pos="1080"/>
        </w:tabs>
        <w:autoSpaceDE w:val="0"/>
        <w:autoSpaceDN w:val="0"/>
        <w:adjustRightInd w:val="0"/>
        <w:spacing w:before="60" w:beforeAutospacing="0" w:after="60" w:afterAutospacing="0"/>
      </w:pPr>
      <w:r w:rsidRPr="00082842">
        <w:t xml:space="preserve">Class A – </w:t>
      </w:r>
      <w:r w:rsidR="006F4CA0">
        <w:t>A clinical performance</w:t>
      </w:r>
      <w:r w:rsidR="00AC3D0D">
        <w:t xml:space="preserve"> study</w:t>
      </w:r>
      <w:r w:rsidR="006F4CA0">
        <w:t xml:space="preserve"> </w:t>
      </w:r>
      <w:r w:rsidR="008502D5">
        <w:t>would not be expected hence a</w:t>
      </w:r>
      <w:r w:rsidR="00AC3D0D">
        <w:t xml:space="preserve"> report would </w:t>
      </w:r>
      <w:r w:rsidR="008502D5">
        <w:t xml:space="preserve">not </w:t>
      </w:r>
      <w:r w:rsidR="00AC3D0D">
        <w:t xml:space="preserve">be </w:t>
      </w:r>
      <w:r w:rsidR="008502D5">
        <w:t>required</w:t>
      </w:r>
      <w:r w:rsidRPr="00082842">
        <w:t>.</w:t>
      </w:r>
    </w:p>
    <w:p w:rsidR="00C36D4D" w:rsidRPr="00082842" w:rsidRDefault="00C36D4D" w:rsidP="008E006F">
      <w:pPr>
        <w:pStyle w:val="NormalWeb"/>
        <w:numPr>
          <w:ilvl w:val="0"/>
          <w:numId w:val="5"/>
        </w:numPr>
        <w:tabs>
          <w:tab w:val="num" w:pos="1080"/>
        </w:tabs>
        <w:autoSpaceDE w:val="0"/>
        <w:autoSpaceDN w:val="0"/>
        <w:adjustRightInd w:val="0"/>
        <w:spacing w:before="60" w:beforeAutospacing="0" w:after="60" w:afterAutospacing="0"/>
      </w:pPr>
      <w:r w:rsidRPr="00082842">
        <w:t xml:space="preserve">Class B – </w:t>
      </w:r>
      <w:r w:rsidR="00AD2E8F">
        <w:t>T</w:t>
      </w:r>
      <w:r w:rsidR="002B207A">
        <w:t xml:space="preserve">he study report would be limited to a </w:t>
      </w:r>
      <w:r w:rsidRPr="00082842">
        <w:t>summary of study protocol, results and conclusion.</w:t>
      </w:r>
    </w:p>
    <w:p w:rsidR="00C36D4D" w:rsidRPr="00082842" w:rsidRDefault="00C36D4D" w:rsidP="008E006F">
      <w:pPr>
        <w:pStyle w:val="NormalWeb"/>
        <w:numPr>
          <w:ilvl w:val="0"/>
          <w:numId w:val="5"/>
        </w:numPr>
        <w:tabs>
          <w:tab w:val="num" w:pos="1080"/>
        </w:tabs>
        <w:autoSpaceDE w:val="0"/>
        <w:autoSpaceDN w:val="0"/>
        <w:adjustRightInd w:val="0"/>
        <w:spacing w:before="60" w:beforeAutospacing="0" w:after="60" w:afterAutospacing="0"/>
      </w:pPr>
      <w:r w:rsidRPr="00082842">
        <w:t>Class C –</w:t>
      </w:r>
      <w:r w:rsidR="001D0569" w:rsidRPr="008E006F">
        <w:t xml:space="preserve"> </w:t>
      </w:r>
      <w:r w:rsidR="001D0569" w:rsidRPr="007F1D42">
        <w:t>The complete study report includ</w:t>
      </w:r>
      <w:r w:rsidR="002B207A" w:rsidRPr="007F1D42">
        <w:t>es</w:t>
      </w:r>
      <w:r w:rsidR="001D0569" w:rsidRPr="007F1D42">
        <w:t xml:space="preserve"> the method of data analysis, the study conclusion and relevant details of the study protocol.</w:t>
      </w:r>
      <w:r w:rsidR="001D0569" w:rsidRPr="008E006F">
        <w:t xml:space="preserve"> </w:t>
      </w:r>
    </w:p>
    <w:p w:rsidR="00C36D4D" w:rsidRPr="00C97D06" w:rsidRDefault="0087513F" w:rsidP="008E006F">
      <w:pPr>
        <w:pStyle w:val="NormalWeb"/>
        <w:numPr>
          <w:ilvl w:val="0"/>
          <w:numId w:val="5"/>
        </w:numPr>
        <w:tabs>
          <w:tab w:val="num" w:pos="1080"/>
        </w:tabs>
        <w:autoSpaceDE w:val="0"/>
        <w:autoSpaceDN w:val="0"/>
        <w:adjustRightInd w:val="0"/>
        <w:spacing w:before="60" w:beforeAutospacing="0" w:after="60" w:afterAutospacing="0"/>
      </w:pPr>
      <w:r>
        <w:t xml:space="preserve">Class D </w:t>
      </w:r>
      <w:r w:rsidRPr="00082842">
        <w:t>–</w:t>
      </w:r>
      <w:r w:rsidR="00C36D4D" w:rsidRPr="00082842">
        <w:t xml:space="preserve"> </w:t>
      </w:r>
      <w:r w:rsidR="001D0569" w:rsidRPr="007F1D42">
        <w:t>The complete study report includ</w:t>
      </w:r>
      <w:r w:rsidR="002B207A" w:rsidRPr="007F1D42">
        <w:t>es</w:t>
      </w:r>
      <w:r w:rsidR="001D0569" w:rsidRPr="007F1D42">
        <w:t xml:space="preserve"> the method of data analysis, the study conclusion</w:t>
      </w:r>
      <w:r w:rsidR="00CF4BB1" w:rsidRPr="007F1D42">
        <w:t>,</w:t>
      </w:r>
      <w:r w:rsidR="001D0569" w:rsidRPr="007F1D42">
        <w:t xml:space="preserve"> relevant details of the study protocol, and typically the individual data points (formatted raw data).</w:t>
      </w:r>
    </w:p>
    <w:p w:rsidR="00B53130" w:rsidRDefault="00B53130" w:rsidP="008C5083">
      <w:pPr>
        <w:pStyle w:val="Texttype2"/>
      </w:pPr>
    </w:p>
    <w:p w:rsidR="00B53130" w:rsidRDefault="00B53130" w:rsidP="008C5083">
      <w:pPr>
        <w:pStyle w:val="Texttype2"/>
      </w:pPr>
    </w:p>
    <w:p w:rsidR="00D93A42" w:rsidRDefault="00D93A42" w:rsidP="00D93A42">
      <w:pPr>
        <w:pStyle w:val="HeadingNoNumber"/>
        <w:pageBreakBefore/>
        <w:tabs>
          <w:tab w:val="clear" w:pos="432"/>
          <w:tab w:val="left" w:pos="0"/>
        </w:tabs>
        <w:ind w:left="0"/>
      </w:pPr>
      <w:bookmarkStart w:id="311" w:name="_Toc332286381"/>
      <w:r>
        <w:lastRenderedPageBreak/>
        <w:t>A</w:t>
      </w:r>
      <w:r w:rsidR="005C5215">
        <w:t>ppendix</w:t>
      </w:r>
      <w:bookmarkEnd w:id="311"/>
    </w:p>
    <w:p w:rsidR="0067323A" w:rsidRDefault="00675648" w:rsidP="00675648">
      <w:pPr>
        <w:pStyle w:val="NormalWeb"/>
      </w:pPr>
      <w:r w:rsidRPr="00C45529">
        <w:t xml:space="preserve">The table below lists the most common </w:t>
      </w:r>
      <w:r w:rsidR="00C45529" w:rsidRPr="00C45529">
        <w:t xml:space="preserve">test </w:t>
      </w:r>
      <w:r w:rsidR="005C5215" w:rsidRPr="00C45529">
        <w:t>purposes</w:t>
      </w:r>
      <w:r w:rsidRPr="00C45529">
        <w:t xml:space="preserve"> and provides examples to illustrate their differences</w:t>
      </w:r>
      <w:r w:rsidR="005C5215" w:rsidRPr="00C45529">
        <w:t>.</w:t>
      </w:r>
    </w:p>
    <w:tbl>
      <w:tblPr>
        <w:tblW w:w="9360" w:type="dxa"/>
        <w:tblInd w:w="108" w:type="dxa"/>
        <w:tblBorders>
          <w:top w:val="single" w:sz="12" w:space="0" w:color="auto"/>
          <w:bottom w:val="single" w:sz="12" w:space="0" w:color="auto"/>
        </w:tblBorders>
        <w:tblLayout w:type="fixed"/>
        <w:tblLook w:val="01E0"/>
      </w:tblPr>
      <w:tblGrid>
        <w:gridCol w:w="1920"/>
        <w:gridCol w:w="4080"/>
        <w:gridCol w:w="3360"/>
      </w:tblGrid>
      <w:tr w:rsidR="0000795F" w:rsidRPr="00F4114C" w:rsidTr="004303F5">
        <w:trPr>
          <w:cantSplit/>
          <w:tblHeader/>
        </w:trPr>
        <w:tc>
          <w:tcPr>
            <w:tcW w:w="9360" w:type="dxa"/>
            <w:gridSpan w:val="3"/>
            <w:tcBorders>
              <w:top w:val="nil"/>
              <w:bottom w:val="single" w:sz="12" w:space="0" w:color="auto"/>
            </w:tcBorders>
          </w:tcPr>
          <w:p w:rsidR="0000795F" w:rsidRPr="00F4114C" w:rsidRDefault="0000795F" w:rsidP="0000795F">
            <w:pPr>
              <w:keepNext/>
              <w:spacing w:before="120" w:after="120"/>
              <w:ind w:left="14"/>
              <w:jc w:val="center"/>
              <w:rPr>
                <w:rFonts w:ascii="Arial" w:hAnsi="Arial" w:cs="Arial"/>
                <w:b/>
                <w:sz w:val="20"/>
              </w:rPr>
            </w:pPr>
            <w:r w:rsidRPr="00F4114C">
              <w:rPr>
                <w:rFonts w:ascii="Arial" w:hAnsi="Arial" w:cs="Arial"/>
                <w:b/>
                <w:sz w:val="18"/>
                <w:szCs w:val="18"/>
              </w:rPr>
              <w:t xml:space="preserve">TABLE 1: DESCRIPTION OF COMMON </w:t>
            </w:r>
            <w:r w:rsidR="00C45529" w:rsidRPr="00F4114C">
              <w:rPr>
                <w:rFonts w:ascii="Arial" w:hAnsi="Arial" w:cs="Arial"/>
                <w:b/>
                <w:sz w:val="18"/>
                <w:szCs w:val="18"/>
              </w:rPr>
              <w:t xml:space="preserve">TEST </w:t>
            </w:r>
            <w:r w:rsidRPr="00F4114C">
              <w:rPr>
                <w:rFonts w:ascii="Arial" w:hAnsi="Arial" w:cs="Arial" w:hint="eastAsia"/>
                <w:b/>
                <w:sz w:val="18"/>
                <w:szCs w:val="18"/>
                <w:lang w:eastAsia="ja-JP"/>
              </w:rPr>
              <w:t>PURPOSES</w:t>
            </w:r>
            <w:r w:rsidRPr="00F4114C">
              <w:rPr>
                <w:rFonts w:ascii="Arial" w:hAnsi="Arial" w:cs="Arial"/>
                <w:b/>
                <w:sz w:val="18"/>
                <w:szCs w:val="18"/>
              </w:rPr>
              <w:t xml:space="preserve"> FOR IVD MEDICAL DEVICES</w:t>
            </w:r>
          </w:p>
        </w:tc>
      </w:tr>
      <w:tr w:rsidR="0000795F" w:rsidRPr="00F4114C" w:rsidTr="004303F5">
        <w:trPr>
          <w:cantSplit/>
          <w:tblHeader/>
        </w:trPr>
        <w:tc>
          <w:tcPr>
            <w:tcW w:w="1920" w:type="dxa"/>
            <w:tcBorders>
              <w:top w:val="single" w:sz="12" w:space="0" w:color="auto"/>
              <w:bottom w:val="single" w:sz="4" w:space="0" w:color="auto"/>
            </w:tcBorders>
          </w:tcPr>
          <w:p w:rsidR="0000795F" w:rsidRPr="00F4114C" w:rsidRDefault="00C45529" w:rsidP="0000795F">
            <w:pPr>
              <w:spacing w:before="120" w:after="120"/>
              <w:ind w:left="14"/>
              <w:rPr>
                <w:rFonts w:ascii="Arial" w:hAnsi="Arial" w:cs="Arial"/>
                <w:b/>
                <w:sz w:val="20"/>
              </w:rPr>
            </w:pPr>
            <w:r w:rsidRPr="00F4114C">
              <w:rPr>
                <w:rFonts w:ascii="Arial" w:hAnsi="Arial" w:cs="Arial"/>
                <w:b/>
                <w:sz w:val="20"/>
              </w:rPr>
              <w:t xml:space="preserve">Test </w:t>
            </w:r>
            <w:r w:rsidR="005C5215" w:rsidRPr="00F4114C">
              <w:rPr>
                <w:rFonts w:ascii="Arial" w:hAnsi="Arial" w:cs="Arial"/>
                <w:b/>
                <w:sz w:val="20"/>
              </w:rPr>
              <w:t>Purpose</w:t>
            </w:r>
          </w:p>
        </w:tc>
        <w:tc>
          <w:tcPr>
            <w:tcW w:w="4080" w:type="dxa"/>
            <w:tcBorders>
              <w:top w:val="single" w:sz="12" w:space="0" w:color="auto"/>
              <w:bottom w:val="single" w:sz="4" w:space="0" w:color="auto"/>
            </w:tcBorders>
          </w:tcPr>
          <w:p w:rsidR="0000795F" w:rsidRPr="00F4114C" w:rsidRDefault="0000795F" w:rsidP="0000795F">
            <w:pPr>
              <w:spacing w:before="120" w:after="120"/>
              <w:ind w:left="14"/>
              <w:rPr>
                <w:rFonts w:ascii="Arial" w:hAnsi="Arial" w:cs="Arial"/>
                <w:b/>
                <w:sz w:val="20"/>
              </w:rPr>
            </w:pPr>
            <w:r w:rsidRPr="00F4114C">
              <w:rPr>
                <w:rFonts w:ascii="Arial" w:hAnsi="Arial" w:cs="Arial"/>
                <w:b/>
                <w:sz w:val="20"/>
              </w:rPr>
              <w:t>Description</w:t>
            </w:r>
          </w:p>
        </w:tc>
        <w:tc>
          <w:tcPr>
            <w:tcW w:w="3360" w:type="dxa"/>
            <w:tcBorders>
              <w:top w:val="single" w:sz="12" w:space="0" w:color="auto"/>
              <w:bottom w:val="single" w:sz="4" w:space="0" w:color="auto"/>
            </w:tcBorders>
          </w:tcPr>
          <w:p w:rsidR="0000795F" w:rsidRPr="00F4114C" w:rsidRDefault="0000795F" w:rsidP="0000795F">
            <w:pPr>
              <w:spacing w:before="120" w:after="120"/>
              <w:ind w:left="14"/>
              <w:rPr>
                <w:rFonts w:ascii="Arial" w:hAnsi="Arial" w:cs="Arial"/>
                <w:b/>
                <w:sz w:val="20"/>
              </w:rPr>
            </w:pPr>
            <w:r w:rsidRPr="00F4114C">
              <w:rPr>
                <w:rFonts w:ascii="Arial" w:hAnsi="Arial" w:cs="Arial"/>
                <w:b/>
                <w:sz w:val="20"/>
              </w:rPr>
              <w:t>Examples</w:t>
            </w:r>
          </w:p>
        </w:tc>
      </w:tr>
      <w:tr w:rsidR="0000795F" w:rsidRPr="00F4114C" w:rsidTr="004303F5">
        <w:trPr>
          <w:cantSplit/>
        </w:trPr>
        <w:tc>
          <w:tcPr>
            <w:tcW w:w="1920" w:type="dxa"/>
            <w:tcBorders>
              <w:top w:val="single" w:sz="4" w:space="0" w:color="auto"/>
              <w:bottom w:val="single" w:sz="4" w:space="0" w:color="auto"/>
            </w:tcBorders>
            <w:shd w:val="clear" w:color="auto" w:fill="E6E6E6"/>
          </w:tcPr>
          <w:p w:rsidR="0000795F" w:rsidRPr="00F4114C" w:rsidRDefault="0000795F" w:rsidP="00170E04">
            <w:pPr>
              <w:autoSpaceDE w:val="0"/>
              <w:autoSpaceDN w:val="0"/>
              <w:adjustRightInd w:val="0"/>
              <w:rPr>
                <w:rFonts w:ascii="Arial" w:hAnsi="Arial" w:cs="Arial"/>
                <w:sz w:val="20"/>
              </w:rPr>
            </w:pPr>
            <w:r w:rsidRPr="00F4114C">
              <w:rPr>
                <w:rFonts w:ascii="Arial" w:hAnsi="Arial" w:cs="Arial"/>
                <w:sz w:val="20"/>
              </w:rPr>
              <w:t>Diagnosis</w:t>
            </w:r>
          </w:p>
        </w:tc>
        <w:tc>
          <w:tcPr>
            <w:tcW w:w="4080" w:type="dxa"/>
            <w:tcBorders>
              <w:top w:val="single" w:sz="4" w:space="0" w:color="auto"/>
              <w:bottom w:val="single" w:sz="4" w:space="0" w:color="auto"/>
            </w:tcBorders>
            <w:shd w:val="clear" w:color="auto" w:fill="E6E6E6"/>
          </w:tcPr>
          <w:p w:rsidR="0000795F" w:rsidRPr="00F4114C" w:rsidRDefault="0000795F" w:rsidP="008A5D35">
            <w:pPr>
              <w:autoSpaceDE w:val="0"/>
              <w:autoSpaceDN w:val="0"/>
              <w:adjustRightInd w:val="0"/>
              <w:rPr>
                <w:rFonts w:ascii="Arial" w:hAnsi="Arial" w:cs="Arial"/>
                <w:sz w:val="20"/>
              </w:rPr>
            </w:pPr>
            <w:r w:rsidRPr="00F4114C">
              <w:rPr>
                <w:rFonts w:ascii="Arial" w:hAnsi="Arial" w:cs="Arial"/>
                <w:sz w:val="20"/>
              </w:rPr>
              <w:t xml:space="preserve">Diagnostic tests are used to determine, verify or confirm a patient’s clinical </w:t>
            </w:r>
            <w:r w:rsidR="00F33193" w:rsidRPr="00F4114C">
              <w:rPr>
                <w:rFonts w:ascii="Arial" w:hAnsi="Arial" w:cs="Arial"/>
                <w:sz w:val="20"/>
              </w:rPr>
              <w:t>condition</w:t>
            </w:r>
            <w:r w:rsidRPr="00F4114C">
              <w:rPr>
                <w:rFonts w:ascii="Arial" w:hAnsi="Arial" w:cs="Arial"/>
                <w:sz w:val="20"/>
              </w:rPr>
              <w:t xml:space="preserve"> as a sole determinant. This type of testing </w:t>
            </w:r>
            <w:r w:rsidRPr="00135D95">
              <w:rPr>
                <w:rFonts w:ascii="Arial" w:hAnsi="Arial" w:cs="Arial"/>
                <w:sz w:val="20"/>
              </w:rPr>
              <w:t>also</w:t>
            </w:r>
            <w:r w:rsidRPr="00F4114C">
              <w:rPr>
                <w:rFonts w:ascii="Arial" w:hAnsi="Arial" w:cs="Arial"/>
                <w:sz w:val="20"/>
              </w:rPr>
              <w:t xml:space="preserve"> includes </w:t>
            </w:r>
            <w:r w:rsidRPr="00135D95">
              <w:rPr>
                <w:rFonts w:ascii="Arial" w:hAnsi="Arial" w:cs="Arial"/>
                <w:sz w:val="20"/>
              </w:rPr>
              <w:t>sole</w:t>
            </w:r>
            <w:r w:rsidRPr="00F4114C">
              <w:rPr>
                <w:rFonts w:ascii="Arial" w:hAnsi="Arial" w:cs="Arial"/>
                <w:sz w:val="20"/>
              </w:rPr>
              <w:t xml:space="preserve"> confirmatory assays (to verify results of previous testing) and </w:t>
            </w:r>
            <w:r w:rsidRPr="00135D95">
              <w:rPr>
                <w:rFonts w:ascii="Arial" w:hAnsi="Arial" w:cs="Arial"/>
                <w:sz w:val="20"/>
              </w:rPr>
              <w:t>sole</w:t>
            </w:r>
            <w:r w:rsidRPr="00F4114C">
              <w:rPr>
                <w:rFonts w:ascii="Arial" w:hAnsi="Arial" w:cs="Arial"/>
                <w:sz w:val="20"/>
              </w:rPr>
              <w:t xml:space="preserve"> exclusion assays (to rule out a particular condition).</w:t>
            </w:r>
          </w:p>
          <w:p w:rsidR="0000795F" w:rsidRPr="00F4114C" w:rsidRDefault="0000795F" w:rsidP="0000795F">
            <w:pPr>
              <w:spacing w:before="60" w:after="120"/>
              <w:ind w:left="14"/>
              <w:rPr>
                <w:rFonts w:ascii="Arial" w:hAnsi="Arial" w:cs="Arial"/>
                <w:sz w:val="20"/>
              </w:rPr>
            </w:pPr>
            <w:r w:rsidRPr="00F4114C">
              <w:rPr>
                <w:rFonts w:ascii="Arial" w:hAnsi="Arial" w:cs="Arial"/>
                <w:sz w:val="20"/>
              </w:rPr>
              <w:t>These tests are designed to evaluate a patient’s current state.</w:t>
            </w:r>
          </w:p>
        </w:tc>
        <w:tc>
          <w:tcPr>
            <w:tcW w:w="3360" w:type="dxa"/>
            <w:tcBorders>
              <w:top w:val="single" w:sz="4" w:space="0" w:color="auto"/>
              <w:bottom w:val="single" w:sz="4" w:space="0" w:color="auto"/>
            </w:tcBorders>
            <w:shd w:val="clear" w:color="auto" w:fill="E6E6E6"/>
          </w:tcPr>
          <w:p w:rsidR="0000795F" w:rsidRPr="00F4114C" w:rsidRDefault="00D93A42"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g</w:t>
            </w:r>
            <w:r w:rsidR="0000795F" w:rsidRPr="00F4114C">
              <w:rPr>
                <w:rFonts w:ascii="Arial" w:hAnsi="Arial" w:cs="Arial"/>
                <w:sz w:val="20"/>
              </w:rPr>
              <w:t>enetic test for the diagnosis of Tay-Sachs</w:t>
            </w:r>
          </w:p>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HBs antigen confirmatory assay to verify positive screening results</w:t>
            </w:r>
          </w:p>
          <w:p w:rsidR="0000795F"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D-dimer assay for exclusion of deep vein thrombosis</w:t>
            </w:r>
          </w:p>
          <w:p w:rsidR="00E02C2A" w:rsidRPr="00F4114C" w:rsidRDefault="00E02C2A" w:rsidP="00170E04">
            <w:pPr>
              <w:numPr>
                <w:ilvl w:val="0"/>
                <w:numId w:val="8"/>
              </w:numPr>
              <w:tabs>
                <w:tab w:val="clear" w:pos="732"/>
                <w:tab w:val="num" w:pos="252"/>
              </w:tabs>
              <w:spacing w:after="60"/>
              <w:ind w:left="255" w:hanging="244"/>
              <w:rPr>
                <w:rFonts w:ascii="Arial" w:hAnsi="Arial" w:cs="Arial"/>
                <w:sz w:val="20"/>
              </w:rPr>
            </w:pPr>
            <w:r w:rsidRPr="0087513F">
              <w:rPr>
                <w:rFonts w:ascii="Arial" w:hAnsi="Arial" w:cs="Arial"/>
                <w:sz w:val="20"/>
              </w:rPr>
              <w:t>karyotype testing for the diagnosis of Trisomy 18 (Edward’s syndrome)</w:t>
            </w:r>
          </w:p>
        </w:tc>
      </w:tr>
      <w:tr w:rsidR="0000795F" w:rsidRPr="00F4114C" w:rsidTr="004303F5">
        <w:trPr>
          <w:cantSplit/>
        </w:trPr>
        <w:tc>
          <w:tcPr>
            <w:tcW w:w="1920" w:type="dxa"/>
            <w:tcBorders>
              <w:top w:val="single" w:sz="4" w:space="0" w:color="auto"/>
              <w:bottom w:val="single" w:sz="4" w:space="0" w:color="auto"/>
            </w:tcBorders>
          </w:tcPr>
          <w:p w:rsidR="0000795F" w:rsidRPr="00F4114C" w:rsidRDefault="0000795F" w:rsidP="00170E04">
            <w:pPr>
              <w:autoSpaceDE w:val="0"/>
              <w:autoSpaceDN w:val="0"/>
              <w:adjustRightInd w:val="0"/>
              <w:rPr>
                <w:rFonts w:ascii="Arial" w:hAnsi="Arial" w:cs="Arial"/>
                <w:sz w:val="20"/>
              </w:rPr>
            </w:pPr>
            <w:r w:rsidRPr="00F4114C">
              <w:rPr>
                <w:rFonts w:ascii="Arial" w:hAnsi="Arial" w:cs="Arial"/>
                <w:sz w:val="20"/>
              </w:rPr>
              <w:t>Aid to Diagnosis</w:t>
            </w:r>
          </w:p>
        </w:tc>
        <w:tc>
          <w:tcPr>
            <w:tcW w:w="4080" w:type="dxa"/>
            <w:tcBorders>
              <w:top w:val="single" w:sz="4" w:space="0" w:color="auto"/>
              <w:bottom w:val="single" w:sz="4" w:space="0" w:color="auto"/>
            </w:tcBorders>
          </w:tcPr>
          <w:p w:rsidR="0000795F" w:rsidRPr="00F4114C" w:rsidRDefault="0000795F" w:rsidP="008A5D35">
            <w:pPr>
              <w:autoSpaceDE w:val="0"/>
              <w:autoSpaceDN w:val="0"/>
              <w:adjustRightInd w:val="0"/>
              <w:rPr>
                <w:rFonts w:ascii="Arial" w:hAnsi="Arial" w:cs="Arial"/>
                <w:sz w:val="20"/>
              </w:rPr>
            </w:pPr>
            <w:r w:rsidRPr="00F4114C">
              <w:rPr>
                <w:rFonts w:ascii="Arial" w:hAnsi="Arial" w:cs="Arial"/>
                <w:sz w:val="20"/>
              </w:rPr>
              <w:t>Aid to Diagnosis tests are used to provide additional information to assist in the determination or verification of a patient’s clinical status. The test is not the sole determinant.</w:t>
            </w:r>
          </w:p>
          <w:p w:rsidR="0000795F" w:rsidRPr="00F4114C" w:rsidRDefault="0000795F" w:rsidP="0000795F">
            <w:pPr>
              <w:spacing w:before="120" w:after="60"/>
              <w:ind w:left="12"/>
              <w:rPr>
                <w:rFonts w:ascii="Arial" w:hAnsi="Arial" w:cs="Arial"/>
                <w:sz w:val="20"/>
                <w:lang w:eastAsia="ja-JP"/>
              </w:rPr>
            </w:pPr>
            <w:r w:rsidRPr="00F4114C">
              <w:rPr>
                <w:rFonts w:ascii="Arial" w:hAnsi="Arial" w:cs="Arial"/>
                <w:sz w:val="20"/>
              </w:rPr>
              <w:t>These tests are designed to evaluate a patient’s current state.</w:t>
            </w:r>
          </w:p>
        </w:tc>
        <w:tc>
          <w:tcPr>
            <w:tcW w:w="3360" w:type="dxa"/>
            <w:tcBorders>
              <w:top w:val="single" w:sz="4" w:space="0" w:color="auto"/>
              <w:bottom w:val="single" w:sz="4" w:space="0" w:color="auto"/>
            </w:tcBorders>
          </w:tcPr>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troponin test as an aid in myocardial infarction diagnosis</w:t>
            </w:r>
            <w:r w:rsidRPr="00F4114C" w:rsidDel="00A87CB5">
              <w:rPr>
                <w:rFonts w:ascii="Arial" w:hAnsi="Arial" w:cs="Arial"/>
                <w:sz w:val="20"/>
              </w:rPr>
              <w:t xml:space="preserve"> </w:t>
            </w:r>
          </w:p>
          <w:p w:rsidR="0000795F" w:rsidRPr="00F4114C" w:rsidRDefault="00151E75" w:rsidP="008A5D35">
            <w:pPr>
              <w:numPr>
                <w:ilvl w:val="0"/>
                <w:numId w:val="8"/>
              </w:numPr>
              <w:tabs>
                <w:tab w:val="clear" w:pos="732"/>
                <w:tab w:val="num" w:pos="252"/>
              </w:tabs>
              <w:spacing w:after="60"/>
              <w:ind w:left="255" w:hanging="244"/>
              <w:rPr>
                <w:rFonts w:ascii="Arial" w:hAnsi="Arial" w:cs="Arial"/>
                <w:sz w:val="20"/>
              </w:rPr>
            </w:pPr>
            <w:r>
              <w:rPr>
                <w:rFonts w:ascii="Arial" w:hAnsi="Arial" w:cs="Arial"/>
                <w:sz w:val="20"/>
              </w:rPr>
              <w:t>genetic testing to aid in the diagnosis of familial hypercholesterolaemia (FH)</w:t>
            </w:r>
          </w:p>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thyroid-stimulating hormone test to evaluate thyroid function</w:t>
            </w:r>
          </w:p>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toxoplasma IgG avidity assay to determine likelihood of active infection</w:t>
            </w:r>
          </w:p>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hint="eastAsia"/>
                <w:sz w:val="20"/>
              </w:rPr>
              <w:t xml:space="preserve">ANA test for </w:t>
            </w:r>
            <w:r w:rsidR="005B1865">
              <w:rPr>
                <w:rFonts w:ascii="Arial" w:hAnsi="Arial" w:cs="Arial"/>
                <w:sz w:val="20"/>
              </w:rPr>
              <w:t>a</w:t>
            </w:r>
            <w:r w:rsidRPr="00F4114C">
              <w:rPr>
                <w:rFonts w:ascii="Arial" w:hAnsi="Arial" w:cs="Arial"/>
                <w:sz w:val="20"/>
              </w:rPr>
              <w:t xml:space="preserve">utoimmune </w:t>
            </w:r>
            <w:r w:rsidRPr="00F4114C">
              <w:rPr>
                <w:rFonts w:ascii="Arial" w:hAnsi="Arial" w:cs="Arial" w:hint="eastAsia"/>
                <w:sz w:val="20"/>
              </w:rPr>
              <w:t>disease determination</w:t>
            </w:r>
          </w:p>
          <w:p w:rsidR="0000795F" w:rsidRPr="00F4114C" w:rsidRDefault="005B1865" w:rsidP="008A5D35">
            <w:pPr>
              <w:numPr>
                <w:ilvl w:val="0"/>
                <w:numId w:val="8"/>
              </w:numPr>
              <w:tabs>
                <w:tab w:val="clear" w:pos="732"/>
                <w:tab w:val="num" w:pos="252"/>
              </w:tabs>
              <w:spacing w:after="60"/>
              <w:ind w:left="255" w:hanging="244"/>
              <w:rPr>
                <w:rFonts w:ascii="Arial" w:hAnsi="Arial" w:cs="Arial"/>
                <w:sz w:val="20"/>
              </w:rPr>
            </w:pPr>
            <w:r>
              <w:rPr>
                <w:rFonts w:ascii="Arial" w:hAnsi="Arial" w:cs="Arial"/>
                <w:sz w:val="20"/>
              </w:rPr>
              <w:t>t</w:t>
            </w:r>
            <w:r w:rsidR="0000795F" w:rsidRPr="00F4114C">
              <w:rPr>
                <w:rFonts w:ascii="Arial" w:hAnsi="Arial" w:cs="Arial"/>
                <w:sz w:val="20"/>
              </w:rPr>
              <w:t>est for genotyping of the Factor V Leiden mutation as an aid to diagnosis of thrombophilia</w:t>
            </w:r>
          </w:p>
        </w:tc>
      </w:tr>
      <w:tr w:rsidR="0000795F" w:rsidRPr="00F4114C" w:rsidTr="004303F5">
        <w:trPr>
          <w:cantSplit/>
        </w:trPr>
        <w:tc>
          <w:tcPr>
            <w:tcW w:w="1920" w:type="dxa"/>
            <w:tcBorders>
              <w:top w:val="single" w:sz="4" w:space="0" w:color="auto"/>
              <w:bottom w:val="single" w:sz="4" w:space="0" w:color="auto"/>
            </w:tcBorders>
            <w:shd w:val="clear" w:color="auto" w:fill="E6E6E6"/>
          </w:tcPr>
          <w:p w:rsidR="0000795F" w:rsidRPr="00F4114C" w:rsidRDefault="0000795F" w:rsidP="00170E04">
            <w:pPr>
              <w:autoSpaceDE w:val="0"/>
              <w:autoSpaceDN w:val="0"/>
              <w:adjustRightInd w:val="0"/>
              <w:rPr>
                <w:rFonts w:ascii="Arial" w:hAnsi="Arial" w:cs="Arial"/>
                <w:sz w:val="20"/>
              </w:rPr>
            </w:pPr>
            <w:r w:rsidRPr="00F4114C">
              <w:rPr>
                <w:rFonts w:ascii="Arial" w:hAnsi="Arial" w:cs="Arial"/>
                <w:sz w:val="20"/>
              </w:rPr>
              <w:lastRenderedPageBreak/>
              <w:t>Screening</w:t>
            </w:r>
          </w:p>
        </w:tc>
        <w:tc>
          <w:tcPr>
            <w:tcW w:w="4080" w:type="dxa"/>
            <w:tcBorders>
              <w:top w:val="single" w:sz="4" w:space="0" w:color="auto"/>
              <w:bottom w:val="single" w:sz="4" w:space="0" w:color="auto"/>
            </w:tcBorders>
            <w:shd w:val="clear" w:color="auto" w:fill="E6E6E6"/>
          </w:tcPr>
          <w:p w:rsidR="00D21BEB" w:rsidRPr="0087513F" w:rsidRDefault="00674BC5" w:rsidP="00170E04">
            <w:pPr>
              <w:autoSpaceDE w:val="0"/>
              <w:autoSpaceDN w:val="0"/>
              <w:adjustRightInd w:val="0"/>
              <w:rPr>
                <w:rFonts w:ascii="Arial" w:hAnsi="Arial" w:cs="Arial"/>
                <w:sz w:val="20"/>
              </w:rPr>
            </w:pPr>
            <w:r w:rsidRPr="0087513F">
              <w:rPr>
                <w:rFonts w:ascii="Arial" w:hAnsi="Arial" w:cs="Arial"/>
                <w:sz w:val="20"/>
              </w:rPr>
              <w:t>Screening tests</w:t>
            </w:r>
            <w:r w:rsidR="00D21BEB" w:rsidRPr="0087513F">
              <w:rPr>
                <w:rFonts w:ascii="Arial" w:hAnsi="Arial" w:cs="Arial"/>
                <w:sz w:val="20"/>
              </w:rPr>
              <w:t xml:space="preserve"> are used to determine the status of a disease, disorder or other physiological state in an asymptomatic individual.</w:t>
            </w:r>
          </w:p>
          <w:p w:rsidR="00D21BEB" w:rsidRPr="0087513F" w:rsidRDefault="00D21BEB" w:rsidP="00170E04">
            <w:pPr>
              <w:spacing w:before="120" w:after="60"/>
              <w:ind w:left="12"/>
              <w:rPr>
                <w:rFonts w:ascii="Arial" w:hAnsi="Arial" w:cs="Arial"/>
                <w:sz w:val="20"/>
              </w:rPr>
            </w:pPr>
            <w:r w:rsidRPr="0087513F">
              <w:rPr>
                <w:rFonts w:ascii="Arial" w:hAnsi="Arial" w:cs="Arial"/>
                <w:sz w:val="20"/>
              </w:rPr>
              <w:t>These types of tests include genetic screening assays, tests for physiological typing, and tests used to reduce the risk of infectious disease transmission, such as assays for prenatal screening and donor screening (transfusion or transplantation).</w:t>
            </w:r>
          </w:p>
          <w:p w:rsidR="00D21BEB" w:rsidRPr="0087513F" w:rsidRDefault="00D21BEB" w:rsidP="00170E04">
            <w:pPr>
              <w:spacing w:before="120" w:after="60"/>
              <w:ind w:left="12"/>
              <w:rPr>
                <w:rFonts w:ascii="Arial" w:hAnsi="Arial" w:cs="Arial"/>
                <w:sz w:val="20"/>
              </w:rPr>
            </w:pPr>
            <w:r w:rsidRPr="0087513F">
              <w:rPr>
                <w:rFonts w:ascii="Arial" w:hAnsi="Arial" w:cs="Arial"/>
                <w:sz w:val="20"/>
              </w:rPr>
              <w:t xml:space="preserve">Depending on the nature of the condition and the targeted patient population, screening tests may be used routinely or may be restricted to </w:t>
            </w:r>
            <w:r w:rsidR="007C0DF1">
              <w:rPr>
                <w:rFonts w:ascii="Arial" w:hAnsi="Arial" w:cs="Arial"/>
                <w:sz w:val="20"/>
              </w:rPr>
              <w:t>‘</w:t>
            </w:r>
            <w:r w:rsidRPr="0087513F">
              <w:rPr>
                <w:rFonts w:ascii="Arial" w:hAnsi="Arial" w:cs="Arial"/>
                <w:sz w:val="20"/>
              </w:rPr>
              <w:t>at risk</w:t>
            </w:r>
            <w:r w:rsidR="007C0DF1">
              <w:rPr>
                <w:rFonts w:ascii="Arial" w:hAnsi="Arial" w:cs="Arial"/>
                <w:sz w:val="20"/>
              </w:rPr>
              <w:t>’</w:t>
            </w:r>
            <w:r w:rsidRPr="0087513F">
              <w:rPr>
                <w:rFonts w:ascii="Arial" w:hAnsi="Arial" w:cs="Arial"/>
                <w:sz w:val="20"/>
              </w:rPr>
              <w:t xml:space="preserve"> patients.</w:t>
            </w:r>
          </w:p>
          <w:p w:rsidR="0000795F" w:rsidRPr="00F4114C" w:rsidRDefault="00D21BEB" w:rsidP="00170E04">
            <w:pPr>
              <w:spacing w:before="120" w:after="60"/>
              <w:ind w:left="12"/>
              <w:rPr>
                <w:rFonts w:ascii="Arial" w:hAnsi="Arial" w:cs="Arial"/>
                <w:sz w:val="20"/>
              </w:rPr>
            </w:pPr>
            <w:r w:rsidRPr="0087513F">
              <w:rPr>
                <w:rFonts w:ascii="Arial" w:hAnsi="Arial" w:cs="Arial"/>
                <w:sz w:val="20"/>
              </w:rPr>
              <w:t>These tests are designed to evaluate an individual’s current state.</w:t>
            </w:r>
          </w:p>
        </w:tc>
        <w:tc>
          <w:tcPr>
            <w:tcW w:w="3360" w:type="dxa"/>
            <w:tcBorders>
              <w:top w:val="single" w:sz="4" w:space="0" w:color="auto"/>
              <w:bottom w:val="single" w:sz="4" w:space="0" w:color="auto"/>
            </w:tcBorders>
            <w:shd w:val="clear" w:color="auto" w:fill="E6E6E6"/>
          </w:tcPr>
          <w:p w:rsidR="0000795F" w:rsidRPr="00F4114C" w:rsidRDefault="0000795F" w:rsidP="008A5D35">
            <w:pPr>
              <w:pageBreakBefore/>
              <w:numPr>
                <w:ilvl w:val="0"/>
                <w:numId w:val="8"/>
              </w:numPr>
              <w:tabs>
                <w:tab w:val="clear" w:pos="732"/>
                <w:tab w:val="num" w:pos="252"/>
              </w:tabs>
              <w:spacing w:after="60"/>
              <w:ind w:left="252" w:hanging="240"/>
              <w:rPr>
                <w:rFonts w:ascii="Arial" w:hAnsi="Arial" w:cs="Arial"/>
                <w:sz w:val="20"/>
              </w:rPr>
            </w:pPr>
            <w:r w:rsidRPr="00F4114C">
              <w:rPr>
                <w:rFonts w:ascii="Arial" w:hAnsi="Arial" w:cs="Arial"/>
                <w:sz w:val="20"/>
              </w:rPr>
              <w:t>test to detect hepatitis B surface antigen in donated blood</w:t>
            </w:r>
          </w:p>
          <w:p w:rsidR="0000795F" w:rsidRPr="00F4114C" w:rsidRDefault="00167244" w:rsidP="008A5D35">
            <w:pPr>
              <w:pageBreakBefore/>
              <w:numPr>
                <w:ilvl w:val="0"/>
                <w:numId w:val="8"/>
              </w:numPr>
              <w:tabs>
                <w:tab w:val="clear" w:pos="732"/>
                <w:tab w:val="num" w:pos="252"/>
              </w:tabs>
              <w:spacing w:after="60"/>
              <w:ind w:left="259" w:hanging="245"/>
              <w:rPr>
                <w:rFonts w:ascii="Arial" w:hAnsi="Arial" w:cs="Arial"/>
                <w:sz w:val="20"/>
              </w:rPr>
            </w:pPr>
            <w:r>
              <w:rPr>
                <w:rFonts w:ascii="Arial" w:hAnsi="Arial" w:cs="Arial"/>
                <w:sz w:val="20"/>
              </w:rPr>
              <w:t>prenatal</w:t>
            </w:r>
            <w:r w:rsidR="0000795F" w:rsidRPr="00F4114C">
              <w:rPr>
                <w:rFonts w:ascii="Arial" w:hAnsi="Arial" w:cs="Arial"/>
                <w:sz w:val="20"/>
              </w:rPr>
              <w:t xml:space="preserve"> rubella Ig</w:t>
            </w:r>
            <w:r w:rsidR="0005535C">
              <w:rPr>
                <w:rFonts w:ascii="Arial" w:hAnsi="Arial" w:cs="Arial"/>
                <w:sz w:val="20"/>
              </w:rPr>
              <w:t>G</w:t>
            </w:r>
            <w:r w:rsidR="0000795F" w:rsidRPr="00F4114C">
              <w:rPr>
                <w:rFonts w:ascii="Arial" w:hAnsi="Arial" w:cs="Arial"/>
                <w:sz w:val="20"/>
              </w:rPr>
              <w:t xml:space="preserve"> screening in pregnant women</w:t>
            </w:r>
          </w:p>
          <w:p w:rsidR="0000795F" w:rsidRPr="00F4114C" w:rsidRDefault="0000795F" w:rsidP="008A5D35">
            <w:pPr>
              <w:pageBreakBefore/>
              <w:numPr>
                <w:ilvl w:val="0"/>
                <w:numId w:val="8"/>
              </w:numPr>
              <w:tabs>
                <w:tab w:val="clear" w:pos="732"/>
                <w:tab w:val="num" w:pos="252"/>
              </w:tabs>
              <w:spacing w:after="60"/>
              <w:ind w:left="259" w:hanging="245"/>
              <w:rPr>
                <w:rFonts w:ascii="Arial" w:hAnsi="Arial" w:cs="Arial"/>
                <w:sz w:val="20"/>
              </w:rPr>
            </w:pPr>
            <w:r w:rsidRPr="00F4114C">
              <w:rPr>
                <w:rFonts w:ascii="Arial" w:hAnsi="Arial" w:cs="Arial"/>
                <w:sz w:val="20"/>
              </w:rPr>
              <w:t xml:space="preserve">prenatal genetic testing for trisomy </w:t>
            </w:r>
            <w:r w:rsidR="00E02C2A">
              <w:rPr>
                <w:rFonts w:ascii="Arial" w:hAnsi="Arial" w:cs="Arial"/>
                <w:sz w:val="20"/>
              </w:rPr>
              <w:t>21</w:t>
            </w:r>
            <w:r w:rsidRPr="00F4114C">
              <w:rPr>
                <w:rFonts w:ascii="Arial" w:hAnsi="Arial" w:cs="Arial"/>
                <w:sz w:val="20"/>
              </w:rPr>
              <w:t xml:space="preserve"> (Down’s syndrome)</w:t>
            </w:r>
          </w:p>
          <w:p w:rsidR="0000795F" w:rsidRPr="00F4114C" w:rsidRDefault="0000795F" w:rsidP="008A5D35">
            <w:pPr>
              <w:pageBreakBefore/>
              <w:numPr>
                <w:ilvl w:val="0"/>
                <w:numId w:val="8"/>
              </w:numPr>
              <w:tabs>
                <w:tab w:val="clear" w:pos="732"/>
                <w:tab w:val="num" w:pos="252"/>
              </w:tabs>
              <w:spacing w:after="60"/>
              <w:ind w:left="259" w:hanging="245"/>
              <w:rPr>
                <w:rFonts w:ascii="Arial" w:hAnsi="Arial" w:cs="Arial"/>
                <w:sz w:val="20"/>
              </w:rPr>
            </w:pPr>
            <w:r w:rsidRPr="00F4114C">
              <w:rPr>
                <w:rFonts w:ascii="Arial" w:hAnsi="Arial" w:cs="Arial"/>
                <w:sz w:val="20"/>
              </w:rPr>
              <w:t>newborn genetic testing for phenylketonuria</w:t>
            </w:r>
          </w:p>
          <w:p w:rsidR="0000795F" w:rsidRPr="00F4114C" w:rsidRDefault="0000795F" w:rsidP="00170E04">
            <w:pPr>
              <w:pageBreakBefore/>
              <w:numPr>
                <w:ilvl w:val="0"/>
                <w:numId w:val="8"/>
              </w:numPr>
              <w:tabs>
                <w:tab w:val="clear" w:pos="732"/>
                <w:tab w:val="num" w:pos="252"/>
              </w:tabs>
              <w:spacing w:after="60"/>
              <w:ind w:left="259" w:hanging="245"/>
              <w:rPr>
                <w:rFonts w:ascii="Arial" w:hAnsi="Arial" w:cs="Arial"/>
                <w:sz w:val="20"/>
              </w:rPr>
            </w:pPr>
            <w:r w:rsidRPr="00F4114C">
              <w:rPr>
                <w:rFonts w:ascii="Arial" w:hAnsi="Arial" w:cs="Arial"/>
                <w:sz w:val="20"/>
              </w:rPr>
              <w:t xml:space="preserve">tests for the determination of </w:t>
            </w:r>
            <w:r w:rsidR="00D21BEB">
              <w:rPr>
                <w:rFonts w:ascii="Arial" w:hAnsi="Arial" w:cs="Arial"/>
                <w:sz w:val="20"/>
              </w:rPr>
              <w:t xml:space="preserve">HLA, </w:t>
            </w:r>
            <w:r w:rsidRPr="00F4114C">
              <w:rPr>
                <w:rFonts w:ascii="Arial" w:hAnsi="Arial" w:cs="Arial"/>
                <w:sz w:val="20"/>
              </w:rPr>
              <w:t>blood groups and blood group factors</w:t>
            </w:r>
            <w:r w:rsidRPr="00F4114C">
              <w:rPr>
                <w:rFonts w:ascii="Arial" w:hAnsi="Arial" w:cs="Arial" w:hint="eastAsia"/>
                <w:sz w:val="20"/>
                <w:lang w:eastAsia="ja-JP"/>
              </w:rPr>
              <w:t xml:space="preserve"> for donor match</w:t>
            </w:r>
            <w:r w:rsidR="00D21BEB">
              <w:rPr>
                <w:rFonts w:ascii="Arial" w:hAnsi="Arial" w:cs="Arial"/>
                <w:sz w:val="20"/>
                <w:lang w:eastAsia="ja-JP"/>
              </w:rPr>
              <w:t>ing</w:t>
            </w:r>
          </w:p>
        </w:tc>
      </w:tr>
      <w:tr w:rsidR="0000795F" w:rsidRPr="00F4114C" w:rsidTr="004303F5">
        <w:trPr>
          <w:cantSplit/>
        </w:trPr>
        <w:tc>
          <w:tcPr>
            <w:tcW w:w="1920" w:type="dxa"/>
            <w:tcBorders>
              <w:top w:val="single" w:sz="4" w:space="0" w:color="auto"/>
              <w:bottom w:val="single" w:sz="4" w:space="0" w:color="auto"/>
            </w:tcBorders>
            <w:shd w:val="clear" w:color="auto" w:fill="auto"/>
          </w:tcPr>
          <w:p w:rsidR="0000795F" w:rsidRPr="00F4114C" w:rsidRDefault="0000795F" w:rsidP="00170E04">
            <w:pPr>
              <w:autoSpaceDE w:val="0"/>
              <w:autoSpaceDN w:val="0"/>
              <w:adjustRightInd w:val="0"/>
              <w:rPr>
                <w:rFonts w:ascii="Arial" w:hAnsi="Arial" w:cs="Arial"/>
                <w:sz w:val="20"/>
              </w:rPr>
            </w:pPr>
            <w:r w:rsidRPr="00F4114C">
              <w:rPr>
                <w:rFonts w:ascii="Arial" w:hAnsi="Arial" w:cs="Arial"/>
                <w:sz w:val="20"/>
              </w:rPr>
              <w:t>Monitoring</w:t>
            </w:r>
          </w:p>
        </w:tc>
        <w:tc>
          <w:tcPr>
            <w:tcW w:w="4080" w:type="dxa"/>
            <w:tcBorders>
              <w:top w:val="single" w:sz="4" w:space="0" w:color="auto"/>
              <w:bottom w:val="single" w:sz="4" w:space="0" w:color="auto"/>
            </w:tcBorders>
            <w:shd w:val="clear" w:color="auto" w:fill="auto"/>
          </w:tcPr>
          <w:p w:rsidR="004B5A22" w:rsidRPr="008A5D35" w:rsidRDefault="004B5A22" w:rsidP="004B5A22">
            <w:pPr>
              <w:autoSpaceDE w:val="0"/>
              <w:autoSpaceDN w:val="0"/>
              <w:adjustRightInd w:val="0"/>
              <w:rPr>
                <w:rFonts w:ascii="Arial" w:hAnsi="Arial" w:cs="Arial"/>
                <w:sz w:val="20"/>
              </w:rPr>
            </w:pPr>
            <w:r w:rsidRPr="008A5D35">
              <w:rPr>
                <w:rFonts w:ascii="Arial" w:hAnsi="Arial" w:cs="Arial"/>
                <w:sz w:val="20"/>
              </w:rPr>
              <w:t>Monitoring tests are used for the measurement of analyte levels for the purpose of adjusting treatments/interventions as required. Monitoring tests include the following:</w:t>
            </w:r>
          </w:p>
          <w:p w:rsidR="004B5A22" w:rsidRPr="001607AC" w:rsidRDefault="004B5A22" w:rsidP="004B5A22">
            <w:pPr>
              <w:autoSpaceDE w:val="0"/>
              <w:autoSpaceDN w:val="0"/>
              <w:adjustRightInd w:val="0"/>
              <w:rPr>
                <w:sz w:val="20"/>
                <w:u w:val="single"/>
              </w:rPr>
            </w:pPr>
          </w:p>
          <w:p w:rsidR="004B5A22" w:rsidRPr="008A5D35" w:rsidRDefault="00A7170D" w:rsidP="008A5D35">
            <w:pPr>
              <w:numPr>
                <w:ilvl w:val="0"/>
                <w:numId w:val="8"/>
              </w:numPr>
              <w:tabs>
                <w:tab w:val="clear" w:pos="732"/>
                <w:tab w:val="num" w:pos="252"/>
              </w:tabs>
              <w:autoSpaceDE w:val="0"/>
              <w:autoSpaceDN w:val="0"/>
              <w:adjustRightInd w:val="0"/>
              <w:ind w:left="259" w:hanging="259"/>
              <w:rPr>
                <w:rFonts w:ascii="Arial" w:hAnsi="Arial"/>
                <w:sz w:val="20"/>
              </w:rPr>
            </w:pPr>
            <w:r>
              <w:rPr>
                <w:rFonts w:ascii="Arial" w:hAnsi="Arial"/>
                <w:sz w:val="20"/>
              </w:rPr>
              <w:t>A</w:t>
            </w:r>
            <w:r w:rsidR="004B5A22" w:rsidRPr="008A5D35">
              <w:rPr>
                <w:rFonts w:ascii="Arial" w:hAnsi="Arial"/>
                <w:sz w:val="20"/>
              </w:rPr>
              <w:t xml:space="preserve">ssays </w:t>
            </w:r>
            <w:r>
              <w:rPr>
                <w:rFonts w:ascii="Arial" w:hAnsi="Arial"/>
                <w:sz w:val="20"/>
              </w:rPr>
              <w:t xml:space="preserve">which are </w:t>
            </w:r>
            <w:r w:rsidR="00170E04">
              <w:rPr>
                <w:rFonts w:ascii="Arial" w:hAnsi="Arial"/>
                <w:sz w:val="20"/>
              </w:rPr>
              <w:t>used to ensure that an analyte</w:t>
            </w:r>
            <w:r w:rsidR="004B5A22" w:rsidRPr="008A5D35">
              <w:rPr>
                <w:rFonts w:ascii="Arial" w:hAnsi="Arial"/>
                <w:sz w:val="20"/>
              </w:rPr>
              <w:t xml:space="preserve"> remains within physiological levels or within an established therapeutic drug range. These types of monitoring tests are designed to evaluate an individual’s current state.</w:t>
            </w:r>
          </w:p>
          <w:p w:rsidR="004B5A22" w:rsidRPr="001607AC" w:rsidRDefault="004B5A22" w:rsidP="004B5A22">
            <w:pPr>
              <w:autoSpaceDE w:val="0"/>
              <w:autoSpaceDN w:val="0"/>
              <w:adjustRightInd w:val="0"/>
              <w:rPr>
                <w:sz w:val="20"/>
                <w:u w:val="single"/>
              </w:rPr>
            </w:pPr>
          </w:p>
          <w:p w:rsidR="004B5A22" w:rsidRPr="008A5D35" w:rsidRDefault="00A7170D" w:rsidP="008A5D35">
            <w:pPr>
              <w:numPr>
                <w:ilvl w:val="0"/>
                <w:numId w:val="8"/>
              </w:numPr>
              <w:tabs>
                <w:tab w:val="clear" w:pos="732"/>
                <w:tab w:val="num" w:pos="252"/>
              </w:tabs>
              <w:autoSpaceDE w:val="0"/>
              <w:autoSpaceDN w:val="0"/>
              <w:adjustRightInd w:val="0"/>
              <w:ind w:left="259" w:hanging="259"/>
              <w:rPr>
                <w:rFonts w:ascii="Arial" w:hAnsi="Arial"/>
                <w:sz w:val="20"/>
              </w:rPr>
            </w:pPr>
            <w:r>
              <w:rPr>
                <w:rFonts w:ascii="Arial" w:hAnsi="Arial"/>
                <w:sz w:val="20"/>
              </w:rPr>
              <w:t>A</w:t>
            </w:r>
            <w:r w:rsidR="004B5A22" w:rsidRPr="008A5D35">
              <w:rPr>
                <w:rFonts w:ascii="Arial" w:hAnsi="Arial"/>
                <w:sz w:val="20"/>
              </w:rPr>
              <w:t xml:space="preserve">ssays </w:t>
            </w:r>
            <w:r>
              <w:rPr>
                <w:rFonts w:ascii="Arial" w:hAnsi="Arial"/>
                <w:sz w:val="20"/>
              </w:rPr>
              <w:t xml:space="preserve">which are </w:t>
            </w:r>
            <w:r w:rsidR="004B5A22" w:rsidRPr="008A5D35">
              <w:rPr>
                <w:rFonts w:ascii="Arial" w:hAnsi="Arial"/>
                <w:sz w:val="20"/>
              </w:rPr>
              <w:t>used for serial measurement, whereby multiple determinations are taken over time. These types of monitoring tests are typically used for the detection/assessment of disease progression/regression, disease recurrence, minimum residual disease, response/resistance to therapy, and/or adverse effects due to therapy. These types of monitoring tests are designed to evaluate changes in an individual’s state</w:t>
            </w:r>
          </w:p>
          <w:p w:rsidR="0000795F" w:rsidRPr="00F4114C" w:rsidRDefault="0000795F" w:rsidP="0000795F">
            <w:pPr>
              <w:spacing w:before="60" w:after="120"/>
              <w:ind w:left="14"/>
              <w:rPr>
                <w:rFonts w:ascii="Arial" w:hAnsi="Arial" w:cs="Arial"/>
                <w:sz w:val="20"/>
              </w:rPr>
            </w:pPr>
          </w:p>
        </w:tc>
        <w:tc>
          <w:tcPr>
            <w:tcW w:w="3360" w:type="dxa"/>
            <w:tcBorders>
              <w:top w:val="single" w:sz="4" w:space="0" w:color="auto"/>
              <w:bottom w:val="single" w:sz="4" w:space="0" w:color="auto"/>
            </w:tcBorders>
            <w:shd w:val="clear" w:color="auto" w:fill="auto"/>
          </w:tcPr>
          <w:p w:rsidR="00C91076" w:rsidRPr="008A5D35" w:rsidRDefault="00C91076" w:rsidP="008A5D35">
            <w:pPr>
              <w:numPr>
                <w:ilvl w:val="0"/>
                <w:numId w:val="8"/>
              </w:numPr>
              <w:tabs>
                <w:tab w:val="clear" w:pos="732"/>
                <w:tab w:val="num" w:pos="252"/>
              </w:tabs>
              <w:spacing w:after="60"/>
              <w:ind w:left="255" w:hanging="244"/>
              <w:rPr>
                <w:rFonts w:ascii="Arial" w:hAnsi="Arial" w:cs="Arial"/>
                <w:sz w:val="20"/>
              </w:rPr>
            </w:pPr>
            <w:r w:rsidRPr="008A5D35">
              <w:rPr>
                <w:rFonts w:ascii="Arial" w:hAnsi="Arial" w:cs="Arial"/>
                <w:sz w:val="20"/>
              </w:rPr>
              <w:t>intraoperative iPTH monitoring during parathyroidectomy surgery to confirm removal of abnormal tissue</w:t>
            </w:r>
          </w:p>
          <w:p w:rsidR="00C91076" w:rsidRPr="008A5D35" w:rsidRDefault="00C91076" w:rsidP="008A5D35">
            <w:pPr>
              <w:numPr>
                <w:ilvl w:val="0"/>
                <w:numId w:val="8"/>
              </w:numPr>
              <w:tabs>
                <w:tab w:val="clear" w:pos="732"/>
                <w:tab w:val="num" w:pos="252"/>
              </w:tabs>
              <w:spacing w:after="60"/>
              <w:ind w:left="255" w:hanging="244"/>
              <w:rPr>
                <w:rFonts w:ascii="Arial" w:hAnsi="Arial" w:cs="Arial"/>
                <w:sz w:val="20"/>
              </w:rPr>
            </w:pPr>
            <w:r w:rsidRPr="008A5D35">
              <w:rPr>
                <w:rFonts w:ascii="Arial" w:hAnsi="Arial" w:cs="Arial"/>
                <w:sz w:val="20"/>
              </w:rPr>
              <w:t>self-test glucose monitoring to allow for quick responses to hyperglycemia or hypoglycemia</w:t>
            </w:r>
          </w:p>
          <w:p w:rsidR="00F6001F" w:rsidRPr="008A5D35" w:rsidRDefault="00F6001F" w:rsidP="008A5D35">
            <w:pPr>
              <w:numPr>
                <w:ilvl w:val="0"/>
                <w:numId w:val="8"/>
              </w:numPr>
              <w:tabs>
                <w:tab w:val="clear" w:pos="732"/>
                <w:tab w:val="num" w:pos="252"/>
              </w:tabs>
              <w:spacing w:after="60"/>
              <w:ind w:left="255" w:hanging="244"/>
              <w:rPr>
                <w:rFonts w:ascii="Arial" w:hAnsi="Arial" w:cs="Arial"/>
                <w:sz w:val="20"/>
              </w:rPr>
            </w:pPr>
            <w:r w:rsidRPr="008A5D35">
              <w:rPr>
                <w:rFonts w:ascii="Arial" w:hAnsi="Arial" w:cs="Arial"/>
                <w:sz w:val="20"/>
              </w:rPr>
              <w:t>therapeutic drug monitoring of immunosuppressants to prevent rejection of transplanted organs</w:t>
            </w:r>
          </w:p>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viral load testing of patients known to be infected with HIV to determine treatment response and adjust therapy if necessary</w:t>
            </w:r>
          </w:p>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monitoring of CA 15-3 levels in breast cancer patients in remission to detect recurrence</w:t>
            </w:r>
          </w:p>
          <w:p w:rsidR="0000795F"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test for the detection of BCR-ABL transcripts</w:t>
            </w:r>
            <w:r w:rsidR="00C91076">
              <w:rPr>
                <w:rFonts w:ascii="Arial" w:hAnsi="Arial" w:cs="Arial"/>
                <w:sz w:val="20"/>
              </w:rPr>
              <w:t xml:space="preserve"> to monitor response/resistance</w:t>
            </w:r>
            <w:r w:rsidRPr="00F4114C">
              <w:rPr>
                <w:rFonts w:ascii="Arial" w:hAnsi="Arial" w:cs="Arial"/>
                <w:sz w:val="20"/>
              </w:rPr>
              <w:t xml:space="preserve"> in patients </w:t>
            </w:r>
            <w:r w:rsidR="00C91076">
              <w:rPr>
                <w:rFonts w:ascii="Arial" w:hAnsi="Arial" w:cs="Arial"/>
                <w:sz w:val="20"/>
              </w:rPr>
              <w:t xml:space="preserve">undergoing </w:t>
            </w:r>
            <w:r w:rsidRPr="00F4114C">
              <w:rPr>
                <w:rFonts w:ascii="Arial" w:hAnsi="Arial" w:cs="Arial"/>
                <w:sz w:val="20"/>
              </w:rPr>
              <w:t>treat</w:t>
            </w:r>
            <w:r w:rsidR="00C91076">
              <w:rPr>
                <w:rFonts w:ascii="Arial" w:hAnsi="Arial" w:cs="Arial"/>
                <w:sz w:val="20"/>
              </w:rPr>
              <w:t>ment</w:t>
            </w:r>
            <w:r w:rsidRPr="00F4114C">
              <w:rPr>
                <w:rFonts w:ascii="Arial" w:hAnsi="Arial" w:cs="Arial"/>
                <w:sz w:val="20"/>
              </w:rPr>
              <w:t xml:space="preserve"> for acute lymphoblastic leukemia (ALL)</w:t>
            </w:r>
            <w:r w:rsidR="002B625A">
              <w:rPr>
                <w:rFonts w:ascii="Arial" w:hAnsi="Arial" w:cs="Arial"/>
                <w:sz w:val="20"/>
              </w:rPr>
              <w:t xml:space="preserve"> or chronic myeloid leukemia (CML)</w:t>
            </w:r>
          </w:p>
          <w:p w:rsidR="008528F2" w:rsidRPr="00F4114C" w:rsidRDefault="008528F2" w:rsidP="008A5D35">
            <w:pPr>
              <w:numPr>
                <w:ilvl w:val="0"/>
                <w:numId w:val="8"/>
              </w:numPr>
              <w:tabs>
                <w:tab w:val="clear" w:pos="732"/>
                <w:tab w:val="num" w:pos="252"/>
              </w:tabs>
              <w:spacing w:after="60"/>
              <w:ind w:left="255" w:hanging="244"/>
              <w:rPr>
                <w:rFonts w:ascii="Arial" w:hAnsi="Arial" w:cs="Arial"/>
                <w:sz w:val="20"/>
              </w:rPr>
            </w:pPr>
            <w:r>
              <w:rPr>
                <w:rFonts w:ascii="Arial" w:hAnsi="Arial" w:cs="Arial"/>
                <w:sz w:val="20"/>
              </w:rPr>
              <w:t>test for immunoglobulin and T-cell receptor gene rearrangements for the detection of minimal residual disease in cancer patients.</w:t>
            </w:r>
          </w:p>
        </w:tc>
      </w:tr>
      <w:tr w:rsidR="0000795F" w:rsidRPr="00F4114C" w:rsidTr="004303F5">
        <w:trPr>
          <w:cantSplit/>
        </w:trPr>
        <w:tc>
          <w:tcPr>
            <w:tcW w:w="1920" w:type="dxa"/>
            <w:tcBorders>
              <w:top w:val="single" w:sz="4" w:space="0" w:color="auto"/>
              <w:bottom w:val="single" w:sz="4" w:space="0" w:color="auto"/>
            </w:tcBorders>
            <w:shd w:val="clear" w:color="auto" w:fill="E6E6E6"/>
          </w:tcPr>
          <w:p w:rsidR="0000795F" w:rsidRPr="00F4114C" w:rsidRDefault="0000795F" w:rsidP="00170E04">
            <w:pPr>
              <w:autoSpaceDE w:val="0"/>
              <w:autoSpaceDN w:val="0"/>
              <w:adjustRightInd w:val="0"/>
              <w:rPr>
                <w:rFonts w:ascii="Arial" w:hAnsi="Arial" w:cs="Arial"/>
                <w:sz w:val="20"/>
              </w:rPr>
            </w:pPr>
            <w:r w:rsidRPr="00F4114C">
              <w:rPr>
                <w:rFonts w:ascii="Arial" w:hAnsi="Arial" w:cs="Arial"/>
                <w:sz w:val="20"/>
              </w:rPr>
              <w:lastRenderedPageBreak/>
              <w:t>Predisposition</w:t>
            </w:r>
          </w:p>
        </w:tc>
        <w:tc>
          <w:tcPr>
            <w:tcW w:w="4080" w:type="dxa"/>
            <w:tcBorders>
              <w:top w:val="single" w:sz="4" w:space="0" w:color="auto"/>
              <w:bottom w:val="single" w:sz="4" w:space="0" w:color="auto"/>
            </w:tcBorders>
            <w:shd w:val="clear" w:color="auto" w:fill="E6E6E6"/>
          </w:tcPr>
          <w:p w:rsidR="0000795F" w:rsidRPr="00F4114C" w:rsidRDefault="0000795F" w:rsidP="008A5D35">
            <w:pPr>
              <w:autoSpaceDE w:val="0"/>
              <w:autoSpaceDN w:val="0"/>
              <w:adjustRightInd w:val="0"/>
              <w:rPr>
                <w:rFonts w:ascii="Arial" w:hAnsi="Arial" w:cs="Arial"/>
                <w:sz w:val="20"/>
              </w:rPr>
            </w:pPr>
            <w:r w:rsidRPr="00F4114C">
              <w:rPr>
                <w:rFonts w:ascii="Arial" w:hAnsi="Arial" w:cs="Arial"/>
                <w:sz w:val="20"/>
              </w:rPr>
              <w:t>Predisposition assays are used to determine the likelihood of disease onset (i.e. assessing the risk of developing the disease in future) in presymptomatic patients.</w:t>
            </w:r>
          </w:p>
          <w:p w:rsidR="0000795F" w:rsidRPr="00F4114C" w:rsidRDefault="0000795F" w:rsidP="0000795F">
            <w:pPr>
              <w:spacing w:before="60" w:after="60"/>
              <w:ind w:left="14"/>
              <w:rPr>
                <w:rFonts w:ascii="Arial" w:hAnsi="Arial" w:cs="Arial"/>
                <w:sz w:val="20"/>
              </w:rPr>
            </w:pPr>
            <w:r w:rsidRPr="00F4114C">
              <w:rPr>
                <w:rFonts w:ascii="Arial" w:hAnsi="Arial" w:cs="Arial"/>
                <w:sz w:val="20"/>
              </w:rPr>
              <w:t>For patients at sufficient risk (as determined by test results), preventive interventions may be taken.</w:t>
            </w:r>
          </w:p>
          <w:p w:rsidR="0000795F" w:rsidRPr="00F4114C" w:rsidRDefault="0000795F" w:rsidP="0000795F">
            <w:pPr>
              <w:spacing w:before="60" w:after="120"/>
              <w:ind w:left="14"/>
              <w:rPr>
                <w:rFonts w:ascii="Arial" w:hAnsi="Arial" w:cs="Arial"/>
                <w:sz w:val="20"/>
              </w:rPr>
            </w:pPr>
            <w:r w:rsidRPr="00F4114C">
              <w:rPr>
                <w:rFonts w:ascii="Arial" w:hAnsi="Arial" w:cs="Arial"/>
                <w:sz w:val="20"/>
              </w:rPr>
              <w:t>These tests are designed to evaluate a patient’s future state.</w:t>
            </w:r>
          </w:p>
        </w:tc>
        <w:tc>
          <w:tcPr>
            <w:tcW w:w="3360" w:type="dxa"/>
            <w:tcBorders>
              <w:top w:val="single" w:sz="4" w:space="0" w:color="auto"/>
              <w:bottom w:val="single" w:sz="4" w:space="0" w:color="auto"/>
            </w:tcBorders>
            <w:shd w:val="clear" w:color="auto" w:fill="E6E6E6"/>
          </w:tcPr>
          <w:p w:rsidR="0000795F" w:rsidRPr="00F4114C" w:rsidRDefault="0000795F" w:rsidP="008A5D35">
            <w:pPr>
              <w:numPr>
                <w:ilvl w:val="0"/>
                <w:numId w:val="8"/>
              </w:numPr>
              <w:tabs>
                <w:tab w:val="clear" w:pos="732"/>
                <w:tab w:val="num" w:pos="252"/>
              </w:tabs>
              <w:spacing w:after="60"/>
              <w:ind w:left="249" w:hanging="238"/>
              <w:rPr>
                <w:rFonts w:ascii="Arial" w:hAnsi="Arial" w:cs="Arial"/>
                <w:sz w:val="20"/>
              </w:rPr>
            </w:pPr>
            <w:r w:rsidRPr="00F4114C">
              <w:rPr>
                <w:rFonts w:ascii="Arial" w:hAnsi="Arial" w:cs="Arial"/>
                <w:sz w:val="20"/>
              </w:rPr>
              <w:t>genetic test for apolipoprotein E to assess the risk of developing Alzheimer’s disease</w:t>
            </w:r>
          </w:p>
          <w:p w:rsidR="0000795F" w:rsidRPr="00F4114C" w:rsidRDefault="0000795F" w:rsidP="008A5D35">
            <w:pPr>
              <w:numPr>
                <w:ilvl w:val="0"/>
                <w:numId w:val="8"/>
              </w:numPr>
              <w:tabs>
                <w:tab w:val="clear" w:pos="732"/>
                <w:tab w:val="num" w:pos="252"/>
              </w:tabs>
              <w:spacing w:after="60"/>
              <w:ind w:left="259" w:hanging="245"/>
              <w:rPr>
                <w:rFonts w:ascii="Arial" w:hAnsi="Arial" w:cs="Arial"/>
                <w:sz w:val="20"/>
              </w:rPr>
            </w:pPr>
            <w:r w:rsidRPr="00F4114C">
              <w:rPr>
                <w:rFonts w:ascii="Arial" w:hAnsi="Arial" w:cs="Arial"/>
                <w:sz w:val="20"/>
              </w:rPr>
              <w:t>BRCA1/BRCA2 mutation status testing to assess the risk of developing breast cancer (patient may choose to have prophylactic mastectomy if they are at sufficient risk)</w:t>
            </w:r>
          </w:p>
        </w:tc>
      </w:tr>
      <w:tr w:rsidR="0000795F" w:rsidRPr="00F4114C" w:rsidTr="004303F5">
        <w:trPr>
          <w:cantSplit/>
        </w:trPr>
        <w:tc>
          <w:tcPr>
            <w:tcW w:w="1920" w:type="dxa"/>
            <w:tcBorders>
              <w:top w:val="single" w:sz="4" w:space="0" w:color="auto"/>
              <w:bottom w:val="single" w:sz="4" w:space="0" w:color="auto"/>
            </w:tcBorders>
          </w:tcPr>
          <w:p w:rsidR="0000795F" w:rsidRPr="00F4114C" w:rsidRDefault="0000795F" w:rsidP="00170E04">
            <w:pPr>
              <w:autoSpaceDE w:val="0"/>
              <w:autoSpaceDN w:val="0"/>
              <w:adjustRightInd w:val="0"/>
              <w:rPr>
                <w:rFonts w:ascii="Arial" w:hAnsi="Arial" w:cs="Arial"/>
                <w:sz w:val="20"/>
              </w:rPr>
            </w:pPr>
            <w:r w:rsidRPr="00F4114C">
              <w:rPr>
                <w:rFonts w:ascii="Arial" w:hAnsi="Arial" w:cs="Arial"/>
                <w:sz w:val="20"/>
              </w:rPr>
              <w:t>Prognosis</w:t>
            </w:r>
          </w:p>
        </w:tc>
        <w:tc>
          <w:tcPr>
            <w:tcW w:w="4080" w:type="dxa"/>
            <w:tcBorders>
              <w:top w:val="single" w:sz="4" w:space="0" w:color="auto"/>
              <w:bottom w:val="single" w:sz="4" w:space="0" w:color="auto"/>
            </w:tcBorders>
          </w:tcPr>
          <w:p w:rsidR="0000795F" w:rsidRPr="00F4114C" w:rsidRDefault="0000795F" w:rsidP="00170E04">
            <w:pPr>
              <w:autoSpaceDE w:val="0"/>
              <w:autoSpaceDN w:val="0"/>
              <w:adjustRightInd w:val="0"/>
              <w:rPr>
                <w:rFonts w:ascii="Arial" w:hAnsi="Arial" w:cs="Arial"/>
                <w:sz w:val="20"/>
              </w:rPr>
            </w:pPr>
            <w:r w:rsidRPr="00F4114C">
              <w:rPr>
                <w:rFonts w:ascii="Arial" w:hAnsi="Arial" w:cs="Arial"/>
                <w:sz w:val="20"/>
              </w:rPr>
              <w:t xml:space="preserve">Prognostic tests are used to measure factors linked to clinical outcome irrespective of treatment. Such tests may be used to estimate the natural progression of a disease (i.e. outcome in the absence of treatment), or to determine the </w:t>
            </w:r>
            <w:bookmarkStart w:id="312" w:name="OLE_LINK4"/>
            <w:r w:rsidRPr="00F4114C">
              <w:rPr>
                <w:rFonts w:ascii="Arial" w:hAnsi="Arial" w:cs="Arial"/>
                <w:sz w:val="20"/>
              </w:rPr>
              <w:t>likelihood of a clinical outcome irrespective of therapeutic intervention</w:t>
            </w:r>
            <w:bookmarkEnd w:id="312"/>
            <w:r w:rsidRPr="00F4114C">
              <w:rPr>
                <w:rFonts w:ascii="Arial" w:hAnsi="Arial" w:cs="Arial"/>
                <w:sz w:val="20"/>
              </w:rPr>
              <w:t>.</w:t>
            </w:r>
          </w:p>
          <w:p w:rsidR="0000795F" w:rsidRPr="00F4114C" w:rsidRDefault="0000795F" w:rsidP="00170E04">
            <w:pPr>
              <w:spacing w:before="60" w:after="120"/>
              <w:ind w:left="14"/>
              <w:rPr>
                <w:rFonts w:ascii="Arial" w:hAnsi="Arial" w:cs="Arial"/>
                <w:sz w:val="20"/>
              </w:rPr>
            </w:pPr>
            <w:r w:rsidRPr="00F4114C">
              <w:rPr>
                <w:rFonts w:ascii="Arial" w:hAnsi="Arial" w:cs="Arial"/>
                <w:sz w:val="20"/>
              </w:rPr>
              <w:t>These tests are designed to evaluate a patient’s future state.</w:t>
            </w:r>
          </w:p>
        </w:tc>
        <w:tc>
          <w:tcPr>
            <w:tcW w:w="3360" w:type="dxa"/>
            <w:tcBorders>
              <w:top w:val="single" w:sz="4" w:space="0" w:color="auto"/>
              <w:bottom w:val="single" w:sz="4" w:space="0" w:color="auto"/>
            </w:tcBorders>
          </w:tcPr>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high sensitive C-reactive protein measurement for the risk stratification of patients with acute coronary syndromes to determine the likelihood of future cardiac events</w:t>
            </w:r>
          </w:p>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measurement of baseline HIV-1 RNA level to assess patient prognosis</w:t>
            </w:r>
          </w:p>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cancer gene expression profile testing for metastasis risk to tailor treatment aggressiveness</w:t>
            </w:r>
          </w:p>
        </w:tc>
      </w:tr>
      <w:tr w:rsidR="0000795F" w:rsidRPr="00F4114C" w:rsidTr="004303F5">
        <w:trPr>
          <w:cantSplit/>
        </w:trPr>
        <w:tc>
          <w:tcPr>
            <w:tcW w:w="1920" w:type="dxa"/>
            <w:tcBorders>
              <w:top w:val="single" w:sz="4" w:space="0" w:color="auto"/>
              <w:bottom w:val="single" w:sz="4" w:space="0" w:color="auto"/>
            </w:tcBorders>
            <w:shd w:val="clear" w:color="auto" w:fill="E6E6E6"/>
          </w:tcPr>
          <w:p w:rsidR="0000795F" w:rsidRPr="00F4114C" w:rsidRDefault="0000795F" w:rsidP="00170E04">
            <w:pPr>
              <w:autoSpaceDE w:val="0"/>
              <w:autoSpaceDN w:val="0"/>
              <w:adjustRightInd w:val="0"/>
              <w:rPr>
                <w:rFonts w:ascii="Arial" w:hAnsi="Arial" w:cs="Arial"/>
                <w:sz w:val="20"/>
                <w:lang w:eastAsia="ja-JP"/>
              </w:rPr>
            </w:pPr>
            <w:r w:rsidRPr="00F4114C">
              <w:rPr>
                <w:rFonts w:ascii="Arial" w:hAnsi="Arial" w:cs="Arial"/>
                <w:sz w:val="20"/>
              </w:rPr>
              <w:t>Prediction</w:t>
            </w:r>
            <w:r w:rsidRPr="00F4114C">
              <w:rPr>
                <w:rFonts w:ascii="Arial" w:hAnsi="Arial" w:cs="Arial"/>
                <w:sz w:val="20"/>
              </w:rPr>
              <w:br/>
              <w:t>(of Treatment Response or Reaction)</w:t>
            </w:r>
          </w:p>
        </w:tc>
        <w:tc>
          <w:tcPr>
            <w:tcW w:w="4080" w:type="dxa"/>
            <w:tcBorders>
              <w:top w:val="single" w:sz="4" w:space="0" w:color="auto"/>
              <w:bottom w:val="single" w:sz="4" w:space="0" w:color="auto"/>
            </w:tcBorders>
            <w:shd w:val="clear" w:color="auto" w:fill="E6E6E6"/>
          </w:tcPr>
          <w:p w:rsidR="0000795F" w:rsidRPr="00F4114C" w:rsidRDefault="0000795F" w:rsidP="008A5D35">
            <w:pPr>
              <w:autoSpaceDE w:val="0"/>
              <w:autoSpaceDN w:val="0"/>
              <w:adjustRightInd w:val="0"/>
              <w:rPr>
                <w:rFonts w:ascii="Arial" w:hAnsi="Arial" w:cs="Arial"/>
                <w:sz w:val="20"/>
              </w:rPr>
            </w:pPr>
            <w:r w:rsidRPr="00F4114C">
              <w:rPr>
                <w:rFonts w:ascii="Arial" w:hAnsi="Arial" w:cs="Arial"/>
                <w:sz w:val="20"/>
              </w:rPr>
              <w:t>Predictive tests are used to measure factors that determine the likelihood of patient responses or adverse reactions to a specific therapy.</w:t>
            </w:r>
          </w:p>
          <w:p w:rsidR="0000795F" w:rsidRPr="00F4114C" w:rsidRDefault="0000795F" w:rsidP="00D93A42">
            <w:pPr>
              <w:spacing w:before="60" w:after="60"/>
              <w:ind w:left="14"/>
              <w:rPr>
                <w:rFonts w:ascii="Arial" w:hAnsi="Arial" w:cs="Arial"/>
                <w:sz w:val="20"/>
              </w:rPr>
            </w:pPr>
            <w:r w:rsidRPr="00F4114C">
              <w:rPr>
                <w:rFonts w:ascii="Arial" w:hAnsi="Arial" w:cs="Arial"/>
                <w:sz w:val="20"/>
              </w:rPr>
              <w:t xml:space="preserve">Predictive tests designed specifically for use with a targeted therapy are sometimes termed </w:t>
            </w:r>
            <w:r w:rsidR="00170E04">
              <w:rPr>
                <w:rFonts w:ascii="Arial" w:hAnsi="Arial" w:cs="Arial"/>
                <w:sz w:val="20"/>
              </w:rPr>
              <w:t>‘</w:t>
            </w:r>
            <w:r w:rsidRPr="00F4114C">
              <w:rPr>
                <w:rFonts w:ascii="Arial" w:hAnsi="Arial" w:cs="Arial"/>
                <w:sz w:val="20"/>
              </w:rPr>
              <w:t>companion diagnostics</w:t>
            </w:r>
            <w:r w:rsidR="00170E04">
              <w:rPr>
                <w:rFonts w:ascii="Arial" w:hAnsi="Arial" w:cs="Arial"/>
                <w:sz w:val="20"/>
              </w:rPr>
              <w:t>’</w:t>
            </w:r>
            <w:r w:rsidRPr="00F4114C">
              <w:rPr>
                <w:rFonts w:ascii="Arial" w:hAnsi="Arial" w:cs="Arial"/>
                <w:sz w:val="20"/>
              </w:rPr>
              <w:t xml:space="preserve"> or </w:t>
            </w:r>
          </w:p>
          <w:p w:rsidR="0000795F" w:rsidRPr="00F4114C" w:rsidRDefault="00170E04" w:rsidP="00D93A42">
            <w:pPr>
              <w:spacing w:before="60" w:after="60"/>
              <w:ind w:left="14"/>
              <w:rPr>
                <w:rFonts w:ascii="Arial" w:hAnsi="Arial" w:cs="Arial"/>
                <w:sz w:val="20"/>
              </w:rPr>
            </w:pPr>
            <w:r>
              <w:rPr>
                <w:rFonts w:ascii="Arial" w:hAnsi="Arial" w:cs="Arial"/>
                <w:sz w:val="20"/>
              </w:rPr>
              <w:t>‘</w:t>
            </w:r>
            <w:r w:rsidR="0000795F" w:rsidRPr="00F4114C">
              <w:rPr>
                <w:rFonts w:ascii="Arial" w:hAnsi="Arial" w:cs="Arial"/>
                <w:sz w:val="20"/>
              </w:rPr>
              <w:t>personalized medicine</w:t>
            </w:r>
            <w:r>
              <w:rPr>
                <w:rFonts w:ascii="Arial" w:hAnsi="Arial" w:cs="Arial"/>
                <w:sz w:val="20"/>
              </w:rPr>
              <w:t>’</w:t>
            </w:r>
            <w:r w:rsidR="0000795F" w:rsidRPr="00F4114C">
              <w:rPr>
                <w:rFonts w:ascii="Arial" w:hAnsi="Arial" w:cs="Arial"/>
                <w:sz w:val="20"/>
              </w:rPr>
              <w:t>.</w:t>
            </w:r>
          </w:p>
          <w:p w:rsidR="0000795F" w:rsidRPr="00F4114C" w:rsidRDefault="0000795F" w:rsidP="00D93A42">
            <w:pPr>
              <w:spacing w:before="60" w:after="120"/>
              <w:ind w:left="14"/>
              <w:rPr>
                <w:rFonts w:ascii="Arial" w:hAnsi="Arial" w:cs="Arial"/>
                <w:sz w:val="20"/>
                <w:highlight w:val="yellow"/>
              </w:rPr>
            </w:pPr>
            <w:r w:rsidRPr="00F4114C">
              <w:rPr>
                <w:rFonts w:ascii="Arial" w:hAnsi="Arial" w:cs="Arial"/>
                <w:sz w:val="20"/>
              </w:rPr>
              <w:t>These tests are designed to evaluate a patient’s future state.</w:t>
            </w:r>
          </w:p>
        </w:tc>
        <w:tc>
          <w:tcPr>
            <w:tcW w:w="3360" w:type="dxa"/>
            <w:tcBorders>
              <w:top w:val="single" w:sz="4" w:space="0" w:color="auto"/>
              <w:bottom w:val="single" w:sz="4" w:space="0" w:color="auto"/>
            </w:tcBorders>
            <w:shd w:val="clear" w:color="auto" w:fill="E6E6E6"/>
          </w:tcPr>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HER-2/neu testing in breast cancer patients to assess likelihood of response to hormone therapy</w:t>
            </w:r>
          </w:p>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identification of variations in cytochrome P450 genes (i.e. metabolizer status) to determine potential therapeutic benefits and/or adverse reactions to antiplatelet treatment</w:t>
            </w:r>
          </w:p>
        </w:tc>
      </w:tr>
      <w:tr w:rsidR="0000795F" w:rsidRPr="00F4114C" w:rsidTr="004303F5">
        <w:trPr>
          <w:cantSplit/>
        </w:trPr>
        <w:tc>
          <w:tcPr>
            <w:tcW w:w="1920" w:type="dxa"/>
            <w:tcBorders>
              <w:top w:val="single" w:sz="4" w:space="0" w:color="auto"/>
              <w:bottom w:val="single" w:sz="12" w:space="0" w:color="auto"/>
            </w:tcBorders>
            <w:shd w:val="clear" w:color="auto" w:fill="FFFFFF"/>
          </w:tcPr>
          <w:p w:rsidR="0000795F" w:rsidRPr="00F4114C" w:rsidRDefault="0000795F" w:rsidP="00170E04">
            <w:pPr>
              <w:autoSpaceDE w:val="0"/>
              <w:autoSpaceDN w:val="0"/>
              <w:adjustRightInd w:val="0"/>
              <w:rPr>
                <w:rFonts w:ascii="Arial" w:hAnsi="Arial" w:cs="Arial"/>
                <w:sz w:val="20"/>
              </w:rPr>
            </w:pPr>
            <w:r w:rsidRPr="00F4114C">
              <w:rPr>
                <w:rFonts w:ascii="Arial" w:hAnsi="Arial" w:cs="Arial"/>
                <w:sz w:val="20"/>
              </w:rPr>
              <w:t>Determination</w:t>
            </w:r>
            <w:r w:rsidRPr="00F4114C">
              <w:rPr>
                <w:rFonts w:ascii="Arial" w:hAnsi="Arial" w:cs="Arial" w:hint="eastAsia"/>
                <w:sz w:val="20"/>
              </w:rPr>
              <w:t xml:space="preserve"> of </w:t>
            </w:r>
            <w:r w:rsidRPr="00F4114C">
              <w:rPr>
                <w:rFonts w:ascii="Arial" w:hAnsi="Arial" w:cs="Arial"/>
                <w:sz w:val="20"/>
              </w:rPr>
              <w:t>Physiological Status</w:t>
            </w:r>
          </w:p>
        </w:tc>
        <w:tc>
          <w:tcPr>
            <w:tcW w:w="4080" w:type="dxa"/>
            <w:tcBorders>
              <w:top w:val="single" w:sz="4" w:space="0" w:color="auto"/>
              <w:bottom w:val="single" w:sz="12" w:space="0" w:color="auto"/>
            </w:tcBorders>
            <w:shd w:val="clear" w:color="auto" w:fill="FFFFFF"/>
          </w:tcPr>
          <w:p w:rsidR="0000795F" w:rsidRPr="00F4114C" w:rsidRDefault="00892EF5" w:rsidP="008A5D35">
            <w:pPr>
              <w:autoSpaceDE w:val="0"/>
              <w:autoSpaceDN w:val="0"/>
              <w:adjustRightInd w:val="0"/>
              <w:rPr>
                <w:rFonts w:ascii="Arial" w:hAnsi="Arial" w:cs="Arial"/>
                <w:sz w:val="20"/>
              </w:rPr>
            </w:pPr>
            <w:r>
              <w:rPr>
                <w:rFonts w:ascii="Arial" w:hAnsi="Arial" w:cs="Arial"/>
                <w:sz w:val="20"/>
              </w:rPr>
              <w:t>Physiological status determination t</w:t>
            </w:r>
            <w:r w:rsidR="0000795F" w:rsidRPr="00F4114C">
              <w:rPr>
                <w:rFonts w:ascii="Arial" w:hAnsi="Arial" w:cs="Arial"/>
                <w:sz w:val="20"/>
              </w:rPr>
              <w:t>ests are used to evaluate the physiological state of an individual for the purpose of identifying a human condition or characteristic.</w:t>
            </w:r>
          </w:p>
          <w:p w:rsidR="0000795F" w:rsidRPr="00F4114C" w:rsidRDefault="0000795F" w:rsidP="00D93A42">
            <w:pPr>
              <w:spacing w:before="120" w:after="60"/>
              <w:ind w:left="12"/>
              <w:rPr>
                <w:rFonts w:ascii="Arial" w:hAnsi="Arial" w:cs="Arial"/>
                <w:sz w:val="20"/>
              </w:rPr>
            </w:pPr>
            <w:r w:rsidRPr="00F4114C">
              <w:rPr>
                <w:rFonts w:ascii="Arial" w:hAnsi="Arial" w:cs="Arial"/>
                <w:sz w:val="20"/>
              </w:rPr>
              <w:t>These tests are designed to evaluate a patient’s current state.</w:t>
            </w:r>
          </w:p>
        </w:tc>
        <w:tc>
          <w:tcPr>
            <w:tcW w:w="3360" w:type="dxa"/>
            <w:tcBorders>
              <w:top w:val="single" w:sz="4" w:space="0" w:color="auto"/>
              <w:bottom w:val="single" w:sz="12" w:space="0" w:color="auto"/>
            </w:tcBorders>
            <w:shd w:val="clear" w:color="auto" w:fill="FFFFFF"/>
          </w:tcPr>
          <w:p w:rsidR="0000795F" w:rsidRPr="00F4114C" w:rsidRDefault="0000795F" w:rsidP="008A5D35">
            <w:pPr>
              <w:numPr>
                <w:ilvl w:val="0"/>
                <w:numId w:val="8"/>
              </w:numPr>
              <w:tabs>
                <w:tab w:val="clear" w:pos="732"/>
                <w:tab w:val="num" w:pos="252"/>
              </w:tabs>
              <w:spacing w:after="60"/>
              <w:ind w:left="255" w:hanging="244"/>
              <w:rPr>
                <w:rFonts w:ascii="Arial" w:hAnsi="Arial" w:cs="Arial"/>
                <w:sz w:val="20"/>
              </w:rPr>
            </w:pPr>
            <w:r w:rsidRPr="00F4114C">
              <w:rPr>
                <w:rFonts w:ascii="Arial" w:hAnsi="Arial" w:cs="Arial"/>
                <w:sz w:val="20"/>
              </w:rPr>
              <w:t>hCG test for the determination of pregnancy</w:t>
            </w:r>
          </w:p>
        </w:tc>
      </w:tr>
    </w:tbl>
    <w:p w:rsidR="009E45F5" w:rsidRDefault="009E45F5" w:rsidP="0000795F">
      <w:pPr>
        <w:rPr>
          <w:lang w:eastAsia="ja-JP"/>
        </w:rPr>
      </w:pPr>
    </w:p>
    <w:p w:rsidR="0000795F" w:rsidRDefault="004303F5" w:rsidP="0000795F">
      <w:r>
        <w:br w:type="page"/>
      </w:r>
      <w:r w:rsidR="00C45529" w:rsidRPr="00C45529">
        <w:lastRenderedPageBreak/>
        <w:t>Depending on its intended use, an IVD medical device may have one or more test purposes. For example, a nucleic acid-based infectious disease assay may be used for diagnosis (testing in patients suspected to be infected), screening (testing in asymptomatic patients) and monitoring (determination of viral load to assess effectiveness of treatment).</w:t>
      </w:r>
    </w:p>
    <w:p w:rsidR="00A174EC" w:rsidRDefault="00A174EC" w:rsidP="0000795F"/>
    <w:p w:rsidR="0067323A" w:rsidRDefault="00C45529" w:rsidP="009D6982">
      <w:pPr>
        <w:rPr>
          <w:lang w:eastAsia="ja-JP"/>
        </w:rPr>
      </w:pPr>
      <w:r w:rsidRPr="00C45529">
        <w:t xml:space="preserve">In some cases, it may be difficult to define a distinct test purpose, especially when one is dependent on (or linked to) another. For example, </w:t>
      </w:r>
      <w:r w:rsidR="00CA6F17">
        <w:t xml:space="preserve">a </w:t>
      </w:r>
      <w:r w:rsidR="00DD3439">
        <w:t>single</w:t>
      </w:r>
      <w:r w:rsidR="00CA6F17">
        <w:t xml:space="preserve"> genetic test may be used to </w:t>
      </w:r>
      <w:r w:rsidRPr="00C45529">
        <w:t xml:space="preserve">detect the genotype (i.e. screening) </w:t>
      </w:r>
      <w:r w:rsidR="00CA6F17">
        <w:t xml:space="preserve">as well as providing </w:t>
      </w:r>
      <w:r w:rsidRPr="00C45529">
        <w:t>the likelihood of developing the condition (i.e. predisposition).</w:t>
      </w:r>
    </w:p>
    <w:sectPr w:rsidR="0067323A" w:rsidSect="008B43F4">
      <w:pgSz w:w="12240" w:h="15840" w:code="1"/>
      <w:pgMar w:top="1138"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0E1" w:rsidRDefault="003D20E1">
      <w:r>
        <w:separator/>
      </w:r>
    </w:p>
  </w:endnote>
  <w:endnote w:type="continuationSeparator" w:id="0">
    <w:p w:rsidR="003D20E1" w:rsidRDefault="003D20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4788"/>
      <w:gridCol w:w="4788"/>
    </w:tblGrid>
    <w:tr w:rsidR="001E0DE6" w:rsidRPr="00F4114C">
      <w:tc>
        <w:tcPr>
          <w:tcW w:w="4788" w:type="dxa"/>
        </w:tcPr>
        <w:p w:rsidR="001E0DE6" w:rsidRPr="00F4114C" w:rsidRDefault="001E0DE6" w:rsidP="00601128">
          <w:pPr>
            <w:pStyle w:val="Footer"/>
            <w:rPr>
              <w:sz w:val="20"/>
              <w:lang w:eastAsia="ja-JP"/>
            </w:rPr>
          </w:pPr>
          <w:r>
            <w:rPr>
              <w:rFonts w:hint="eastAsia"/>
              <w:sz w:val="20"/>
              <w:lang w:eastAsia="ja-JP"/>
            </w:rPr>
            <w:t>November 2</w:t>
          </w:r>
          <w:r w:rsidRPr="00F05652">
            <w:rPr>
              <w:rFonts w:hint="eastAsia"/>
              <w:sz w:val="20"/>
              <w:vertAlign w:val="superscript"/>
              <w:lang w:eastAsia="ja-JP"/>
            </w:rPr>
            <w:t>nd</w:t>
          </w:r>
          <w:r w:rsidRPr="006B58B7">
            <w:rPr>
              <w:sz w:val="20"/>
            </w:rPr>
            <w:t>, 2012</w:t>
          </w:r>
        </w:p>
      </w:tc>
      <w:tc>
        <w:tcPr>
          <w:tcW w:w="4788" w:type="dxa"/>
        </w:tcPr>
        <w:p w:rsidR="001E0DE6" w:rsidRPr="00F4114C" w:rsidRDefault="001E0DE6">
          <w:pPr>
            <w:pStyle w:val="Footer"/>
            <w:jc w:val="right"/>
            <w:rPr>
              <w:sz w:val="20"/>
            </w:rPr>
          </w:pPr>
          <w:r w:rsidRPr="00F4114C">
            <w:rPr>
              <w:snapToGrid w:val="0"/>
              <w:sz w:val="20"/>
            </w:rPr>
            <w:t xml:space="preserve">Page </w:t>
          </w:r>
          <w:r w:rsidR="00F94AE4" w:rsidRPr="00F4114C">
            <w:rPr>
              <w:snapToGrid w:val="0"/>
              <w:sz w:val="20"/>
            </w:rPr>
            <w:fldChar w:fldCharType="begin"/>
          </w:r>
          <w:r w:rsidRPr="00F4114C">
            <w:rPr>
              <w:snapToGrid w:val="0"/>
              <w:sz w:val="20"/>
            </w:rPr>
            <w:instrText xml:space="preserve"> PAGE </w:instrText>
          </w:r>
          <w:r w:rsidR="00F94AE4" w:rsidRPr="00F4114C">
            <w:rPr>
              <w:snapToGrid w:val="0"/>
              <w:sz w:val="20"/>
            </w:rPr>
            <w:fldChar w:fldCharType="separate"/>
          </w:r>
          <w:r w:rsidR="002351FA">
            <w:rPr>
              <w:noProof/>
              <w:snapToGrid w:val="0"/>
              <w:sz w:val="20"/>
            </w:rPr>
            <w:t>2</w:t>
          </w:r>
          <w:r w:rsidR="00F94AE4" w:rsidRPr="00F4114C">
            <w:rPr>
              <w:snapToGrid w:val="0"/>
              <w:sz w:val="20"/>
            </w:rPr>
            <w:fldChar w:fldCharType="end"/>
          </w:r>
          <w:r w:rsidRPr="00F4114C">
            <w:rPr>
              <w:snapToGrid w:val="0"/>
              <w:sz w:val="20"/>
            </w:rPr>
            <w:t xml:space="preserve"> of </w:t>
          </w:r>
          <w:r w:rsidR="00F94AE4" w:rsidRPr="00F4114C">
            <w:rPr>
              <w:snapToGrid w:val="0"/>
              <w:sz w:val="20"/>
            </w:rPr>
            <w:fldChar w:fldCharType="begin"/>
          </w:r>
          <w:r w:rsidRPr="00F4114C">
            <w:rPr>
              <w:snapToGrid w:val="0"/>
              <w:sz w:val="20"/>
            </w:rPr>
            <w:instrText xml:space="preserve"> NUMPAGES </w:instrText>
          </w:r>
          <w:r w:rsidR="00F94AE4" w:rsidRPr="00F4114C">
            <w:rPr>
              <w:snapToGrid w:val="0"/>
              <w:sz w:val="20"/>
            </w:rPr>
            <w:fldChar w:fldCharType="separate"/>
          </w:r>
          <w:r w:rsidR="002351FA">
            <w:rPr>
              <w:noProof/>
              <w:snapToGrid w:val="0"/>
              <w:sz w:val="20"/>
            </w:rPr>
            <w:t>21</w:t>
          </w:r>
          <w:r w:rsidR="00F94AE4" w:rsidRPr="00F4114C">
            <w:rPr>
              <w:snapToGrid w:val="0"/>
              <w:sz w:val="20"/>
            </w:rPr>
            <w:fldChar w:fldCharType="end"/>
          </w:r>
        </w:p>
      </w:tc>
    </w:tr>
  </w:tbl>
  <w:p w:rsidR="001E0DE6" w:rsidRDefault="001E0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0E1" w:rsidRDefault="003D20E1">
      <w:r>
        <w:separator/>
      </w:r>
    </w:p>
  </w:footnote>
  <w:footnote w:type="continuationSeparator" w:id="0">
    <w:p w:rsidR="003D20E1" w:rsidRDefault="003D2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DE6" w:rsidRDefault="001E0DE6" w:rsidP="00782ECA">
    <w:pPr>
      <w:pStyle w:val="Header"/>
      <w:jc w:val="center"/>
      <w:rPr>
        <w:sz w:val="20"/>
      </w:rPr>
    </w:pPr>
    <w:r>
      <w:rPr>
        <w:sz w:val="20"/>
      </w:rPr>
      <w:t>Clinical Evidence for IVD Medical Devices - Clinical Performance Studies for In Vitro Diagnostic Medical Devices</w:t>
    </w:r>
  </w:p>
  <w:p w:rsidR="001E0DE6" w:rsidRDefault="001E0DE6" w:rsidP="00782ECA">
    <w:pPr>
      <w:pStyle w:val="Header"/>
      <w:pBdr>
        <w:bottom w:val="single" w:sz="4" w:space="1" w:color="auto"/>
      </w:pBdr>
      <w:jc w:val="center"/>
      <w:rPr>
        <w:sz w:val="20"/>
        <w:lang w:eastAsia="ja-JP"/>
      </w:rPr>
    </w:pPr>
    <w:r>
      <w:rPr>
        <w:sz w:val="20"/>
      </w:rPr>
      <w:t xml:space="preserve">Study Group 5 </w:t>
    </w:r>
    <w:r w:rsidR="00EA5225">
      <w:rPr>
        <w:rFonts w:hint="eastAsia"/>
        <w:sz w:val="20"/>
        <w:lang w:eastAsia="ja-JP"/>
      </w:rPr>
      <w:t>Final</w:t>
    </w:r>
    <w:r>
      <w:rPr>
        <w:rFonts w:hint="eastAsia"/>
        <w:sz w:val="20"/>
        <w:lang w:eastAsia="ja-JP"/>
      </w:rPr>
      <w:t xml:space="preserve"> Document</w:t>
    </w:r>
    <w:r>
      <w:rPr>
        <w:sz w:val="20"/>
      </w:rPr>
      <w:t xml:space="preserve"> </w:t>
    </w:r>
    <w:r w:rsidR="00EA5225">
      <w:rPr>
        <w:rFonts w:hint="eastAsia"/>
        <w:sz w:val="20"/>
        <w:lang w:eastAsia="ja-JP"/>
      </w:rPr>
      <w:t>GHTF/</w:t>
    </w:r>
    <w:r>
      <w:rPr>
        <w:sz w:val="20"/>
      </w:rPr>
      <w:t>SG5</w:t>
    </w:r>
    <w:r>
      <w:rPr>
        <w:rFonts w:hint="eastAsia"/>
        <w:sz w:val="20"/>
        <w:lang w:eastAsia="ja-JP"/>
      </w:rPr>
      <w:t>/</w:t>
    </w:r>
    <w:r>
      <w:rPr>
        <w:sz w:val="20"/>
      </w:rPr>
      <w:t>N8</w:t>
    </w:r>
    <w:r w:rsidR="00EA5225">
      <w:rPr>
        <w:rFonts w:hint="eastAsia"/>
        <w:sz w:val="20"/>
        <w:lang w:eastAsia="ja-JP"/>
      </w:rPr>
      <w:t>:2012</w:t>
    </w:r>
  </w:p>
  <w:p w:rsidR="001E0DE6" w:rsidRDefault="001E0DE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F60"/>
    <w:multiLevelType w:val="hybridMultilevel"/>
    <w:tmpl w:val="4268E4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983193"/>
    <w:multiLevelType w:val="hybridMultilevel"/>
    <w:tmpl w:val="6F9C461C"/>
    <w:lvl w:ilvl="0" w:tplc="5B7887B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5377AA"/>
    <w:multiLevelType w:val="hybridMultilevel"/>
    <w:tmpl w:val="03D438FC"/>
    <w:lvl w:ilvl="0" w:tplc="9162CEDA">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190785B"/>
    <w:multiLevelType w:val="multilevel"/>
    <w:tmpl w:val="8F9CEF3E"/>
    <w:styleLink w:val="Bullet1"/>
    <w:lvl w:ilvl="0">
      <w:start w:val="1"/>
      <w:numFmt w:val="bullet"/>
      <w:lvlText w:val=""/>
      <w:lvlJc w:val="left"/>
      <w:pPr>
        <w:tabs>
          <w:tab w:val="num" w:pos="1440"/>
        </w:tabs>
        <w:ind w:left="1440" w:hanging="646"/>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38918DE"/>
    <w:multiLevelType w:val="hybridMultilevel"/>
    <w:tmpl w:val="6C0CA5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2B1D6B"/>
    <w:multiLevelType w:val="multilevel"/>
    <w:tmpl w:val="8F9CEF3E"/>
    <w:numStyleLink w:val="Bullet1"/>
  </w:abstractNum>
  <w:abstractNum w:abstractNumId="6">
    <w:nsid w:val="223B5B7E"/>
    <w:multiLevelType w:val="multilevel"/>
    <w:tmpl w:val="6D84CB5C"/>
    <w:lvl w:ilvl="0">
      <w:start w:val="1"/>
      <w:numFmt w:val="decimal"/>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275350A1"/>
    <w:multiLevelType w:val="hybridMultilevel"/>
    <w:tmpl w:val="7E7C025E"/>
    <w:lvl w:ilvl="0" w:tplc="5B7887B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C30DAC"/>
    <w:multiLevelType w:val="hybridMultilevel"/>
    <w:tmpl w:val="5E44D1D4"/>
    <w:lvl w:ilvl="0" w:tplc="5B7887B8">
      <w:start w:val="1"/>
      <w:numFmt w:val="bullet"/>
      <w:lvlText w:val=""/>
      <w:lvlJc w:val="left"/>
      <w:pPr>
        <w:tabs>
          <w:tab w:val="num" w:pos="732"/>
        </w:tabs>
        <w:ind w:left="732" w:hanging="360"/>
      </w:pPr>
      <w:rPr>
        <w:rFonts w:ascii="Wingdings" w:hAnsi="Wingdings"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9">
    <w:nsid w:val="55847FE6"/>
    <w:multiLevelType w:val="hybridMultilevel"/>
    <w:tmpl w:val="C9B6089C"/>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C124E9"/>
    <w:multiLevelType w:val="hybridMultilevel"/>
    <w:tmpl w:val="59D6E042"/>
    <w:lvl w:ilvl="0" w:tplc="9162CEDA">
      <w:start w:val="1"/>
      <w:numFmt w:val="bullet"/>
      <w:lvlText w:val=""/>
      <w:lvlJc w:val="left"/>
      <w:pPr>
        <w:tabs>
          <w:tab w:val="num" w:pos="567"/>
        </w:tabs>
        <w:ind w:left="567"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ED81D37"/>
    <w:multiLevelType w:val="hybridMultilevel"/>
    <w:tmpl w:val="058AC03E"/>
    <w:lvl w:ilvl="0" w:tplc="E33E6096">
      <w:start w:val="3"/>
      <w:numFmt w:val="bullet"/>
      <w:lvlText w:val="-"/>
      <w:lvlJc w:val="left"/>
      <w:pPr>
        <w:ind w:left="720" w:hanging="360"/>
      </w:pPr>
      <w:rPr>
        <w:rFonts w:ascii="Times New Roman" w:eastAsia="Times New Roman" w:hAnsi="Times New Roman" w:cs="Times New Roman" w:hint="default"/>
      </w:rPr>
    </w:lvl>
    <w:lvl w:ilvl="1" w:tplc="5B7887B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160"/>
        </w:tabs>
        <w:ind w:left="216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E91E13"/>
    <w:multiLevelType w:val="hybridMultilevel"/>
    <w:tmpl w:val="0A0E38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2F0D63"/>
    <w:multiLevelType w:val="hybridMultilevel"/>
    <w:tmpl w:val="A68AAE10"/>
    <w:lvl w:ilvl="0" w:tplc="637AB4DA">
      <w:start w:val="1"/>
      <w:numFmt w:val="bullet"/>
      <w:lvlText w:val=""/>
      <w:lvlJc w:val="left"/>
      <w:pPr>
        <w:tabs>
          <w:tab w:val="num" w:pos="360"/>
        </w:tabs>
        <w:ind w:left="36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3"/>
  </w:num>
  <w:num w:numId="3">
    <w:abstractNumId w:val="2"/>
  </w:num>
  <w:num w:numId="4">
    <w:abstractNumId w:val="10"/>
  </w:num>
  <w:num w:numId="5">
    <w:abstractNumId w:val="1"/>
  </w:num>
  <w:num w:numId="6">
    <w:abstractNumId w:val="11"/>
  </w:num>
  <w:num w:numId="7">
    <w:abstractNumId w:val="7"/>
  </w:num>
  <w:num w:numId="8">
    <w:abstractNumId w:val="8"/>
  </w:num>
  <w:num w:numId="9">
    <w:abstractNumId w:val="12"/>
  </w:num>
  <w:num w:numId="10">
    <w:abstractNumId w:val="4"/>
  </w:num>
  <w:num w:numId="11">
    <w:abstractNumId w:val="3"/>
  </w:num>
  <w:num w:numId="12">
    <w:abstractNumId w:val="5"/>
  </w:num>
  <w:num w:numId="13">
    <w:abstractNumId w:val="6"/>
  </w:num>
  <w:num w:numId="14">
    <w:abstractNumId w:val="9"/>
  </w:num>
  <w:num w:numId="15">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drawingGridHorizontalSpacing w:val="120"/>
  <w:displayHorizontalDrawingGridEvery w:val="0"/>
  <w:displayVertic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78EA"/>
    <w:rsid w:val="0000155E"/>
    <w:rsid w:val="00001C76"/>
    <w:rsid w:val="000026EC"/>
    <w:rsid w:val="00007127"/>
    <w:rsid w:val="0000795F"/>
    <w:rsid w:val="00010935"/>
    <w:rsid w:val="000118D9"/>
    <w:rsid w:val="00012BDB"/>
    <w:rsid w:val="00013FD7"/>
    <w:rsid w:val="000224A3"/>
    <w:rsid w:val="00022B2E"/>
    <w:rsid w:val="0002324A"/>
    <w:rsid w:val="00023547"/>
    <w:rsid w:val="0002488F"/>
    <w:rsid w:val="0002528E"/>
    <w:rsid w:val="00025FA2"/>
    <w:rsid w:val="00026167"/>
    <w:rsid w:val="0002687F"/>
    <w:rsid w:val="0003332F"/>
    <w:rsid w:val="00033510"/>
    <w:rsid w:val="00036399"/>
    <w:rsid w:val="00040067"/>
    <w:rsid w:val="00041A56"/>
    <w:rsid w:val="000421F8"/>
    <w:rsid w:val="000428EA"/>
    <w:rsid w:val="00043A01"/>
    <w:rsid w:val="00043A3C"/>
    <w:rsid w:val="0004451E"/>
    <w:rsid w:val="00044EC2"/>
    <w:rsid w:val="000463F2"/>
    <w:rsid w:val="0005535C"/>
    <w:rsid w:val="00061501"/>
    <w:rsid w:val="000662F8"/>
    <w:rsid w:val="00066951"/>
    <w:rsid w:val="0007058F"/>
    <w:rsid w:val="00070C7A"/>
    <w:rsid w:val="00072658"/>
    <w:rsid w:val="00076BF2"/>
    <w:rsid w:val="00080984"/>
    <w:rsid w:val="00081479"/>
    <w:rsid w:val="00082544"/>
    <w:rsid w:val="00082629"/>
    <w:rsid w:val="00084CA4"/>
    <w:rsid w:val="000852CE"/>
    <w:rsid w:val="000854B6"/>
    <w:rsid w:val="00097A60"/>
    <w:rsid w:val="000A01A1"/>
    <w:rsid w:val="000A1452"/>
    <w:rsid w:val="000A165E"/>
    <w:rsid w:val="000A202A"/>
    <w:rsid w:val="000A2661"/>
    <w:rsid w:val="000A2D2C"/>
    <w:rsid w:val="000A342E"/>
    <w:rsid w:val="000A40E6"/>
    <w:rsid w:val="000A4B47"/>
    <w:rsid w:val="000A7205"/>
    <w:rsid w:val="000B395B"/>
    <w:rsid w:val="000B414E"/>
    <w:rsid w:val="000B43F2"/>
    <w:rsid w:val="000B6204"/>
    <w:rsid w:val="000B6234"/>
    <w:rsid w:val="000B777F"/>
    <w:rsid w:val="000C3271"/>
    <w:rsid w:val="000C36F4"/>
    <w:rsid w:val="000C4FAB"/>
    <w:rsid w:val="000D0E31"/>
    <w:rsid w:val="000D1BC5"/>
    <w:rsid w:val="000D1C6F"/>
    <w:rsid w:val="000D3CE6"/>
    <w:rsid w:val="000D6A89"/>
    <w:rsid w:val="000E28F4"/>
    <w:rsid w:val="000E7004"/>
    <w:rsid w:val="000F3995"/>
    <w:rsid w:val="000F3EEF"/>
    <w:rsid w:val="000F4325"/>
    <w:rsid w:val="000F6987"/>
    <w:rsid w:val="000F7F0F"/>
    <w:rsid w:val="000F7F55"/>
    <w:rsid w:val="0010018F"/>
    <w:rsid w:val="00100636"/>
    <w:rsid w:val="00102A8D"/>
    <w:rsid w:val="001031F4"/>
    <w:rsid w:val="001040BE"/>
    <w:rsid w:val="00104CF5"/>
    <w:rsid w:val="0010532A"/>
    <w:rsid w:val="00105332"/>
    <w:rsid w:val="001100D6"/>
    <w:rsid w:val="0011308C"/>
    <w:rsid w:val="0011409E"/>
    <w:rsid w:val="00116652"/>
    <w:rsid w:val="001167F9"/>
    <w:rsid w:val="00116E71"/>
    <w:rsid w:val="00116EB2"/>
    <w:rsid w:val="00121DDE"/>
    <w:rsid w:val="00123947"/>
    <w:rsid w:val="00124973"/>
    <w:rsid w:val="001250E1"/>
    <w:rsid w:val="001261D3"/>
    <w:rsid w:val="00130CE1"/>
    <w:rsid w:val="00131348"/>
    <w:rsid w:val="001323C8"/>
    <w:rsid w:val="00134403"/>
    <w:rsid w:val="00134483"/>
    <w:rsid w:val="00134A31"/>
    <w:rsid w:val="00135A95"/>
    <w:rsid w:val="00135D95"/>
    <w:rsid w:val="0013600F"/>
    <w:rsid w:val="00136D5B"/>
    <w:rsid w:val="00137BCF"/>
    <w:rsid w:val="00140F2A"/>
    <w:rsid w:val="00143BC2"/>
    <w:rsid w:val="00144B82"/>
    <w:rsid w:val="00150A0A"/>
    <w:rsid w:val="00151E75"/>
    <w:rsid w:val="00152F86"/>
    <w:rsid w:val="00152FA7"/>
    <w:rsid w:val="00154C97"/>
    <w:rsid w:val="00156CA3"/>
    <w:rsid w:val="00157434"/>
    <w:rsid w:val="001622D7"/>
    <w:rsid w:val="00165295"/>
    <w:rsid w:val="00165982"/>
    <w:rsid w:val="00166305"/>
    <w:rsid w:val="00166B35"/>
    <w:rsid w:val="00166EBE"/>
    <w:rsid w:val="00167244"/>
    <w:rsid w:val="001672D3"/>
    <w:rsid w:val="00167EE5"/>
    <w:rsid w:val="00170E04"/>
    <w:rsid w:val="0017269F"/>
    <w:rsid w:val="00173873"/>
    <w:rsid w:val="001759A0"/>
    <w:rsid w:val="001768C8"/>
    <w:rsid w:val="00180291"/>
    <w:rsid w:val="00180EEF"/>
    <w:rsid w:val="001824B2"/>
    <w:rsid w:val="00182C40"/>
    <w:rsid w:val="00183919"/>
    <w:rsid w:val="00183B7E"/>
    <w:rsid w:val="00184D1F"/>
    <w:rsid w:val="00187980"/>
    <w:rsid w:val="00187EA2"/>
    <w:rsid w:val="00192F30"/>
    <w:rsid w:val="0019407E"/>
    <w:rsid w:val="001A0704"/>
    <w:rsid w:val="001A12D9"/>
    <w:rsid w:val="001A3AE6"/>
    <w:rsid w:val="001A4AD8"/>
    <w:rsid w:val="001A51A8"/>
    <w:rsid w:val="001A7651"/>
    <w:rsid w:val="001B08A1"/>
    <w:rsid w:val="001B0F32"/>
    <w:rsid w:val="001B11D1"/>
    <w:rsid w:val="001B2648"/>
    <w:rsid w:val="001B2E9D"/>
    <w:rsid w:val="001B63F2"/>
    <w:rsid w:val="001B666C"/>
    <w:rsid w:val="001B72F9"/>
    <w:rsid w:val="001C26CA"/>
    <w:rsid w:val="001C28F7"/>
    <w:rsid w:val="001C2A2F"/>
    <w:rsid w:val="001C2CE7"/>
    <w:rsid w:val="001C62A9"/>
    <w:rsid w:val="001D0569"/>
    <w:rsid w:val="001D1743"/>
    <w:rsid w:val="001D1859"/>
    <w:rsid w:val="001D1BEB"/>
    <w:rsid w:val="001D2F7E"/>
    <w:rsid w:val="001D3C76"/>
    <w:rsid w:val="001D4127"/>
    <w:rsid w:val="001D4394"/>
    <w:rsid w:val="001D4CAC"/>
    <w:rsid w:val="001D5A5D"/>
    <w:rsid w:val="001D6F98"/>
    <w:rsid w:val="001D7CEF"/>
    <w:rsid w:val="001E06C6"/>
    <w:rsid w:val="001E0DE6"/>
    <w:rsid w:val="001E141F"/>
    <w:rsid w:val="001E2EF0"/>
    <w:rsid w:val="001E3BBC"/>
    <w:rsid w:val="001E4058"/>
    <w:rsid w:val="001E48D5"/>
    <w:rsid w:val="001E5B02"/>
    <w:rsid w:val="001E7201"/>
    <w:rsid w:val="001E7C85"/>
    <w:rsid w:val="001F0DF2"/>
    <w:rsid w:val="001F3AEA"/>
    <w:rsid w:val="001F4EBB"/>
    <w:rsid w:val="00200A2F"/>
    <w:rsid w:val="00203D02"/>
    <w:rsid w:val="00205C43"/>
    <w:rsid w:val="002118A5"/>
    <w:rsid w:val="00212721"/>
    <w:rsid w:val="0021539B"/>
    <w:rsid w:val="00217BD8"/>
    <w:rsid w:val="00222745"/>
    <w:rsid w:val="0022319E"/>
    <w:rsid w:val="00225064"/>
    <w:rsid w:val="00226570"/>
    <w:rsid w:val="00227107"/>
    <w:rsid w:val="00227A80"/>
    <w:rsid w:val="00230266"/>
    <w:rsid w:val="0023501D"/>
    <w:rsid w:val="002351FA"/>
    <w:rsid w:val="002370DE"/>
    <w:rsid w:val="002377F9"/>
    <w:rsid w:val="00241B0F"/>
    <w:rsid w:val="00241E70"/>
    <w:rsid w:val="00242CDE"/>
    <w:rsid w:val="0024469B"/>
    <w:rsid w:val="00244C7F"/>
    <w:rsid w:val="0025030B"/>
    <w:rsid w:val="00253C94"/>
    <w:rsid w:val="00255616"/>
    <w:rsid w:val="00256603"/>
    <w:rsid w:val="00256D7C"/>
    <w:rsid w:val="00257E3B"/>
    <w:rsid w:val="0026091E"/>
    <w:rsid w:val="00260BC8"/>
    <w:rsid w:val="002616F2"/>
    <w:rsid w:val="00264520"/>
    <w:rsid w:val="002647B8"/>
    <w:rsid w:val="00265124"/>
    <w:rsid w:val="00272CE4"/>
    <w:rsid w:val="0027380E"/>
    <w:rsid w:val="0027392E"/>
    <w:rsid w:val="00273CD5"/>
    <w:rsid w:val="002746CD"/>
    <w:rsid w:val="00276278"/>
    <w:rsid w:val="00276A38"/>
    <w:rsid w:val="00276BDB"/>
    <w:rsid w:val="00277B01"/>
    <w:rsid w:val="00280E9A"/>
    <w:rsid w:val="00292987"/>
    <w:rsid w:val="00292CED"/>
    <w:rsid w:val="002939FE"/>
    <w:rsid w:val="00293D63"/>
    <w:rsid w:val="00297DF1"/>
    <w:rsid w:val="002B00C2"/>
    <w:rsid w:val="002B0F25"/>
    <w:rsid w:val="002B0F51"/>
    <w:rsid w:val="002B207A"/>
    <w:rsid w:val="002B3782"/>
    <w:rsid w:val="002B396D"/>
    <w:rsid w:val="002B625A"/>
    <w:rsid w:val="002B6BD5"/>
    <w:rsid w:val="002C0697"/>
    <w:rsid w:val="002C0952"/>
    <w:rsid w:val="002C2B2D"/>
    <w:rsid w:val="002C42E8"/>
    <w:rsid w:val="002C6486"/>
    <w:rsid w:val="002C6562"/>
    <w:rsid w:val="002C699E"/>
    <w:rsid w:val="002C7AC5"/>
    <w:rsid w:val="002C7CB4"/>
    <w:rsid w:val="002D05EF"/>
    <w:rsid w:val="002D0E39"/>
    <w:rsid w:val="002D22FE"/>
    <w:rsid w:val="002D2D04"/>
    <w:rsid w:val="002D49A3"/>
    <w:rsid w:val="002D562B"/>
    <w:rsid w:val="002D739E"/>
    <w:rsid w:val="002E0AE3"/>
    <w:rsid w:val="002E25CB"/>
    <w:rsid w:val="002E3482"/>
    <w:rsid w:val="002E560C"/>
    <w:rsid w:val="002E60CE"/>
    <w:rsid w:val="002E63FB"/>
    <w:rsid w:val="002E7908"/>
    <w:rsid w:val="002F1A7F"/>
    <w:rsid w:val="002F1BEC"/>
    <w:rsid w:val="002F2B44"/>
    <w:rsid w:val="002F40F9"/>
    <w:rsid w:val="002F74F3"/>
    <w:rsid w:val="0030182C"/>
    <w:rsid w:val="00302385"/>
    <w:rsid w:val="00302FED"/>
    <w:rsid w:val="0030382D"/>
    <w:rsid w:val="00305249"/>
    <w:rsid w:val="003057FD"/>
    <w:rsid w:val="00306D65"/>
    <w:rsid w:val="00307A42"/>
    <w:rsid w:val="00307BC5"/>
    <w:rsid w:val="00311A6B"/>
    <w:rsid w:val="00312873"/>
    <w:rsid w:val="0031296A"/>
    <w:rsid w:val="00314CED"/>
    <w:rsid w:val="00315A7A"/>
    <w:rsid w:val="00316F6F"/>
    <w:rsid w:val="00322306"/>
    <w:rsid w:val="003241EA"/>
    <w:rsid w:val="00325578"/>
    <w:rsid w:val="00326BA9"/>
    <w:rsid w:val="0032746C"/>
    <w:rsid w:val="00327FFB"/>
    <w:rsid w:val="003301CC"/>
    <w:rsid w:val="003307AF"/>
    <w:rsid w:val="003329AA"/>
    <w:rsid w:val="00333A8E"/>
    <w:rsid w:val="003344EE"/>
    <w:rsid w:val="003365B1"/>
    <w:rsid w:val="00340E6B"/>
    <w:rsid w:val="00342836"/>
    <w:rsid w:val="00343277"/>
    <w:rsid w:val="0034444E"/>
    <w:rsid w:val="00344C98"/>
    <w:rsid w:val="00344E18"/>
    <w:rsid w:val="003457C3"/>
    <w:rsid w:val="0034612C"/>
    <w:rsid w:val="00347011"/>
    <w:rsid w:val="00347E0B"/>
    <w:rsid w:val="0035206D"/>
    <w:rsid w:val="00352538"/>
    <w:rsid w:val="003555AF"/>
    <w:rsid w:val="003563E2"/>
    <w:rsid w:val="003565B1"/>
    <w:rsid w:val="00360C7E"/>
    <w:rsid w:val="0036203E"/>
    <w:rsid w:val="00363F03"/>
    <w:rsid w:val="00365B5B"/>
    <w:rsid w:val="003665D6"/>
    <w:rsid w:val="00372480"/>
    <w:rsid w:val="003736AF"/>
    <w:rsid w:val="00373FB0"/>
    <w:rsid w:val="00375512"/>
    <w:rsid w:val="003805A3"/>
    <w:rsid w:val="00380CD0"/>
    <w:rsid w:val="00380D8D"/>
    <w:rsid w:val="00381154"/>
    <w:rsid w:val="003821F6"/>
    <w:rsid w:val="003853F1"/>
    <w:rsid w:val="00385821"/>
    <w:rsid w:val="00386C73"/>
    <w:rsid w:val="003871FC"/>
    <w:rsid w:val="003A151F"/>
    <w:rsid w:val="003A22D0"/>
    <w:rsid w:val="003A2469"/>
    <w:rsid w:val="003A4A52"/>
    <w:rsid w:val="003A6592"/>
    <w:rsid w:val="003B076F"/>
    <w:rsid w:val="003B6028"/>
    <w:rsid w:val="003B6D41"/>
    <w:rsid w:val="003B722B"/>
    <w:rsid w:val="003D1206"/>
    <w:rsid w:val="003D1574"/>
    <w:rsid w:val="003D20E1"/>
    <w:rsid w:val="003D213B"/>
    <w:rsid w:val="003D2D3C"/>
    <w:rsid w:val="003D4295"/>
    <w:rsid w:val="003D62DE"/>
    <w:rsid w:val="003E0EC2"/>
    <w:rsid w:val="003E24E1"/>
    <w:rsid w:val="003E408A"/>
    <w:rsid w:val="003E6695"/>
    <w:rsid w:val="003E74DF"/>
    <w:rsid w:val="003F28BD"/>
    <w:rsid w:val="003F2936"/>
    <w:rsid w:val="003F2FBE"/>
    <w:rsid w:val="003F31E4"/>
    <w:rsid w:val="003F6F41"/>
    <w:rsid w:val="003F7DFE"/>
    <w:rsid w:val="00401C47"/>
    <w:rsid w:val="00403844"/>
    <w:rsid w:val="00404CED"/>
    <w:rsid w:val="00404F69"/>
    <w:rsid w:val="004055E2"/>
    <w:rsid w:val="004063BF"/>
    <w:rsid w:val="00410FA4"/>
    <w:rsid w:val="00411B7C"/>
    <w:rsid w:val="004124A7"/>
    <w:rsid w:val="0041300B"/>
    <w:rsid w:val="00413220"/>
    <w:rsid w:val="00416091"/>
    <w:rsid w:val="004214BD"/>
    <w:rsid w:val="00421B4F"/>
    <w:rsid w:val="00424B90"/>
    <w:rsid w:val="004250E6"/>
    <w:rsid w:val="00426C71"/>
    <w:rsid w:val="004303F5"/>
    <w:rsid w:val="00430E1D"/>
    <w:rsid w:val="0043352C"/>
    <w:rsid w:val="00433B13"/>
    <w:rsid w:val="0043545D"/>
    <w:rsid w:val="0043681D"/>
    <w:rsid w:val="00436AF7"/>
    <w:rsid w:val="0044356D"/>
    <w:rsid w:val="00444FAD"/>
    <w:rsid w:val="004454A1"/>
    <w:rsid w:val="00445F59"/>
    <w:rsid w:val="004467C6"/>
    <w:rsid w:val="00451A59"/>
    <w:rsid w:val="00454EF1"/>
    <w:rsid w:val="00456F3B"/>
    <w:rsid w:val="0046027E"/>
    <w:rsid w:val="00460522"/>
    <w:rsid w:val="00461C48"/>
    <w:rsid w:val="00464C43"/>
    <w:rsid w:val="00466F4A"/>
    <w:rsid w:val="004674A9"/>
    <w:rsid w:val="00470213"/>
    <w:rsid w:val="00470AF8"/>
    <w:rsid w:val="00474060"/>
    <w:rsid w:val="00474A67"/>
    <w:rsid w:val="00474F94"/>
    <w:rsid w:val="00480D06"/>
    <w:rsid w:val="004827E3"/>
    <w:rsid w:val="00486CB7"/>
    <w:rsid w:val="004901A5"/>
    <w:rsid w:val="00490DAE"/>
    <w:rsid w:val="00493910"/>
    <w:rsid w:val="004939F1"/>
    <w:rsid w:val="00494C79"/>
    <w:rsid w:val="004970F5"/>
    <w:rsid w:val="004971F4"/>
    <w:rsid w:val="004A05E0"/>
    <w:rsid w:val="004A4097"/>
    <w:rsid w:val="004A5561"/>
    <w:rsid w:val="004A61E5"/>
    <w:rsid w:val="004A71D6"/>
    <w:rsid w:val="004A7DD8"/>
    <w:rsid w:val="004B052D"/>
    <w:rsid w:val="004B15D4"/>
    <w:rsid w:val="004B185F"/>
    <w:rsid w:val="004B3056"/>
    <w:rsid w:val="004B4CF0"/>
    <w:rsid w:val="004B4F7A"/>
    <w:rsid w:val="004B5A22"/>
    <w:rsid w:val="004B5EFE"/>
    <w:rsid w:val="004B5FD4"/>
    <w:rsid w:val="004B6A54"/>
    <w:rsid w:val="004B7683"/>
    <w:rsid w:val="004B7F32"/>
    <w:rsid w:val="004C01A1"/>
    <w:rsid w:val="004C1AE9"/>
    <w:rsid w:val="004C3CB5"/>
    <w:rsid w:val="004C3D41"/>
    <w:rsid w:val="004C3E24"/>
    <w:rsid w:val="004D6B93"/>
    <w:rsid w:val="004D76DE"/>
    <w:rsid w:val="004E03A3"/>
    <w:rsid w:val="004E1839"/>
    <w:rsid w:val="004E367E"/>
    <w:rsid w:val="004E37F2"/>
    <w:rsid w:val="004E55BE"/>
    <w:rsid w:val="004E76B9"/>
    <w:rsid w:val="004F1459"/>
    <w:rsid w:val="004F2B8D"/>
    <w:rsid w:val="004F2ED3"/>
    <w:rsid w:val="004F3ACD"/>
    <w:rsid w:val="004F40F0"/>
    <w:rsid w:val="004F60A9"/>
    <w:rsid w:val="00501478"/>
    <w:rsid w:val="005035B9"/>
    <w:rsid w:val="005046C0"/>
    <w:rsid w:val="005048D4"/>
    <w:rsid w:val="00505568"/>
    <w:rsid w:val="00505B67"/>
    <w:rsid w:val="00510D44"/>
    <w:rsid w:val="00514160"/>
    <w:rsid w:val="0051630E"/>
    <w:rsid w:val="00516B4B"/>
    <w:rsid w:val="005171AF"/>
    <w:rsid w:val="0052181F"/>
    <w:rsid w:val="00523FB6"/>
    <w:rsid w:val="00527155"/>
    <w:rsid w:val="005277F8"/>
    <w:rsid w:val="00530C66"/>
    <w:rsid w:val="00531138"/>
    <w:rsid w:val="00532264"/>
    <w:rsid w:val="00534695"/>
    <w:rsid w:val="005361C3"/>
    <w:rsid w:val="00536A26"/>
    <w:rsid w:val="00540C60"/>
    <w:rsid w:val="005478DB"/>
    <w:rsid w:val="0055011A"/>
    <w:rsid w:val="0055128E"/>
    <w:rsid w:val="0055159C"/>
    <w:rsid w:val="005536C7"/>
    <w:rsid w:val="005555A9"/>
    <w:rsid w:val="00556179"/>
    <w:rsid w:val="00557C38"/>
    <w:rsid w:val="00561FDB"/>
    <w:rsid w:val="00562926"/>
    <w:rsid w:val="00562FC5"/>
    <w:rsid w:val="00563771"/>
    <w:rsid w:val="005644CB"/>
    <w:rsid w:val="0056458F"/>
    <w:rsid w:val="0056480D"/>
    <w:rsid w:val="0056517D"/>
    <w:rsid w:val="00567230"/>
    <w:rsid w:val="0057135E"/>
    <w:rsid w:val="0057193C"/>
    <w:rsid w:val="00573D3E"/>
    <w:rsid w:val="00573F80"/>
    <w:rsid w:val="00575178"/>
    <w:rsid w:val="005754AD"/>
    <w:rsid w:val="00575BE4"/>
    <w:rsid w:val="00576E8A"/>
    <w:rsid w:val="00577A14"/>
    <w:rsid w:val="0058091B"/>
    <w:rsid w:val="00581DA4"/>
    <w:rsid w:val="00583197"/>
    <w:rsid w:val="005832E0"/>
    <w:rsid w:val="00584218"/>
    <w:rsid w:val="00584559"/>
    <w:rsid w:val="00585C5D"/>
    <w:rsid w:val="005874B7"/>
    <w:rsid w:val="00587645"/>
    <w:rsid w:val="00592499"/>
    <w:rsid w:val="00592BCD"/>
    <w:rsid w:val="005A0219"/>
    <w:rsid w:val="005A0681"/>
    <w:rsid w:val="005A15EF"/>
    <w:rsid w:val="005A2A0D"/>
    <w:rsid w:val="005A33A4"/>
    <w:rsid w:val="005A46DF"/>
    <w:rsid w:val="005A62EF"/>
    <w:rsid w:val="005A7733"/>
    <w:rsid w:val="005A7D9D"/>
    <w:rsid w:val="005B1865"/>
    <w:rsid w:val="005B1D29"/>
    <w:rsid w:val="005B52FB"/>
    <w:rsid w:val="005C311D"/>
    <w:rsid w:val="005C3826"/>
    <w:rsid w:val="005C5215"/>
    <w:rsid w:val="005C5946"/>
    <w:rsid w:val="005D0960"/>
    <w:rsid w:val="005D2711"/>
    <w:rsid w:val="005D2D6C"/>
    <w:rsid w:val="005D42B1"/>
    <w:rsid w:val="005D49F1"/>
    <w:rsid w:val="005D4A04"/>
    <w:rsid w:val="005D585E"/>
    <w:rsid w:val="005D6CEE"/>
    <w:rsid w:val="005D7B60"/>
    <w:rsid w:val="005E0EDA"/>
    <w:rsid w:val="005E1986"/>
    <w:rsid w:val="005E1E7D"/>
    <w:rsid w:val="005E2D9B"/>
    <w:rsid w:val="005E2FDB"/>
    <w:rsid w:val="005E442E"/>
    <w:rsid w:val="005E514E"/>
    <w:rsid w:val="005E7185"/>
    <w:rsid w:val="005E7DFF"/>
    <w:rsid w:val="005F0D3B"/>
    <w:rsid w:val="005F2792"/>
    <w:rsid w:val="005F411B"/>
    <w:rsid w:val="005F787B"/>
    <w:rsid w:val="00600E53"/>
    <w:rsid w:val="00601128"/>
    <w:rsid w:val="006014A7"/>
    <w:rsid w:val="0060283C"/>
    <w:rsid w:val="006031B5"/>
    <w:rsid w:val="006113A0"/>
    <w:rsid w:val="006114F7"/>
    <w:rsid w:val="00611631"/>
    <w:rsid w:val="006116E8"/>
    <w:rsid w:val="00611D9A"/>
    <w:rsid w:val="0061376F"/>
    <w:rsid w:val="00614237"/>
    <w:rsid w:val="00615DE0"/>
    <w:rsid w:val="006203AB"/>
    <w:rsid w:val="00621D03"/>
    <w:rsid w:val="00622123"/>
    <w:rsid w:val="00623678"/>
    <w:rsid w:val="00623974"/>
    <w:rsid w:val="006260E5"/>
    <w:rsid w:val="00626CAB"/>
    <w:rsid w:val="00626D52"/>
    <w:rsid w:val="00626E37"/>
    <w:rsid w:val="006300CC"/>
    <w:rsid w:val="00634583"/>
    <w:rsid w:val="0063575D"/>
    <w:rsid w:val="0063598F"/>
    <w:rsid w:val="00636EEF"/>
    <w:rsid w:val="0064007B"/>
    <w:rsid w:val="00641DB8"/>
    <w:rsid w:val="00644D9C"/>
    <w:rsid w:val="006466DA"/>
    <w:rsid w:val="00646AA1"/>
    <w:rsid w:val="00646DAB"/>
    <w:rsid w:val="0064789E"/>
    <w:rsid w:val="006500FD"/>
    <w:rsid w:val="006513B2"/>
    <w:rsid w:val="00651480"/>
    <w:rsid w:val="0065243F"/>
    <w:rsid w:val="00652B3E"/>
    <w:rsid w:val="00654890"/>
    <w:rsid w:val="00655461"/>
    <w:rsid w:val="00655E66"/>
    <w:rsid w:val="006569FA"/>
    <w:rsid w:val="00656CA5"/>
    <w:rsid w:val="006606A4"/>
    <w:rsid w:val="00663BAF"/>
    <w:rsid w:val="00663BB5"/>
    <w:rsid w:val="00664A55"/>
    <w:rsid w:val="006664C1"/>
    <w:rsid w:val="0067323A"/>
    <w:rsid w:val="00674BC5"/>
    <w:rsid w:val="00675596"/>
    <w:rsid w:val="00675648"/>
    <w:rsid w:val="00675BFB"/>
    <w:rsid w:val="00677E30"/>
    <w:rsid w:val="006801E7"/>
    <w:rsid w:val="006812B9"/>
    <w:rsid w:val="00682327"/>
    <w:rsid w:val="00683EEA"/>
    <w:rsid w:val="006854CF"/>
    <w:rsid w:val="0068553B"/>
    <w:rsid w:val="00685AE2"/>
    <w:rsid w:val="00692340"/>
    <w:rsid w:val="00697125"/>
    <w:rsid w:val="00697957"/>
    <w:rsid w:val="006A0050"/>
    <w:rsid w:val="006A06C9"/>
    <w:rsid w:val="006A1633"/>
    <w:rsid w:val="006A179E"/>
    <w:rsid w:val="006A4A91"/>
    <w:rsid w:val="006A5E89"/>
    <w:rsid w:val="006B0064"/>
    <w:rsid w:val="006B115B"/>
    <w:rsid w:val="006B534E"/>
    <w:rsid w:val="006B58CD"/>
    <w:rsid w:val="006C10E7"/>
    <w:rsid w:val="006C2B79"/>
    <w:rsid w:val="006C35CB"/>
    <w:rsid w:val="006C371A"/>
    <w:rsid w:val="006C4E3E"/>
    <w:rsid w:val="006D1269"/>
    <w:rsid w:val="006D16FF"/>
    <w:rsid w:val="006D18D2"/>
    <w:rsid w:val="006D4A7D"/>
    <w:rsid w:val="006D4B1B"/>
    <w:rsid w:val="006D58E3"/>
    <w:rsid w:val="006E0555"/>
    <w:rsid w:val="006E05C3"/>
    <w:rsid w:val="006E1125"/>
    <w:rsid w:val="006E18E5"/>
    <w:rsid w:val="006E3F9F"/>
    <w:rsid w:val="006E4043"/>
    <w:rsid w:val="006E57B6"/>
    <w:rsid w:val="006E7EC8"/>
    <w:rsid w:val="006F4CA0"/>
    <w:rsid w:val="006F4D65"/>
    <w:rsid w:val="006F5013"/>
    <w:rsid w:val="006F66B7"/>
    <w:rsid w:val="00700748"/>
    <w:rsid w:val="007013FC"/>
    <w:rsid w:val="00703590"/>
    <w:rsid w:val="007056EC"/>
    <w:rsid w:val="00706EC6"/>
    <w:rsid w:val="00712DA7"/>
    <w:rsid w:val="00715263"/>
    <w:rsid w:val="007152B4"/>
    <w:rsid w:val="00717031"/>
    <w:rsid w:val="00717BC9"/>
    <w:rsid w:val="00720EBF"/>
    <w:rsid w:val="00721C8B"/>
    <w:rsid w:val="00722323"/>
    <w:rsid w:val="00722DB2"/>
    <w:rsid w:val="007259D0"/>
    <w:rsid w:val="007264E7"/>
    <w:rsid w:val="00726671"/>
    <w:rsid w:val="00730826"/>
    <w:rsid w:val="00730F94"/>
    <w:rsid w:val="0073633D"/>
    <w:rsid w:val="0073690C"/>
    <w:rsid w:val="00736D04"/>
    <w:rsid w:val="00737002"/>
    <w:rsid w:val="00741AB2"/>
    <w:rsid w:val="007423EF"/>
    <w:rsid w:val="0074488C"/>
    <w:rsid w:val="007459DB"/>
    <w:rsid w:val="00746E88"/>
    <w:rsid w:val="00747F0B"/>
    <w:rsid w:val="007529CC"/>
    <w:rsid w:val="00754561"/>
    <w:rsid w:val="007546A7"/>
    <w:rsid w:val="0075793F"/>
    <w:rsid w:val="00761F0E"/>
    <w:rsid w:val="00763EAD"/>
    <w:rsid w:val="00766635"/>
    <w:rsid w:val="00770269"/>
    <w:rsid w:val="00772272"/>
    <w:rsid w:val="00772374"/>
    <w:rsid w:val="00780A2B"/>
    <w:rsid w:val="00780FFB"/>
    <w:rsid w:val="00782ECA"/>
    <w:rsid w:val="00784E4E"/>
    <w:rsid w:val="0078777A"/>
    <w:rsid w:val="00790FDA"/>
    <w:rsid w:val="00791699"/>
    <w:rsid w:val="00793693"/>
    <w:rsid w:val="007938A3"/>
    <w:rsid w:val="00793C7F"/>
    <w:rsid w:val="00795E0F"/>
    <w:rsid w:val="007A223F"/>
    <w:rsid w:val="007A42BD"/>
    <w:rsid w:val="007A4314"/>
    <w:rsid w:val="007A45D8"/>
    <w:rsid w:val="007A5480"/>
    <w:rsid w:val="007B03C1"/>
    <w:rsid w:val="007B0B45"/>
    <w:rsid w:val="007B17DB"/>
    <w:rsid w:val="007B29C7"/>
    <w:rsid w:val="007B2F14"/>
    <w:rsid w:val="007B355D"/>
    <w:rsid w:val="007B5833"/>
    <w:rsid w:val="007C0DF1"/>
    <w:rsid w:val="007C16C3"/>
    <w:rsid w:val="007C37BC"/>
    <w:rsid w:val="007C4F11"/>
    <w:rsid w:val="007C57F7"/>
    <w:rsid w:val="007C5F1B"/>
    <w:rsid w:val="007C656F"/>
    <w:rsid w:val="007D0634"/>
    <w:rsid w:val="007D0653"/>
    <w:rsid w:val="007D56C9"/>
    <w:rsid w:val="007D6E2E"/>
    <w:rsid w:val="007E17CE"/>
    <w:rsid w:val="007E302C"/>
    <w:rsid w:val="007E304C"/>
    <w:rsid w:val="007E5D0D"/>
    <w:rsid w:val="007E6C33"/>
    <w:rsid w:val="007E7289"/>
    <w:rsid w:val="007F1D42"/>
    <w:rsid w:val="007F2076"/>
    <w:rsid w:val="007F27C6"/>
    <w:rsid w:val="007F4D0B"/>
    <w:rsid w:val="007F541C"/>
    <w:rsid w:val="007F7EC6"/>
    <w:rsid w:val="0080079D"/>
    <w:rsid w:val="00804FC2"/>
    <w:rsid w:val="008056B1"/>
    <w:rsid w:val="00805F5F"/>
    <w:rsid w:val="0080716D"/>
    <w:rsid w:val="008111DF"/>
    <w:rsid w:val="008125B6"/>
    <w:rsid w:val="00812813"/>
    <w:rsid w:val="008129DC"/>
    <w:rsid w:val="00814B6B"/>
    <w:rsid w:val="00822B75"/>
    <w:rsid w:val="00824FEB"/>
    <w:rsid w:val="0082531F"/>
    <w:rsid w:val="00827E7A"/>
    <w:rsid w:val="00830239"/>
    <w:rsid w:val="00832BC4"/>
    <w:rsid w:val="00835B66"/>
    <w:rsid w:val="008366E9"/>
    <w:rsid w:val="00837690"/>
    <w:rsid w:val="0084633F"/>
    <w:rsid w:val="0084635C"/>
    <w:rsid w:val="00846B05"/>
    <w:rsid w:val="00847160"/>
    <w:rsid w:val="0084796E"/>
    <w:rsid w:val="00847F1C"/>
    <w:rsid w:val="008502D5"/>
    <w:rsid w:val="00851862"/>
    <w:rsid w:val="008520C9"/>
    <w:rsid w:val="00852876"/>
    <w:rsid w:val="008528F2"/>
    <w:rsid w:val="00852C0F"/>
    <w:rsid w:val="00852F83"/>
    <w:rsid w:val="00854AE6"/>
    <w:rsid w:val="008554B8"/>
    <w:rsid w:val="00856863"/>
    <w:rsid w:val="00856F68"/>
    <w:rsid w:val="00860025"/>
    <w:rsid w:val="008612DC"/>
    <w:rsid w:val="008617B9"/>
    <w:rsid w:val="00865E58"/>
    <w:rsid w:val="00866E77"/>
    <w:rsid w:val="00870554"/>
    <w:rsid w:val="0087430B"/>
    <w:rsid w:val="0087513F"/>
    <w:rsid w:val="008769D5"/>
    <w:rsid w:val="00877E2F"/>
    <w:rsid w:val="00880ACB"/>
    <w:rsid w:val="00883848"/>
    <w:rsid w:val="00883B29"/>
    <w:rsid w:val="00883FA5"/>
    <w:rsid w:val="008849D1"/>
    <w:rsid w:val="008852BF"/>
    <w:rsid w:val="00885743"/>
    <w:rsid w:val="0088790E"/>
    <w:rsid w:val="00887E0A"/>
    <w:rsid w:val="00892EF5"/>
    <w:rsid w:val="008A1AED"/>
    <w:rsid w:val="008A1CF3"/>
    <w:rsid w:val="008A1DBD"/>
    <w:rsid w:val="008A488A"/>
    <w:rsid w:val="008A5D35"/>
    <w:rsid w:val="008A5E60"/>
    <w:rsid w:val="008A6922"/>
    <w:rsid w:val="008A6BD9"/>
    <w:rsid w:val="008A6E3A"/>
    <w:rsid w:val="008B0081"/>
    <w:rsid w:val="008B15A5"/>
    <w:rsid w:val="008B43F4"/>
    <w:rsid w:val="008B4C98"/>
    <w:rsid w:val="008B52D5"/>
    <w:rsid w:val="008C0056"/>
    <w:rsid w:val="008C2DFE"/>
    <w:rsid w:val="008C4B30"/>
    <w:rsid w:val="008C5083"/>
    <w:rsid w:val="008C593F"/>
    <w:rsid w:val="008C60D6"/>
    <w:rsid w:val="008D1722"/>
    <w:rsid w:val="008D26DB"/>
    <w:rsid w:val="008D32C6"/>
    <w:rsid w:val="008D3316"/>
    <w:rsid w:val="008D3C72"/>
    <w:rsid w:val="008D6E76"/>
    <w:rsid w:val="008D7553"/>
    <w:rsid w:val="008D7829"/>
    <w:rsid w:val="008E006F"/>
    <w:rsid w:val="008E0CB1"/>
    <w:rsid w:val="008E1A37"/>
    <w:rsid w:val="008E240F"/>
    <w:rsid w:val="008F0101"/>
    <w:rsid w:val="008F0826"/>
    <w:rsid w:val="008F092D"/>
    <w:rsid w:val="008F15FC"/>
    <w:rsid w:val="008F3051"/>
    <w:rsid w:val="008F394D"/>
    <w:rsid w:val="008F5FD0"/>
    <w:rsid w:val="008F6DD6"/>
    <w:rsid w:val="008F75A3"/>
    <w:rsid w:val="0090086C"/>
    <w:rsid w:val="0090179C"/>
    <w:rsid w:val="00901EA4"/>
    <w:rsid w:val="00902F9C"/>
    <w:rsid w:val="00902FBB"/>
    <w:rsid w:val="00903442"/>
    <w:rsid w:val="00903BC6"/>
    <w:rsid w:val="00904369"/>
    <w:rsid w:val="00907BEA"/>
    <w:rsid w:val="00910824"/>
    <w:rsid w:val="00912944"/>
    <w:rsid w:val="00912E96"/>
    <w:rsid w:val="009131DE"/>
    <w:rsid w:val="00920F76"/>
    <w:rsid w:val="00922E8D"/>
    <w:rsid w:val="0092420D"/>
    <w:rsid w:val="00927F8D"/>
    <w:rsid w:val="00930661"/>
    <w:rsid w:val="00931A1E"/>
    <w:rsid w:val="00936C94"/>
    <w:rsid w:val="00936EE8"/>
    <w:rsid w:val="009407A3"/>
    <w:rsid w:val="00940DA6"/>
    <w:rsid w:val="00942A4B"/>
    <w:rsid w:val="00942CE2"/>
    <w:rsid w:val="0094393B"/>
    <w:rsid w:val="00944500"/>
    <w:rsid w:val="009462E6"/>
    <w:rsid w:val="0094745B"/>
    <w:rsid w:val="009511B7"/>
    <w:rsid w:val="00951203"/>
    <w:rsid w:val="0095249F"/>
    <w:rsid w:val="00953B24"/>
    <w:rsid w:val="00955647"/>
    <w:rsid w:val="009556D9"/>
    <w:rsid w:val="00956420"/>
    <w:rsid w:val="00956A83"/>
    <w:rsid w:val="00957725"/>
    <w:rsid w:val="00960ACD"/>
    <w:rsid w:val="009614BC"/>
    <w:rsid w:val="00962A9C"/>
    <w:rsid w:val="00964386"/>
    <w:rsid w:val="009660E3"/>
    <w:rsid w:val="00967A65"/>
    <w:rsid w:val="00967A75"/>
    <w:rsid w:val="00971CB3"/>
    <w:rsid w:val="009757EC"/>
    <w:rsid w:val="00977A62"/>
    <w:rsid w:val="00986860"/>
    <w:rsid w:val="00986ED9"/>
    <w:rsid w:val="00987D05"/>
    <w:rsid w:val="00990D4D"/>
    <w:rsid w:val="00990EB1"/>
    <w:rsid w:val="009925D3"/>
    <w:rsid w:val="00995740"/>
    <w:rsid w:val="009976F8"/>
    <w:rsid w:val="00997DAA"/>
    <w:rsid w:val="009A13A0"/>
    <w:rsid w:val="009A1ABE"/>
    <w:rsid w:val="009A1B5B"/>
    <w:rsid w:val="009A1E7F"/>
    <w:rsid w:val="009A2190"/>
    <w:rsid w:val="009A276B"/>
    <w:rsid w:val="009A29FF"/>
    <w:rsid w:val="009A2F1C"/>
    <w:rsid w:val="009A6A1E"/>
    <w:rsid w:val="009A7DFE"/>
    <w:rsid w:val="009A7FE5"/>
    <w:rsid w:val="009B09A1"/>
    <w:rsid w:val="009B0DDA"/>
    <w:rsid w:val="009B2BAA"/>
    <w:rsid w:val="009B35E0"/>
    <w:rsid w:val="009B4379"/>
    <w:rsid w:val="009B4443"/>
    <w:rsid w:val="009B636E"/>
    <w:rsid w:val="009B749C"/>
    <w:rsid w:val="009B7766"/>
    <w:rsid w:val="009B7BC8"/>
    <w:rsid w:val="009C1BA7"/>
    <w:rsid w:val="009C1D90"/>
    <w:rsid w:val="009C29EF"/>
    <w:rsid w:val="009C2FD6"/>
    <w:rsid w:val="009C428C"/>
    <w:rsid w:val="009C5B56"/>
    <w:rsid w:val="009C62B1"/>
    <w:rsid w:val="009D01BB"/>
    <w:rsid w:val="009D1954"/>
    <w:rsid w:val="009D1C62"/>
    <w:rsid w:val="009D215C"/>
    <w:rsid w:val="009D2CD8"/>
    <w:rsid w:val="009D6982"/>
    <w:rsid w:val="009E1978"/>
    <w:rsid w:val="009E21EF"/>
    <w:rsid w:val="009E45F5"/>
    <w:rsid w:val="009E49B6"/>
    <w:rsid w:val="009E624B"/>
    <w:rsid w:val="009F05FF"/>
    <w:rsid w:val="009F0DBD"/>
    <w:rsid w:val="009F2D12"/>
    <w:rsid w:val="009F46BC"/>
    <w:rsid w:val="00A01A72"/>
    <w:rsid w:val="00A04FC1"/>
    <w:rsid w:val="00A06CFE"/>
    <w:rsid w:val="00A1305F"/>
    <w:rsid w:val="00A1394B"/>
    <w:rsid w:val="00A150D5"/>
    <w:rsid w:val="00A174EC"/>
    <w:rsid w:val="00A17F02"/>
    <w:rsid w:val="00A20000"/>
    <w:rsid w:val="00A205CD"/>
    <w:rsid w:val="00A208DD"/>
    <w:rsid w:val="00A21310"/>
    <w:rsid w:val="00A22BAD"/>
    <w:rsid w:val="00A24837"/>
    <w:rsid w:val="00A27696"/>
    <w:rsid w:val="00A2795D"/>
    <w:rsid w:val="00A31938"/>
    <w:rsid w:val="00A31B18"/>
    <w:rsid w:val="00A337F8"/>
    <w:rsid w:val="00A36F5D"/>
    <w:rsid w:val="00A410A3"/>
    <w:rsid w:val="00A41FC4"/>
    <w:rsid w:val="00A471AA"/>
    <w:rsid w:val="00A51C5B"/>
    <w:rsid w:val="00A52459"/>
    <w:rsid w:val="00A53EB2"/>
    <w:rsid w:val="00A5444F"/>
    <w:rsid w:val="00A563A3"/>
    <w:rsid w:val="00A56564"/>
    <w:rsid w:val="00A5690F"/>
    <w:rsid w:val="00A56ECC"/>
    <w:rsid w:val="00A5740C"/>
    <w:rsid w:val="00A608C0"/>
    <w:rsid w:val="00A609C3"/>
    <w:rsid w:val="00A6250F"/>
    <w:rsid w:val="00A6271F"/>
    <w:rsid w:val="00A6320B"/>
    <w:rsid w:val="00A6352F"/>
    <w:rsid w:val="00A635C1"/>
    <w:rsid w:val="00A637D7"/>
    <w:rsid w:val="00A647CD"/>
    <w:rsid w:val="00A66FFB"/>
    <w:rsid w:val="00A70E9F"/>
    <w:rsid w:val="00A713B5"/>
    <w:rsid w:val="00A7170D"/>
    <w:rsid w:val="00A7225B"/>
    <w:rsid w:val="00A7333A"/>
    <w:rsid w:val="00A73D3C"/>
    <w:rsid w:val="00A73DC2"/>
    <w:rsid w:val="00A741E4"/>
    <w:rsid w:val="00A745CD"/>
    <w:rsid w:val="00A74D1E"/>
    <w:rsid w:val="00A771EC"/>
    <w:rsid w:val="00A77AF0"/>
    <w:rsid w:val="00A81158"/>
    <w:rsid w:val="00A81412"/>
    <w:rsid w:val="00A81F38"/>
    <w:rsid w:val="00A83952"/>
    <w:rsid w:val="00A83E71"/>
    <w:rsid w:val="00A8592B"/>
    <w:rsid w:val="00A95622"/>
    <w:rsid w:val="00A97BB2"/>
    <w:rsid w:val="00AA0270"/>
    <w:rsid w:val="00AA496A"/>
    <w:rsid w:val="00AA63E2"/>
    <w:rsid w:val="00AA6BE8"/>
    <w:rsid w:val="00AA6E6A"/>
    <w:rsid w:val="00AB067B"/>
    <w:rsid w:val="00AB08DF"/>
    <w:rsid w:val="00AB4D15"/>
    <w:rsid w:val="00AB4D26"/>
    <w:rsid w:val="00AB5E5A"/>
    <w:rsid w:val="00AB61C8"/>
    <w:rsid w:val="00AB687B"/>
    <w:rsid w:val="00AB6EC9"/>
    <w:rsid w:val="00AB7A4C"/>
    <w:rsid w:val="00AC14CD"/>
    <w:rsid w:val="00AC3588"/>
    <w:rsid w:val="00AC3D0D"/>
    <w:rsid w:val="00AC53A9"/>
    <w:rsid w:val="00AC6B7A"/>
    <w:rsid w:val="00AC6DDE"/>
    <w:rsid w:val="00AC7CFE"/>
    <w:rsid w:val="00AD02BD"/>
    <w:rsid w:val="00AD05A3"/>
    <w:rsid w:val="00AD253B"/>
    <w:rsid w:val="00AD2E8F"/>
    <w:rsid w:val="00AD4F49"/>
    <w:rsid w:val="00AD54C1"/>
    <w:rsid w:val="00AD57F8"/>
    <w:rsid w:val="00AD5B15"/>
    <w:rsid w:val="00AD7191"/>
    <w:rsid w:val="00AE303B"/>
    <w:rsid w:val="00AE370B"/>
    <w:rsid w:val="00AE4DE6"/>
    <w:rsid w:val="00AE6909"/>
    <w:rsid w:val="00AE6C58"/>
    <w:rsid w:val="00AE6F78"/>
    <w:rsid w:val="00AF119F"/>
    <w:rsid w:val="00AF173B"/>
    <w:rsid w:val="00AF1C2E"/>
    <w:rsid w:val="00AF4BAB"/>
    <w:rsid w:val="00AF51AC"/>
    <w:rsid w:val="00AF5430"/>
    <w:rsid w:val="00AF6E67"/>
    <w:rsid w:val="00B013F2"/>
    <w:rsid w:val="00B019CC"/>
    <w:rsid w:val="00B0235D"/>
    <w:rsid w:val="00B0314A"/>
    <w:rsid w:val="00B05F76"/>
    <w:rsid w:val="00B0679B"/>
    <w:rsid w:val="00B102A5"/>
    <w:rsid w:val="00B1066F"/>
    <w:rsid w:val="00B10B10"/>
    <w:rsid w:val="00B12683"/>
    <w:rsid w:val="00B13280"/>
    <w:rsid w:val="00B13931"/>
    <w:rsid w:val="00B1483D"/>
    <w:rsid w:val="00B15136"/>
    <w:rsid w:val="00B170FA"/>
    <w:rsid w:val="00B204E5"/>
    <w:rsid w:val="00B22ED9"/>
    <w:rsid w:val="00B23983"/>
    <w:rsid w:val="00B23AA7"/>
    <w:rsid w:val="00B269C8"/>
    <w:rsid w:val="00B31B4E"/>
    <w:rsid w:val="00B33232"/>
    <w:rsid w:val="00B351F5"/>
    <w:rsid w:val="00B359FC"/>
    <w:rsid w:val="00B36D89"/>
    <w:rsid w:val="00B37F48"/>
    <w:rsid w:val="00B40D29"/>
    <w:rsid w:val="00B41770"/>
    <w:rsid w:val="00B42546"/>
    <w:rsid w:val="00B42C7E"/>
    <w:rsid w:val="00B4425D"/>
    <w:rsid w:val="00B45D20"/>
    <w:rsid w:val="00B46103"/>
    <w:rsid w:val="00B50960"/>
    <w:rsid w:val="00B516C0"/>
    <w:rsid w:val="00B51EE7"/>
    <w:rsid w:val="00B52403"/>
    <w:rsid w:val="00B52C03"/>
    <w:rsid w:val="00B53130"/>
    <w:rsid w:val="00B54B88"/>
    <w:rsid w:val="00B55D1A"/>
    <w:rsid w:val="00B561EC"/>
    <w:rsid w:val="00B56ED4"/>
    <w:rsid w:val="00B56F2B"/>
    <w:rsid w:val="00B579C3"/>
    <w:rsid w:val="00B57C67"/>
    <w:rsid w:val="00B601F3"/>
    <w:rsid w:val="00B64F09"/>
    <w:rsid w:val="00B65575"/>
    <w:rsid w:val="00B70A07"/>
    <w:rsid w:val="00B71A35"/>
    <w:rsid w:val="00B72893"/>
    <w:rsid w:val="00B747FE"/>
    <w:rsid w:val="00B74A7B"/>
    <w:rsid w:val="00B74A9D"/>
    <w:rsid w:val="00B74BBC"/>
    <w:rsid w:val="00B74C4C"/>
    <w:rsid w:val="00B7562F"/>
    <w:rsid w:val="00B75639"/>
    <w:rsid w:val="00B77358"/>
    <w:rsid w:val="00B77993"/>
    <w:rsid w:val="00B77F66"/>
    <w:rsid w:val="00B819A1"/>
    <w:rsid w:val="00B82EB8"/>
    <w:rsid w:val="00B848C7"/>
    <w:rsid w:val="00B84D88"/>
    <w:rsid w:val="00B850EF"/>
    <w:rsid w:val="00B92E68"/>
    <w:rsid w:val="00B9381E"/>
    <w:rsid w:val="00B94DCA"/>
    <w:rsid w:val="00B951A2"/>
    <w:rsid w:val="00B955DD"/>
    <w:rsid w:val="00B95809"/>
    <w:rsid w:val="00B9630D"/>
    <w:rsid w:val="00B96639"/>
    <w:rsid w:val="00B97B95"/>
    <w:rsid w:val="00B97EEE"/>
    <w:rsid w:val="00BA0EC9"/>
    <w:rsid w:val="00BA3ABC"/>
    <w:rsid w:val="00BA4B19"/>
    <w:rsid w:val="00BA4E30"/>
    <w:rsid w:val="00BA7E73"/>
    <w:rsid w:val="00BB1757"/>
    <w:rsid w:val="00BB1863"/>
    <w:rsid w:val="00BB22AD"/>
    <w:rsid w:val="00BB2660"/>
    <w:rsid w:val="00BB2C13"/>
    <w:rsid w:val="00BB428C"/>
    <w:rsid w:val="00BB4B1A"/>
    <w:rsid w:val="00BB639D"/>
    <w:rsid w:val="00BC0B18"/>
    <w:rsid w:val="00BC1230"/>
    <w:rsid w:val="00BC17ED"/>
    <w:rsid w:val="00BC2653"/>
    <w:rsid w:val="00BC2FB2"/>
    <w:rsid w:val="00BC34D5"/>
    <w:rsid w:val="00BC6C34"/>
    <w:rsid w:val="00BC7C8C"/>
    <w:rsid w:val="00BD020D"/>
    <w:rsid w:val="00BD0428"/>
    <w:rsid w:val="00BD21CD"/>
    <w:rsid w:val="00BD4D6C"/>
    <w:rsid w:val="00BE0095"/>
    <w:rsid w:val="00BE0E28"/>
    <w:rsid w:val="00BE1BD0"/>
    <w:rsid w:val="00BE24CE"/>
    <w:rsid w:val="00BE4A77"/>
    <w:rsid w:val="00BF16C8"/>
    <w:rsid w:val="00BF4BE3"/>
    <w:rsid w:val="00BF6399"/>
    <w:rsid w:val="00BF65F7"/>
    <w:rsid w:val="00BF7454"/>
    <w:rsid w:val="00C00255"/>
    <w:rsid w:val="00C014F5"/>
    <w:rsid w:val="00C056CD"/>
    <w:rsid w:val="00C05B54"/>
    <w:rsid w:val="00C06545"/>
    <w:rsid w:val="00C133BE"/>
    <w:rsid w:val="00C1492E"/>
    <w:rsid w:val="00C15B98"/>
    <w:rsid w:val="00C16A7A"/>
    <w:rsid w:val="00C16EFC"/>
    <w:rsid w:val="00C173C1"/>
    <w:rsid w:val="00C21190"/>
    <w:rsid w:val="00C26E3F"/>
    <w:rsid w:val="00C3292C"/>
    <w:rsid w:val="00C32AB4"/>
    <w:rsid w:val="00C35D28"/>
    <w:rsid w:val="00C35EB7"/>
    <w:rsid w:val="00C360EA"/>
    <w:rsid w:val="00C36901"/>
    <w:rsid w:val="00C36D4D"/>
    <w:rsid w:val="00C41304"/>
    <w:rsid w:val="00C41D2B"/>
    <w:rsid w:val="00C42C73"/>
    <w:rsid w:val="00C42F19"/>
    <w:rsid w:val="00C43936"/>
    <w:rsid w:val="00C45529"/>
    <w:rsid w:val="00C45731"/>
    <w:rsid w:val="00C457FB"/>
    <w:rsid w:val="00C47ADE"/>
    <w:rsid w:val="00C54E86"/>
    <w:rsid w:val="00C554D3"/>
    <w:rsid w:val="00C62725"/>
    <w:rsid w:val="00C64240"/>
    <w:rsid w:val="00C651D9"/>
    <w:rsid w:val="00C66607"/>
    <w:rsid w:val="00C70816"/>
    <w:rsid w:val="00C70B54"/>
    <w:rsid w:val="00C721E6"/>
    <w:rsid w:val="00C72A6F"/>
    <w:rsid w:val="00C81C21"/>
    <w:rsid w:val="00C835B7"/>
    <w:rsid w:val="00C85BB3"/>
    <w:rsid w:val="00C91076"/>
    <w:rsid w:val="00C95DE5"/>
    <w:rsid w:val="00C97D06"/>
    <w:rsid w:val="00CA26EF"/>
    <w:rsid w:val="00CA382E"/>
    <w:rsid w:val="00CA445A"/>
    <w:rsid w:val="00CA614B"/>
    <w:rsid w:val="00CA6DDF"/>
    <w:rsid w:val="00CA6F17"/>
    <w:rsid w:val="00CA73CF"/>
    <w:rsid w:val="00CA7795"/>
    <w:rsid w:val="00CA7870"/>
    <w:rsid w:val="00CA7A24"/>
    <w:rsid w:val="00CB2CD1"/>
    <w:rsid w:val="00CB67DB"/>
    <w:rsid w:val="00CC1BE3"/>
    <w:rsid w:val="00CC1CDC"/>
    <w:rsid w:val="00CC1E4E"/>
    <w:rsid w:val="00CC2565"/>
    <w:rsid w:val="00CC274D"/>
    <w:rsid w:val="00CC458F"/>
    <w:rsid w:val="00CC579C"/>
    <w:rsid w:val="00CC5A2F"/>
    <w:rsid w:val="00CC635E"/>
    <w:rsid w:val="00CD3036"/>
    <w:rsid w:val="00CD4B5A"/>
    <w:rsid w:val="00CD610F"/>
    <w:rsid w:val="00CD7D3B"/>
    <w:rsid w:val="00CE245C"/>
    <w:rsid w:val="00CE297E"/>
    <w:rsid w:val="00CE323C"/>
    <w:rsid w:val="00CE4F66"/>
    <w:rsid w:val="00CE5F46"/>
    <w:rsid w:val="00CF0B75"/>
    <w:rsid w:val="00CF1326"/>
    <w:rsid w:val="00CF2B38"/>
    <w:rsid w:val="00CF2D41"/>
    <w:rsid w:val="00CF43B0"/>
    <w:rsid w:val="00CF4BB1"/>
    <w:rsid w:val="00CF5329"/>
    <w:rsid w:val="00CF569E"/>
    <w:rsid w:val="00CF6BD7"/>
    <w:rsid w:val="00D00C26"/>
    <w:rsid w:val="00D01A38"/>
    <w:rsid w:val="00D021AB"/>
    <w:rsid w:val="00D02A4A"/>
    <w:rsid w:val="00D03A9A"/>
    <w:rsid w:val="00D05D0D"/>
    <w:rsid w:val="00D07B10"/>
    <w:rsid w:val="00D11FDC"/>
    <w:rsid w:val="00D121F4"/>
    <w:rsid w:val="00D13802"/>
    <w:rsid w:val="00D139E3"/>
    <w:rsid w:val="00D14E4C"/>
    <w:rsid w:val="00D14F75"/>
    <w:rsid w:val="00D1518D"/>
    <w:rsid w:val="00D15287"/>
    <w:rsid w:val="00D15748"/>
    <w:rsid w:val="00D16519"/>
    <w:rsid w:val="00D17DFC"/>
    <w:rsid w:val="00D20CC0"/>
    <w:rsid w:val="00D2117C"/>
    <w:rsid w:val="00D21BEB"/>
    <w:rsid w:val="00D23533"/>
    <w:rsid w:val="00D2558C"/>
    <w:rsid w:val="00D27100"/>
    <w:rsid w:val="00D27C9E"/>
    <w:rsid w:val="00D30F87"/>
    <w:rsid w:val="00D337D8"/>
    <w:rsid w:val="00D33A83"/>
    <w:rsid w:val="00D33AFB"/>
    <w:rsid w:val="00D35A86"/>
    <w:rsid w:val="00D35F8D"/>
    <w:rsid w:val="00D37FA3"/>
    <w:rsid w:val="00D40159"/>
    <w:rsid w:val="00D401BB"/>
    <w:rsid w:val="00D40F8F"/>
    <w:rsid w:val="00D438E8"/>
    <w:rsid w:val="00D458D5"/>
    <w:rsid w:val="00D53026"/>
    <w:rsid w:val="00D54628"/>
    <w:rsid w:val="00D547A9"/>
    <w:rsid w:val="00D54A39"/>
    <w:rsid w:val="00D55F07"/>
    <w:rsid w:val="00D56FEE"/>
    <w:rsid w:val="00D610C7"/>
    <w:rsid w:val="00D6127B"/>
    <w:rsid w:val="00D612F0"/>
    <w:rsid w:val="00D6191F"/>
    <w:rsid w:val="00D61E20"/>
    <w:rsid w:val="00D620A0"/>
    <w:rsid w:val="00D63CC9"/>
    <w:rsid w:val="00D646D2"/>
    <w:rsid w:val="00D65943"/>
    <w:rsid w:val="00D65A51"/>
    <w:rsid w:val="00D66F4E"/>
    <w:rsid w:val="00D67105"/>
    <w:rsid w:val="00D705F3"/>
    <w:rsid w:val="00D717C4"/>
    <w:rsid w:val="00D73C85"/>
    <w:rsid w:val="00D73FFC"/>
    <w:rsid w:val="00D7650D"/>
    <w:rsid w:val="00D77A75"/>
    <w:rsid w:val="00D82244"/>
    <w:rsid w:val="00D828FB"/>
    <w:rsid w:val="00D833E8"/>
    <w:rsid w:val="00D85DA5"/>
    <w:rsid w:val="00D870F0"/>
    <w:rsid w:val="00D87F0E"/>
    <w:rsid w:val="00D90CFB"/>
    <w:rsid w:val="00D91166"/>
    <w:rsid w:val="00D917D7"/>
    <w:rsid w:val="00D93625"/>
    <w:rsid w:val="00D93A42"/>
    <w:rsid w:val="00D93F05"/>
    <w:rsid w:val="00D947A7"/>
    <w:rsid w:val="00D94C59"/>
    <w:rsid w:val="00D95D00"/>
    <w:rsid w:val="00D95FCC"/>
    <w:rsid w:val="00D968FD"/>
    <w:rsid w:val="00DA1440"/>
    <w:rsid w:val="00DA15F2"/>
    <w:rsid w:val="00DA20DD"/>
    <w:rsid w:val="00DA232A"/>
    <w:rsid w:val="00DA3C8D"/>
    <w:rsid w:val="00DA54B8"/>
    <w:rsid w:val="00DB1D5D"/>
    <w:rsid w:val="00DB2BF0"/>
    <w:rsid w:val="00DB39C1"/>
    <w:rsid w:val="00DB4700"/>
    <w:rsid w:val="00DB49F1"/>
    <w:rsid w:val="00DB60FF"/>
    <w:rsid w:val="00DB76D7"/>
    <w:rsid w:val="00DC1384"/>
    <w:rsid w:val="00DC2A16"/>
    <w:rsid w:val="00DC2B75"/>
    <w:rsid w:val="00DC36C5"/>
    <w:rsid w:val="00DC4E57"/>
    <w:rsid w:val="00DC5DDF"/>
    <w:rsid w:val="00DC7A42"/>
    <w:rsid w:val="00DD1880"/>
    <w:rsid w:val="00DD3439"/>
    <w:rsid w:val="00DD4A4A"/>
    <w:rsid w:val="00DD75CC"/>
    <w:rsid w:val="00DE26D8"/>
    <w:rsid w:val="00DE4B21"/>
    <w:rsid w:val="00DE5445"/>
    <w:rsid w:val="00DE5528"/>
    <w:rsid w:val="00DE5B6A"/>
    <w:rsid w:val="00DE6DD2"/>
    <w:rsid w:val="00DE7D88"/>
    <w:rsid w:val="00DF0808"/>
    <w:rsid w:val="00DF2C4B"/>
    <w:rsid w:val="00DF35D9"/>
    <w:rsid w:val="00DF3A18"/>
    <w:rsid w:val="00DF3FBA"/>
    <w:rsid w:val="00DF5D4C"/>
    <w:rsid w:val="00E0013D"/>
    <w:rsid w:val="00E02C2A"/>
    <w:rsid w:val="00E03C1D"/>
    <w:rsid w:val="00E0429B"/>
    <w:rsid w:val="00E05329"/>
    <w:rsid w:val="00E0662D"/>
    <w:rsid w:val="00E075DD"/>
    <w:rsid w:val="00E10689"/>
    <w:rsid w:val="00E138FD"/>
    <w:rsid w:val="00E14C8C"/>
    <w:rsid w:val="00E1520F"/>
    <w:rsid w:val="00E167B3"/>
    <w:rsid w:val="00E20E92"/>
    <w:rsid w:val="00E20EEE"/>
    <w:rsid w:val="00E21B5F"/>
    <w:rsid w:val="00E22FC8"/>
    <w:rsid w:val="00E24213"/>
    <w:rsid w:val="00E2425D"/>
    <w:rsid w:val="00E2548C"/>
    <w:rsid w:val="00E25FCF"/>
    <w:rsid w:val="00E2693B"/>
    <w:rsid w:val="00E27DA0"/>
    <w:rsid w:val="00E30B5B"/>
    <w:rsid w:val="00E323CF"/>
    <w:rsid w:val="00E35B67"/>
    <w:rsid w:val="00E376F5"/>
    <w:rsid w:val="00E37E98"/>
    <w:rsid w:val="00E405C2"/>
    <w:rsid w:val="00E4496A"/>
    <w:rsid w:val="00E46597"/>
    <w:rsid w:val="00E47F7C"/>
    <w:rsid w:val="00E57440"/>
    <w:rsid w:val="00E60FDA"/>
    <w:rsid w:val="00E61114"/>
    <w:rsid w:val="00E612C6"/>
    <w:rsid w:val="00E62AE3"/>
    <w:rsid w:val="00E647AE"/>
    <w:rsid w:val="00E66B9A"/>
    <w:rsid w:val="00E72B91"/>
    <w:rsid w:val="00E73720"/>
    <w:rsid w:val="00E74B81"/>
    <w:rsid w:val="00E77A8A"/>
    <w:rsid w:val="00E8035B"/>
    <w:rsid w:val="00E83EC3"/>
    <w:rsid w:val="00E846AA"/>
    <w:rsid w:val="00E84DF8"/>
    <w:rsid w:val="00E862FC"/>
    <w:rsid w:val="00E9177E"/>
    <w:rsid w:val="00E929B1"/>
    <w:rsid w:val="00E93CFF"/>
    <w:rsid w:val="00E95104"/>
    <w:rsid w:val="00E9520F"/>
    <w:rsid w:val="00E958D2"/>
    <w:rsid w:val="00EA1AC0"/>
    <w:rsid w:val="00EA1EB3"/>
    <w:rsid w:val="00EA1F23"/>
    <w:rsid w:val="00EA20D0"/>
    <w:rsid w:val="00EA3FD0"/>
    <w:rsid w:val="00EA40CA"/>
    <w:rsid w:val="00EA425E"/>
    <w:rsid w:val="00EA4C51"/>
    <w:rsid w:val="00EA5225"/>
    <w:rsid w:val="00EA5702"/>
    <w:rsid w:val="00EA5F4E"/>
    <w:rsid w:val="00EA6CE8"/>
    <w:rsid w:val="00EB094B"/>
    <w:rsid w:val="00EB147A"/>
    <w:rsid w:val="00EB20C1"/>
    <w:rsid w:val="00EB667C"/>
    <w:rsid w:val="00EC0FEE"/>
    <w:rsid w:val="00EC13EC"/>
    <w:rsid w:val="00EC1662"/>
    <w:rsid w:val="00EC3D0B"/>
    <w:rsid w:val="00EC64DB"/>
    <w:rsid w:val="00EC6A95"/>
    <w:rsid w:val="00ED5D14"/>
    <w:rsid w:val="00ED5E60"/>
    <w:rsid w:val="00ED62B0"/>
    <w:rsid w:val="00ED7E64"/>
    <w:rsid w:val="00EE0CD0"/>
    <w:rsid w:val="00EE29DC"/>
    <w:rsid w:val="00EE2EE2"/>
    <w:rsid w:val="00EE3104"/>
    <w:rsid w:val="00EE3E48"/>
    <w:rsid w:val="00EE571B"/>
    <w:rsid w:val="00EE5913"/>
    <w:rsid w:val="00EE68A8"/>
    <w:rsid w:val="00EF0053"/>
    <w:rsid w:val="00EF11F8"/>
    <w:rsid w:val="00EF27BD"/>
    <w:rsid w:val="00EF4B1A"/>
    <w:rsid w:val="00EF7750"/>
    <w:rsid w:val="00F01D33"/>
    <w:rsid w:val="00F05810"/>
    <w:rsid w:val="00F059AC"/>
    <w:rsid w:val="00F06851"/>
    <w:rsid w:val="00F06E7A"/>
    <w:rsid w:val="00F06F2D"/>
    <w:rsid w:val="00F077DB"/>
    <w:rsid w:val="00F10468"/>
    <w:rsid w:val="00F10614"/>
    <w:rsid w:val="00F11583"/>
    <w:rsid w:val="00F13BFF"/>
    <w:rsid w:val="00F15DE3"/>
    <w:rsid w:val="00F16D16"/>
    <w:rsid w:val="00F17ED2"/>
    <w:rsid w:val="00F32C7B"/>
    <w:rsid w:val="00F33193"/>
    <w:rsid w:val="00F33A21"/>
    <w:rsid w:val="00F33B45"/>
    <w:rsid w:val="00F359D3"/>
    <w:rsid w:val="00F362BA"/>
    <w:rsid w:val="00F36E4C"/>
    <w:rsid w:val="00F37A85"/>
    <w:rsid w:val="00F4114C"/>
    <w:rsid w:val="00F41DA4"/>
    <w:rsid w:val="00F43C8B"/>
    <w:rsid w:val="00F44715"/>
    <w:rsid w:val="00F478EA"/>
    <w:rsid w:val="00F55B62"/>
    <w:rsid w:val="00F563F8"/>
    <w:rsid w:val="00F56D73"/>
    <w:rsid w:val="00F56FB0"/>
    <w:rsid w:val="00F57814"/>
    <w:rsid w:val="00F6001F"/>
    <w:rsid w:val="00F6050D"/>
    <w:rsid w:val="00F6202F"/>
    <w:rsid w:val="00F62632"/>
    <w:rsid w:val="00F64D1E"/>
    <w:rsid w:val="00F64D80"/>
    <w:rsid w:val="00F64E7D"/>
    <w:rsid w:val="00F65BB1"/>
    <w:rsid w:val="00F73A61"/>
    <w:rsid w:val="00F740F8"/>
    <w:rsid w:val="00F76ADF"/>
    <w:rsid w:val="00F7755E"/>
    <w:rsid w:val="00F77BF9"/>
    <w:rsid w:val="00F80CB3"/>
    <w:rsid w:val="00F80DD8"/>
    <w:rsid w:val="00F815FD"/>
    <w:rsid w:val="00F84941"/>
    <w:rsid w:val="00F91EBD"/>
    <w:rsid w:val="00F92E7F"/>
    <w:rsid w:val="00F9364B"/>
    <w:rsid w:val="00F94731"/>
    <w:rsid w:val="00F948C9"/>
    <w:rsid w:val="00F94AE4"/>
    <w:rsid w:val="00F97B9B"/>
    <w:rsid w:val="00FA1B10"/>
    <w:rsid w:val="00FA1E88"/>
    <w:rsid w:val="00FA6305"/>
    <w:rsid w:val="00FB1E36"/>
    <w:rsid w:val="00FB59DF"/>
    <w:rsid w:val="00FC2AC3"/>
    <w:rsid w:val="00FC42B6"/>
    <w:rsid w:val="00FC4604"/>
    <w:rsid w:val="00FC4D0F"/>
    <w:rsid w:val="00FC776D"/>
    <w:rsid w:val="00FC79AC"/>
    <w:rsid w:val="00FC7CC2"/>
    <w:rsid w:val="00FD05B4"/>
    <w:rsid w:val="00FD2640"/>
    <w:rsid w:val="00FD56EF"/>
    <w:rsid w:val="00FD59B9"/>
    <w:rsid w:val="00FD5E88"/>
    <w:rsid w:val="00FD71D8"/>
    <w:rsid w:val="00FE38AE"/>
    <w:rsid w:val="00FE5497"/>
    <w:rsid w:val="00FE63C0"/>
    <w:rsid w:val="00FE783E"/>
    <w:rsid w:val="00FF04E7"/>
    <w:rsid w:val="00FF2536"/>
    <w:rsid w:val="00FF2749"/>
    <w:rsid w:val="00FF2C33"/>
    <w:rsid w:val="00FF43B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A42"/>
    <w:rPr>
      <w:sz w:val="24"/>
      <w:lang w:val="en-US" w:eastAsia="en-US"/>
    </w:rPr>
  </w:style>
  <w:style w:type="paragraph" w:styleId="Heading1">
    <w:name w:val="heading 1"/>
    <w:basedOn w:val="Normal"/>
    <w:next w:val="Normal"/>
    <w:qFormat/>
    <w:rsid w:val="00F948C9"/>
    <w:pPr>
      <w:keepNext/>
      <w:spacing w:before="240" w:after="120"/>
      <w:outlineLvl w:val="0"/>
    </w:pPr>
    <w:rPr>
      <w:b/>
      <w:kern w:val="28"/>
      <w:sz w:val="28"/>
    </w:rPr>
  </w:style>
  <w:style w:type="paragraph" w:styleId="Heading2">
    <w:name w:val="heading 2"/>
    <w:basedOn w:val="Normal"/>
    <w:next w:val="Normal"/>
    <w:qFormat/>
    <w:rsid w:val="00F815FD"/>
    <w:pPr>
      <w:keepNext/>
      <w:numPr>
        <w:ilvl w:val="1"/>
        <w:numId w:val="1"/>
      </w:numPr>
      <w:spacing w:before="240" w:after="240"/>
      <w:outlineLvl w:val="1"/>
    </w:pPr>
    <w:rPr>
      <w:b/>
    </w:rPr>
  </w:style>
  <w:style w:type="paragraph" w:styleId="Heading3">
    <w:name w:val="heading 3"/>
    <w:basedOn w:val="Heading2"/>
    <w:next w:val="Normal"/>
    <w:qFormat/>
    <w:rsid w:val="00F815FD"/>
    <w:pPr>
      <w:numPr>
        <w:ilvl w:val="2"/>
      </w:numPr>
      <w:outlineLvl w:val="2"/>
    </w:pPr>
    <w:rPr>
      <w:b w:val="0"/>
    </w:rPr>
  </w:style>
  <w:style w:type="paragraph" w:styleId="Heading4">
    <w:name w:val="heading 4"/>
    <w:basedOn w:val="Normal"/>
    <w:next w:val="Normal"/>
    <w:qFormat/>
    <w:rsid w:val="00F815FD"/>
    <w:pPr>
      <w:keepNext/>
      <w:numPr>
        <w:ilvl w:val="3"/>
        <w:numId w:val="1"/>
      </w:numPr>
      <w:outlineLvl w:val="3"/>
    </w:pPr>
    <w:rPr>
      <w:b/>
      <w:sz w:val="28"/>
    </w:rPr>
  </w:style>
  <w:style w:type="paragraph" w:styleId="Heading5">
    <w:name w:val="heading 5"/>
    <w:basedOn w:val="Normal"/>
    <w:next w:val="Normal"/>
    <w:qFormat/>
    <w:rsid w:val="00F815FD"/>
    <w:pPr>
      <w:numPr>
        <w:ilvl w:val="4"/>
        <w:numId w:val="1"/>
      </w:numPr>
      <w:spacing w:before="240" w:after="60"/>
      <w:outlineLvl w:val="4"/>
    </w:pPr>
    <w:rPr>
      <w:b/>
      <w:bCs/>
      <w:i/>
      <w:iCs/>
      <w:sz w:val="26"/>
      <w:szCs w:val="26"/>
    </w:rPr>
  </w:style>
  <w:style w:type="paragraph" w:styleId="Heading6">
    <w:name w:val="heading 6"/>
    <w:basedOn w:val="Normal"/>
    <w:next w:val="Normal"/>
    <w:qFormat/>
    <w:rsid w:val="00F815FD"/>
    <w:pPr>
      <w:numPr>
        <w:ilvl w:val="5"/>
        <w:numId w:val="1"/>
      </w:numPr>
      <w:spacing w:before="240" w:after="60"/>
      <w:outlineLvl w:val="5"/>
    </w:pPr>
    <w:rPr>
      <w:b/>
      <w:bCs/>
      <w:sz w:val="22"/>
      <w:szCs w:val="22"/>
    </w:rPr>
  </w:style>
  <w:style w:type="paragraph" w:styleId="Heading7">
    <w:name w:val="heading 7"/>
    <w:basedOn w:val="Normal"/>
    <w:next w:val="Normal"/>
    <w:qFormat/>
    <w:rsid w:val="00F815FD"/>
    <w:pPr>
      <w:numPr>
        <w:ilvl w:val="6"/>
        <w:numId w:val="1"/>
      </w:numPr>
      <w:spacing w:before="240" w:after="60"/>
      <w:outlineLvl w:val="6"/>
    </w:pPr>
    <w:rPr>
      <w:szCs w:val="24"/>
    </w:rPr>
  </w:style>
  <w:style w:type="paragraph" w:styleId="Heading8">
    <w:name w:val="heading 8"/>
    <w:basedOn w:val="Normal"/>
    <w:next w:val="Normal"/>
    <w:qFormat/>
    <w:rsid w:val="00F815FD"/>
    <w:pPr>
      <w:numPr>
        <w:ilvl w:val="7"/>
        <w:numId w:val="1"/>
      </w:numPr>
      <w:spacing w:before="240" w:after="60"/>
      <w:outlineLvl w:val="7"/>
    </w:pPr>
    <w:rPr>
      <w:i/>
      <w:iCs/>
      <w:szCs w:val="24"/>
    </w:rPr>
  </w:style>
  <w:style w:type="paragraph" w:styleId="Heading9">
    <w:name w:val="heading 9"/>
    <w:basedOn w:val="Normal"/>
    <w:next w:val="Normal"/>
    <w:qFormat/>
    <w:rsid w:val="00F815F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15FD"/>
    <w:pPr>
      <w:tabs>
        <w:tab w:val="center" w:pos="4320"/>
        <w:tab w:val="right" w:pos="8640"/>
      </w:tabs>
    </w:pPr>
  </w:style>
  <w:style w:type="paragraph" w:styleId="Footer">
    <w:name w:val="footer"/>
    <w:basedOn w:val="Normal"/>
    <w:rsid w:val="00F815FD"/>
    <w:pPr>
      <w:tabs>
        <w:tab w:val="center" w:pos="4320"/>
        <w:tab w:val="right" w:pos="8640"/>
      </w:tabs>
    </w:pPr>
  </w:style>
  <w:style w:type="paragraph" w:styleId="FootnoteText">
    <w:name w:val="footnote text"/>
    <w:basedOn w:val="Normal"/>
    <w:semiHidden/>
    <w:rsid w:val="00F815FD"/>
    <w:rPr>
      <w:sz w:val="20"/>
    </w:rPr>
  </w:style>
  <w:style w:type="character" w:styleId="FootnoteReference">
    <w:name w:val="footnote reference"/>
    <w:semiHidden/>
    <w:rsid w:val="00F815FD"/>
    <w:rPr>
      <w:vertAlign w:val="superscript"/>
    </w:rPr>
  </w:style>
  <w:style w:type="paragraph" w:styleId="TOC1">
    <w:name w:val="toc 1"/>
    <w:basedOn w:val="Normal"/>
    <w:next w:val="Normal"/>
    <w:autoRedefine/>
    <w:uiPriority w:val="39"/>
    <w:rsid w:val="00940DA6"/>
    <w:pPr>
      <w:tabs>
        <w:tab w:val="left" w:pos="567"/>
        <w:tab w:val="right" w:leader="dot" w:pos="9350"/>
      </w:tabs>
    </w:pPr>
    <w:rPr>
      <w:noProof/>
      <w:szCs w:val="28"/>
    </w:rPr>
  </w:style>
  <w:style w:type="paragraph" w:styleId="BodyTextIndent2">
    <w:name w:val="Body Text Indent 2"/>
    <w:basedOn w:val="Normal"/>
    <w:rsid w:val="00F815FD"/>
    <w:pPr>
      <w:ind w:firstLine="709"/>
    </w:pPr>
    <w:rPr>
      <w:lang w:val="en-GB"/>
    </w:rPr>
  </w:style>
  <w:style w:type="character" w:customStyle="1" w:styleId="CharChar">
    <w:name w:val="Char Char"/>
    <w:rsid w:val="00F815FD"/>
    <w:rPr>
      <w:sz w:val="24"/>
      <w:lang w:val="en-GB" w:eastAsia="en-US" w:bidi="ar-SA"/>
    </w:rPr>
  </w:style>
  <w:style w:type="paragraph" w:styleId="TOC2">
    <w:name w:val="toc 2"/>
    <w:basedOn w:val="Normal"/>
    <w:next w:val="Normal"/>
    <w:autoRedefine/>
    <w:uiPriority w:val="39"/>
    <w:rsid w:val="00940DA6"/>
    <w:pPr>
      <w:tabs>
        <w:tab w:val="left" w:pos="993"/>
        <w:tab w:val="right" w:leader="dot" w:pos="9338"/>
      </w:tabs>
      <w:ind w:left="284"/>
    </w:pPr>
    <w:rPr>
      <w:noProof/>
    </w:rPr>
  </w:style>
  <w:style w:type="paragraph" w:styleId="TOC3">
    <w:name w:val="toc 3"/>
    <w:basedOn w:val="Normal"/>
    <w:next w:val="Normal"/>
    <w:autoRedefine/>
    <w:uiPriority w:val="39"/>
    <w:rsid w:val="00940DA6"/>
    <w:pPr>
      <w:tabs>
        <w:tab w:val="left" w:pos="1276"/>
        <w:tab w:val="right" w:leader="dot" w:pos="9350"/>
      </w:tabs>
      <w:ind w:left="480" w:firstLine="87"/>
    </w:pPr>
  </w:style>
  <w:style w:type="paragraph" w:styleId="TOC4">
    <w:name w:val="toc 4"/>
    <w:basedOn w:val="Normal"/>
    <w:next w:val="Normal"/>
    <w:autoRedefine/>
    <w:semiHidden/>
    <w:rsid w:val="00F815FD"/>
    <w:pPr>
      <w:ind w:left="720"/>
    </w:pPr>
  </w:style>
  <w:style w:type="paragraph" w:styleId="TOC5">
    <w:name w:val="toc 5"/>
    <w:basedOn w:val="Normal"/>
    <w:next w:val="Normal"/>
    <w:autoRedefine/>
    <w:semiHidden/>
    <w:rsid w:val="00F815FD"/>
    <w:pPr>
      <w:ind w:left="960"/>
    </w:pPr>
  </w:style>
  <w:style w:type="paragraph" w:styleId="TOC6">
    <w:name w:val="toc 6"/>
    <w:basedOn w:val="Normal"/>
    <w:next w:val="Normal"/>
    <w:autoRedefine/>
    <w:semiHidden/>
    <w:rsid w:val="00F815FD"/>
    <w:pPr>
      <w:ind w:left="1200"/>
    </w:pPr>
  </w:style>
  <w:style w:type="paragraph" w:styleId="TOC7">
    <w:name w:val="toc 7"/>
    <w:basedOn w:val="Normal"/>
    <w:next w:val="Normal"/>
    <w:autoRedefine/>
    <w:semiHidden/>
    <w:rsid w:val="00F815FD"/>
    <w:pPr>
      <w:ind w:left="1440"/>
    </w:pPr>
  </w:style>
  <w:style w:type="paragraph" w:styleId="TOC8">
    <w:name w:val="toc 8"/>
    <w:basedOn w:val="Normal"/>
    <w:next w:val="Normal"/>
    <w:autoRedefine/>
    <w:semiHidden/>
    <w:rsid w:val="00F815FD"/>
    <w:pPr>
      <w:ind w:left="1680"/>
    </w:pPr>
  </w:style>
  <w:style w:type="paragraph" w:styleId="TOC9">
    <w:name w:val="toc 9"/>
    <w:basedOn w:val="Normal"/>
    <w:next w:val="Normal"/>
    <w:autoRedefine/>
    <w:semiHidden/>
    <w:rsid w:val="00F815FD"/>
    <w:pPr>
      <w:ind w:left="1920"/>
    </w:pPr>
  </w:style>
  <w:style w:type="character" w:styleId="Hyperlink">
    <w:name w:val="Hyperlink"/>
    <w:rsid w:val="00F815FD"/>
    <w:rPr>
      <w:color w:val="0000FF"/>
      <w:u w:val="single"/>
    </w:rPr>
  </w:style>
  <w:style w:type="paragraph" w:styleId="BalloonText">
    <w:name w:val="Balloon Text"/>
    <w:basedOn w:val="Normal"/>
    <w:semiHidden/>
    <w:rsid w:val="00F815FD"/>
    <w:rPr>
      <w:rFonts w:ascii="Tahoma" w:hAnsi="Tahoma" w:cs="Tahoma"/>
      <w:sz w:val="16"/>
      <w:szCs w:val="16"/>
    </w:rPr>
  </w:style>
  <w:style w:type="character" w:styleId="CommentReference">
    <w:name w:val="annotation reference"/>
    <w:semiHidden/>
    <w:rsid w:val="00F815FD"/>
    <w:rPr>
      <w:sz w:val="16"/>
      <w:szCs w:val="16"/>
    </w:rPr>
  </w:style>
  <w:style w:type="paragraph" w:styleId="CommentText">
    <w:name w:val="annotation text"/>
    <w:basedOn w:val="Normal"/>
    <w:semiHidden/>
    <w:rsid w:val="00F815FD"/>
    <w:rPr>
      <w:sz w:val="20"/>
    </w:rPr>
  </w:style>
  <w:style w:type="paragraph" w:styleId="CommentSubject">
    <w:name w:val="annotation subject"/>
    <w:basedOn w:val="CommentText"/>
    <w:next w:val="CommentText"/>
    <w:semiHidden/>
    <w:rsid w:val="00F815FD"/>
    <w:rPr>
      <w:b/>
      <w:bCs/>
    </w:rPr>
  </w:style>
  <w:style w:type="paragraph" w:styleId="NormalWeb">
    <w:name w:val="Normal (Web)"/>
    <w:basedOn w:val="Normal"/>
    <w:rsid w:val="00F815FD"/>
    <w:pPr>
      <w:spacing w:before="100" w:beforeAutospacing="1" w:after="100" w:afterAutospacing="1"/>
    </w:pPr>
    <w:rPr>
      <w:szCs w:val="24"/>
    </w:rPr>
  </w:style>
  <w:style w:type="character" w:customStyle="1" w:styleId="cataloguedetail-doctitle1">
    <w:name w:val="cataloguedetail-doctitle1"/>
    <w:rsid w:val="00F478EA"/>
    <w:rPr>
      <w:rFonts w:ascii="Verdana" w:hAnsi="Verdana" w:hint="default"/>
      <w:b/>
      <w:bCs/>
      <w:color w:val="002597"/>
      <w:sz w:val="18"/>
      <w:szCs w:val="18"/>
    </w:rPr>
  </w:style>
  <w:style w:type="character" w:styleId="FollowedHyperlink">
    <w:name w:val="FollowedHyperlink"/>
    <w:rsid w:val="0030182C"/>
    <w:rPr>
      <w:color w:val="800080"/>
      <w:u w:val="single"/>
    </w:rPr>
  </w:style>
  <w:style w:type="paragraph" w:customStyle="1" w:styleId="Revision1">
    <w:name w:val="Revision1"/>
    <w:hidden/>
    <w:uiPriority w:val="99"/>
    <w:semiHidden/>
    <w:rsid w:val="00870554"/>
    <w:rPr>
      <w:sz w:val="24"/>
      <w:lang w:val="en-US" w:eastAsia="en-US"/>
    </w:rPr>
  </w:style>
  <w:style w:type="character" w:styleId="LineNumber">
    <w:name w:val="line number"/>
    <w:basedOn w:val="DefaultParagraphFont"/>
    <w:rsid w:val="00870554"/>
  </w:style>
  <w:style w:type="table" w:styleId="TableGrid">
    <w:name w:val="Table Grid"/>
    <w:basedOn w:val="TableNormal"/>
    <w:rsid w:val="0024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NoNumber">
    <w:name w:val="Heading No Number"/>
    <w:basedOn w:val="Heading1"/>
    <w:rsid w:val="00FC776D"/>
    <w:pPr>
      <w:tabs>
        <w:tab w:val="left" w:pos="432"/>
      </w:tabs>
      <w:ind w:left="432"/>
    </w:pPr>
  </w:style>
  <w:style w:type="paragraph" w:customStyle="1" w:styleId="StyleHeadingNoNumberLeft03Hanging003">
    <w:name w:val="Style Heading No Number + Left:  0.3&quot; Hanging:  0.03&quot;"/>
    <w:basedOn w:val="HeadingNoNumber"/>
    <w:rsid w:val="00FC776D"/>
    <w:rPr>
      <w:bCs/>
    </w:rPr>
  </w:style>
  <w:style w:type="character" w:styleId="Emphasis">
    <w:name w:val="Emphasis"/>
    <w:qFormat/>
    <w:rsid w:val="004B4CF0"/>
    <w:rPr>
      <w:i/>
      <w:iCs/>
    </w:rPr>
  </w:style>
  <w:style w:type="paragraph" w:customStyle="1" w:styleId="Texttype2">
    <w:name w:val="Text type 2"/>
    <w:basedOn w:val="Normal"/>
    <w:next w:val="Normal"/>
    <w:rsid w:val="00C36D4D"/>
    <w:pPr>
      <w:autoSpaceDE w:val="0"/>
      <w:autoSpaceDN w:val="0"/>
      <w:adjustRightInd w:val="0"/>
    </w:pPr>
    <w:rPr>
      <w:szCs w:val="24"/>
      <w:lang w:val="en-CA" w:eastAsia="en-CA"/>
    </w:rPr>
  </w:style>
  <w:style w:type="numbering" w:customStyle="1" w:styleId="Bullet1">
    <w:name w:val="Bullet 1"/>
    <w:rsid w:val="00C36D4D"/>
    <w:pPr>
      <w:numPr>
        <w:numId w:val="11"/>
      </w:numPr>
    </w:pPr>
  </w:style>
  <w:style w:type="paragraph" w:customStyle="1" w:styleId="def-exp">
    <w:name w:val="def-exp"/>
    <w:basedOn w:val="Normal"/>
    <w:next w:val="Normal"/>
    <w:rsid w:val="008E006F"/>
    <w:pPr>
      <w:ind w:left="1701" w:hanging="1701"/>
    </w:pPr>
    <w:rPr>
      <w:i/>
    </w:rPr>
  </w:style>
  <w:style w:type="character" w:customStyle="1" w:styleId="HeaderChar">
    <w:name w:val="Header Char"/>
    <w:basedOn w:val="DefaultParagraphFont"/>
    <w:link w:val="Header"/>
    <w:uiPriority w:val="99"/>
    <w:rsid w:val="004E76B9"/>
    <w:rPr>
      <w:sz w:val="24"/>
      <w:lang w:eastAsia="en-US"/>
    </w:rPr>
  </w:style>
</w:styles>
</file>

<file path=word/webSettings.xml><?xml version="1.0" encoding="utf-8"?>
<w:webSettings xmlns:r="http://schemas.openxmlformats.org/officeDocument/2006/relationships" xmlns:w="http://schemas.openxmlformats.org/wordprocessingml/2006/main">
  <w:divs>
    <w:div w:id="2783500">
      <w:bodyDiv w:val="1"/>
      <w:marLeft w:val="0"/>
      <w:marRight w:val="0"/>
      <w:marTop w:val="0"/>
      <w:marBottom w:val="0"/>
      <w:divBdr>
        <w:top w:val="none" w:sz="0" w:space="0" w:color="auto"/>
        <w:left w:val="none" w:sz="0" w:space="0" w:color="auto"/>
        <w:bottom w:val="none" w:sz="0" w:space="0" w:color="auto"/>
        <w:right w:val="none" w:sz="0" w:space="0" w:color="auto"/>
      </w:divBdr>
    </w:div>
    <w:div w:id="101531805">
      <w:bodyDiv w:val="1"/>
      <w:marLeft w:val="0"/>
      <w:marRight w:val="0"/>
      <w:marTop w:val="0"/>
      <w:marBottom w:val="0"/>
      <w:divBdr>
        <w:top w:val="none" w:sz="0" w:space="0" w:color="auto"/>
        <w:left w:val="none" w:sz="0" w:space="0" w:color="auto"/>
        <w:bottom w:val="none" w:sz="0" w:space="0" w:color="auto"/>
        <w:right w:val="none" w:sz="0" w:space="0" w:color="auto"/>
      </w:divBdr>
    </w:div>
    <w:div w:id="127166032">
      <w:bodyDiv w:val="1"/>
      <w:marLeft w:val="0"/>
      <w:marRight w:val="0"/>
      <w:marTop w:val="0"/>
      <w:marBottom w:val="0"/>
      <w:divBdr>
        <w:top w:val="none" w:sz="0" w:space="0" w:color="auto"/>
        <w:left w:val="none" w:sz="0" w:space="0" w:color="auto"/>
        <w:bottom w:val="none" w:sz="0" w:space="0" w:color="auto"/>
        <w:right w:val="none" w:sz="0" w:space="0" w:color="auto"/>
      </w:divBdr>
    </w:div>
    <w:div w:id="422921206">
      <w:bodyDiv w:val="1"/>
      <w:marLeft w:val="0"/>
      <w:marRight w:val="0"/>
      <w:marTop w:val="0"/>
      <w:marBottom w:val="0"/>
      <w:divBdr>
        <w:top w:val="none" w:sz="0" w:space="0" w:color="auto"/>
        <w:left w:val="none" w:sz="0" w:space="0" w:color="auto"/>
        <w:bottom w:val="none" w:sz="0" w:space="0" w:color="auto"/>
        <w:right w:val="none" w:sz="0" w:space="0" w:color="auto"/>
      </w:divBdr>
      <w:divsChild>
        <w:div w:id="1300764230">
          <w:marLeft w:val="0"/>
          <w:marRight w:val="0"/>
          <w:marTop w:val="0"/>
          <w:marBottom w:val="0"/>
          <w:divBdr>
            <w:top w:val="none" w:sz="0" w:space="0" w:color="auto"/>
            <w:left w:val="none" w:sz="0" w:space="0" w:color="auto"/>
            <w:bottom w:val="none" w:sz="0" w:space="0" w:color="auto"/>
            <w:right w:val="none" w:sz="0" w:space="0" w:color="auto"/>
          </w:divBdr>
        </w:div>
      </w:divsChild>
    </w:div>
    <w:div w:id="472604661">
      <w:bodyDiv w:val="1"/>
      <w:marLeft w:val="0"/>
      <w:marRight w:val="0"/>
      <w:marTop w:val="0"/>
      <w:marBottom w:val="0"/>
      <w:divBdr>
        <w:top w:val="none" w:sz="0" w:space="0" w:color="auto"/>
        <w:left w:val="none" w:sz="0" w:space="0" w:color="auto"/>
        <w:bottom w:val="none" w:sz="0" w:space="0" w:color="auto"/>
        <w:right w:val="none" w:sz="0" w:space="0" w:color="auto"/>
      </w:divBdr>
      <w:divsChild>
        <w:div w:id="152651718">
          <w:marLeft w:val="0"/>
          <w:marRight w:val="0"/>
          <w:marTop w:val="0"/>
          <w:marBottom w:val="0"/>
          <w:divBdr>
            <w:top w:val="none" w:sz="0" w:space="0" w:color="auto"/>
            <w:left w:val="none" w:sz="0" w:space="0" w:color="auto"/>
            <w:bottom w:val="none" w:sz="0" w:space="0" w:color="auto"/>
            <w:right w:val="none" w:sz="0" w:space="0" w:color="auto"/>
          </w:divBdr>
          <w:divsChild>
            <w:div w:id="147479692">
              <w:marLeft w:val="0"/>
              <w:marRight w:val="0"/>
              <w:marTop w:val="0"/>
              <w:marBottom w:val="0"/>
              <w:divBdr>
                <w:top w:val="none" w:sz="0" w:space="0" w:color="auto"/>
                <w:left w:val="none" w:sz="0" w:space="0" w:color="auto"/>
                <w:bottom w:val="none" w:sz="0" w:space="0" w:color="auto"/>
                <w:right w:val="none" w:sz="0" w:space="0" w:color="auto"/>
              </w:divBdr>
              <w:divsChild>
                <w:div w:id="256180408">
                  <w:marLeft w:val="0"/>
                  <w:marRight w:val="0"/>
                  <w:marTop w:val="0"/>
                  <w:marBottom w:val="0"/>
                  <w:divBdr>
                    <w:top w:val="none" w:sz="0" w:space="0" w:color="auto"/>
                    <w:left w:val="none" w:sz="0" w:space="0" w:color="auto"/>
                    <w:bottom w:val="none" w:sz="0" w:space="0" w:color="auto"/>
                    <w:right w:val="none" w:sz="0" w:space="0" w:color="auto"/>
                  </w:divBdr>
                  <w:divsChild>
                    <w:div w:id="21655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60309">
      <w:bodyDiv w:val="1"/>
      <w:marLeft w:val="0"/>
      <w:marRight w:val="0"/>
      <w:marTop w:val="0"/>
      <w:marBottom w:val="0"/>
      <w:divBdr>
        <w:top w:val="none" w:sz="0" w:space="0" w:color="auto"/>
        <w:left w:val="none" w:sz="0" w:space="0" w:color="auto"/>
        <w:bottom w:val="none" w:sz="0" w:space="0" w:color="auto"/>
        <w:right w:val="none" w:sz="0" w:space="0" w:color="auto"/>
      </w:divBdr>
      <w:divsChild>
        <w:div w:id="1827043008">
          <w:marLeft w:val="0"/>
          <w:marRight w:val="0"/>
          <w:marTop w:val="0"/>
          <w:marBottom w:val="0"/>
          <w:divBdr>
            <w:top w:val="none" w:sz="0" w:space="0" w:color="auto"/>
            <w:left w:val="none" w:sz="0" w:space="0" w:color="auto"/>
            <w:bottom w:val="none" w:sz="0" w:space="0" w:color="auto"/>
            <w:right w:val="none" w:sz="0" w:space="0" w:color="auto"/>
          </w:divBdr>
          <w:divsChild>
            <w:div w:id="705522515">
              <w:marLeft w:val="0"/>
              <w:marRight w:val="0"/>
              <w:marTop w:val="0"/>
              <w:marBottom w:val="0"/>
              <w:divBdr>
                <w:top w:val="none" w:sz="0" w:space="0" w:color="auto"/>
                <w:left w:val="none" w:sz="0" w:space="0" w:color="auto"/>
                <w:bottom w:val="none" w:sz="0" w:space="0" w:color="auto"/>
                <w:right w:val="none" w:sz="0" w:space="0" w:color="auto"/>
              </w:divBdr>
              <w:divsChild>
                <w:div w:id="1470244174">
                  <w:marLeft w:val="0"/>
                  <w:marRight w:val="0"/>
                  <w:marTop w:val="0"/>
                  <w:marBottom w:val="0"/>
                  <w:divBdr>
                    <w:top w:val="none" w:sz="0" w:space="0" w:color="auto"/>
                    <w:left w:val="none" w:sz="0" w:space="0" w:color="auto"/>
                    <w:bottom w:val="none" w:sz="0" w:space="0" w:color="auto"/>
                    <w:right w:val="none" w:sz="0" w:space="0" w:color="auto"/>
                  </w:divBdr>
                  <w:divsChild>
                    <w:div w:id="177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6303">
      <w:bodyDiv w:val="1"/>
      <w:marLeft w:val="0"/>
      <w:marRight w:val="0"/>
      <w:marTop w:val="0"/>
      <w:marBottom w:val="0"/>
      <w:divBdr>
        <w:top w:val="none" w:sz="0" w:space="0" w:color="auto"/>
        <w:left w:val="none" w:sz="0" w:space="0" w:color="auto"/>
        <w:bottom w:val="none" w:sz="0" w:space="0" w:color="auto"/>
        <w:right w:val="none" w:sz="0" w:space="0" w:color="auto"/>
      </w:divBdr>
      <w:divsChild>
        <w:div w:id="445394973">
          <w:marLeft w:val="0"/>
          <w:marRight w:val="0"/>
          <w:marTop w:val="0"/>
          <w:marBottom w:val="0"/>
          <w:divBdr>
            <w:top w:val="none" w:sz="0" w:space="0" w:color="auto"/>
            <w:left w:val="none" w:sz="0" w:space="0" w:color="auto"/>
            <w:bottom w:val="none" w:sz="0" w:space="0" w:color="auto"/>
            <w:right w:val="none" w:sz="0" w:space="0" w:color="auto"/>
          </w:divBdr>
          <w:divsChild>
            <w:div w:id="2284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1419">
      <w:bodyDiv w:val="1"/>
      <w:marLeft w:val="0"/>
      <w:marRight w:val="0"/>
      <w:marTop w:val="0"/>
      <w:marBottom w:val="0"/>
      <w:divBdr>
        <w:top w:val="none" w:sz="0" w:space="0" w:color="auto"/>
        <w:left w:val="none" w:sz="0" w:space="0" w:color="auto"/>
        <w:bottom w:val="none" w:sz="0" w:space="0" w:color="auto"/>
        <w:right w:val="none" w:sz="0" w:space="0" w:color="auto"/>
      </w:divBdr>
      <w:divsChild>
        <w:div w:id="279844781">
          <w:marLeft w:val="0"/>
          <w:marRight w:val="0"/>
          <w:marTop w:val="0"/>
          <w:marBottom w:val="0"/>
          <w:divBdr>
            <w:top w:val="none" w:sz="0" w:space="0" w:color="auto"/>
            <w:left w:val="none" w:sz="0" w:space="0" w:color="auto"/>
            <w:bottom w:val="none" w:sz="0" w:space="0" w:color="auto"/>
            <w:right w:val="none" w:sz="0" w:space="0" w:color="auto"/>
          </w:divBdr>
          <w:divsChild>
            <w:div w:id="1199199972">
              <w:marLeft w:val="0"/>
              <w:marRight w:val="0"/>
              <w:marTop w:val="0"/>
              <w:marBottom w:val="0"/>
              <w:divBdr>
                <w:top w:val="none" w:sz="0" w:space="0" w:color="auto"/>
                <w:left w:val="none" w:sz="0" w:space="0" w:color="auto"/>
                <w:bottom w:val="none" w:sz="0" w:space="0" w:color="auto"/>
                <w:right w:val="none" w:sz="0" w:space="0" w:color="auto"/>
              </w:divBdr>
              <w:divsChild>
                <w:div w:id="421922254">
                  <w:marLeft w:val="0"/>
                  <w:marRight w:val="0"/>
                  <w:marTop w:val="0"/>
                  <w:marBottom w:val="0"/>
                  <w:divBdr>
                    <w:top w:val="none" w:sz="0" w:space="0" w:color="auto"/>
                    <w:left w:val="none" w:sz="0" w:space="0" w:color="auto"/>
                    <w:bottom w:val="none" w:sz="0" w:space="0" w:color="auto"/>
                    <w:right w:val="none" w:sz="0" w:space="0" w:color="auto"/>
                  </w:divBdr>
                  <w:divsChild>
                    <w:div w:id="3906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790796">
      <w:bodyDiv w:val="1"/>
      <w:marLeft w:val="0"/>
      <w:marRight w:val="0"/>
      <w:marTop w:val="0"/>
      <w:marBottom w:val="0"/>
      <w:divBdr>
        <w:top w:val="none" w:sz="0" w:space="0" w:color="auto"/>
        <w:left w:val="none" w:sz="0" w:space="0" w:color="auto"/>
        <w:bottom w:val="none" w:sz="0" w:space="0" w:color="auto"/>
        <w:right w:val="none" w:sz="0" w:space="0" w:color="auto"/>
      </w:divBdr>
      <w:divsChild>
        <w:div w:id="40985940">
          <w:marLeft w:val="0"/>
          <w:marRight w:val="0"/>
          <w:marTop w:val="0"/>
          <w:marBottom w:val="0"/>
          <w:divBdr>
            <w:top w:val="none" w:sz="0" w:space="0" w:color="auto"/>
            <w:left w:val="none" w:sz="0" w:space="0" w:color="auto"/>
            <w:bottom w:val="none" w:sz="0" w:space="0" w:color="auto"/>
            <w:right w:val="none" w:sz="0" w:space="0" w:color="auto"/>
          </w:divBdr>
        </w:div>
      </w:divsChild>
    </w:div>
    <w:div w:id="1837379331">
      <w:bodyDiv w:val="1"/>
      <w:marLeft w:val="0"/>
      <w:marRight w:val="0"/>
      <w:marTop w:val="0"/>
      <w:marBottom w:val="0"/>
      <w:divBdr>
        <w:top w:val="none" w:sz="0" w:space="0" w:color="auto"/>
        <w:left w:val="none" w:sz="0" w:space="0" w:color="auto"/>
        <w:bottom w:val="none" w:sz="0" w:space="0" w:color="auto"/>
        <w:right w:val="none" w:sz="0" w:space="0" w:color="auto"/>
      </w:divBdr>
      <w:divsChild>
        <w:div w:id="2107915831">
          <w:marLeft w:val="0"/>
          <w:marRight w:val="0"/>
          <w:marTop w:val="0"/>
          <w:marBottom w:val="0"/>
          <w:divBdr>
            <w:top w:val="none" w:sz="0" w:space="0" w:color="auto"/>
            <w:left w:val="none" w:sz="0" w:space="0" w:color="auto"/>
            <w:bottom w:val="none" w:sz="0" w:space="0" w:color="auto"/>
            <w:right w:val="none" w:sz="0" w:space="0" w:color="auto"/>
          </w:divBdr>
          <w:divsChild>
            <w:div w:id="292835607">
              <w:marLeft w:val="0"/>
              <w:marRight w:val="0"/>
              <w:marTop w:val="0"/>
              <w:marBottom w:val="0"/>
              <w:divBdr>
                <w:top w:val="none" w:sz="0" w:space="0" w:color="auto"/>
                <w:left w:val="none" w:sz="0" w:space="0" w:color="auto"/>
                <w:bottom w:val="none" w:sz="0" w:space="0" w:color="auto"/>
                <w:right w:val="none" w:sz="0" w:space="0" w:color="auto"/>
              </w:divBdr>
              <w:divsChild>
                <w:div w:id="1519661320">
                  <w:marLeft w:val="0"/>
                  <w:marRight w:val="0"/>
                  <w:marTop w:val="0"/>
                  <w:marBottom w:val="0"/>
                  <w:divBdr>
                    <w:top w:val="none" w:sz="0" w:space="0" w:color="auto"/>
                    <w:left w:val="none" w:sz="0" w:space="0" w:color="auto"/>
                    <w:bottom w:val="none" w:sz="0" w:space="0" w:color="auto"/>
                    <w:right w:val="none" w:sz="0" w:space="0" w:color="auto"/>
                  </w:divBdr>
                  <w:divsChild>
                    <w:div w:id="231355168">
                      <w:marLeft w:val="0"/>
                      <w:marRight w:val="0"/>
                      <w:marTop w:val="0"/>
                      <w:marBottom w:val="0"/>
                      <w:divBdr>
                        <w:top w:val="none" w:sz="0" w:space="0" w:color="auto"/>
                        <w:left w:val="none" w:sz="0" w:space="0" w:color="auto"/>
                        <w:bottom w:val="none" w:sz="0" w:space="0" w:color="auto"/>
                        <w:right w:val="none" w:sz="0" w:space="0" w:color="auto"/>
                      </w:divBdr>
                      <w:divsChild>
                        <w:div w:id="5335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6551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281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64241076">
      <w:bodyDiv w:val="1"/>
      <w:marLeft w:val="0"/>
      <w:marRight w:val="0"/>
      <w:marTop w:val="0"/>
      <w:marBottom w:val="0"/>
      <w:divBdr>
        <w:top w:val="none" w:sz="0" w:space="0" w:color="auto"/>
        <w:left w:val="none" w:sz="0" w:space="0" w:color="auto"/>
        <w:bottom w:val="none" w:sz="0" w:space="0" w:color="auto"/>
        <w:right w:val="none" w:sz="0" w:space="0" w:color="auto"/>
      </w:divBdr>
      <w:divsChild>
        <w:div w:id="1868330362">
          <w:marLeft w:val="0"/>
          <w:marRight w:val="0"/>
          <w:marTop w:val="0"/>
          <w:marBottom w:val="0"/>
          <w:divBdr>
            <w:top w:val="none" w:sz="0" w:space="0" w:color="auto"/>
            <w:left w:val="none" w:sz="0" w:space="0" w:color="auto"/>
            <w:bottom w:val="none" w:sz="0" w:space="0" w:color="auto"/>
            <w:right w:val="none" w:sz="0" w:space="0" w:color="auto"/>
          </w:divBdr>
          <w:divsChild>
            <w:div w:id="1649892875">
              <w:marLeft w:val="0"/>
              <w:marRight w:val="0"/>
              <w:marTop w:val="0"/>
              <w:marBottom w:val="0"/>
              <w:divBdr>
                <w:top w:val="none" w:sz="0" w:space="0" w:color="auto"/>
                <w:left w:val="none" w:sz="0" w:space="0" w:color="auto"/>
                <w:bottom w:val="none" w:sz="0" w:space="0" w:color="auto"/>
                <w:right w:val="none" w:sz="0" w:space="0" w:color="auto"/>
              </w:divBdr>
              <w:divsChild>
                <w:div w:id="1953854968">
                  <w:marLeft w:val="0"/>
                  <w:marRight w:val="0"/>
                  <w:marTop w:val="0"/>
                  <w:marBottom w:val="0"/>
                  <w:divBdr>
                    <w:top w:val="none" w:sz="0" w:space="0" w:color="auto"/>
                    <w:left w:val="none" w:sz="0" w:space="0" w:color="auto"/>
                    <w:bottom w:val="none" w:sz="0" w:space="0" w:color="auto"/>
                    <w:right w:val="none" w:sz="0" w:space="0" w:color="auto"/>
                  </w:divBdr>
                  <w:divsChild>
                    <w:div w:id="666594568">
                      <w:marLeft w:val="0"/>
                      <w:marRight w:val="0"/>
                      <w:marTop w:val="0"/>
                      <w:marBottom w:val="0"/>
                      <w:divBdr>
                        <w:top w:val="none" w:sz="0" w:space="0" w:color="auto"/>
                        <w:left w:val="none" w:sz="0" w:space="0" w:color="auto"/>
                        <w:bottom w:val="none" w:sz="0" w:space="0" w:color="auto"/>
                        <w:right w:val="none" w:sz="0" w:space="0" w:color="auto"/>
                      </w:divBdr>
                      <w:divsChild>
                        <w:div w:id="388380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157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70040831">
      <w:bodyDiv w:val="1"/>
      <w:marLeft w:val="0"/>
      <w:marRight w:val="0"/>
      <w:marTop w:val="0"/>
      <w:marBottom w:val="0"/>
      <w:divBdr>
        <w:top w:val="none" w:sz="0" w:space="0" w:color="auto"/>
        <w:left w:val="none" w:sz="0" w:space="0" w:color="auto"/>
        <w:bottom w:val="none" w:sz="0" w:space="0" w:color="auto"/>
        <w:right w:val="none" w:sz="0" w:space="0" w:color="auto"/>
      </w:divBdr>
      <w:divsChild>
        <w:div w:id="1456682835">
          <w:marLeft w:val="0"/>
          <w:marRight w:val="0"/>
          <w:marTop w:val="0"/>
          <w:marBottom w:val="0"/>
          <w:divBdr>
            <w:top w:val="none" w:sz="0" w:space="0" w:color="auto"/>
            <w:left w:val="none" w:sz="0" w:space="0" w:color="auto"/>
            <w:bottom w:val="none" w:sz="0" w:space="0" w:color="auto"/>
            <w:right w:val="none" w:sz="0" w:space="0" w:color="auto"/>
          </w:divBdr>
          <w:divsChild>
            <w:div w:id="1151405893">
              <w:marLeft w:val="0"/>
              <w:marRight w:val="0"/>
              <w:marTop w:val="0"/>
              <w:marBottom w:val="0"/>
              <w:divBdr>
                <w:top w:val="none" w:sz="0" w:space="0" w:color="auto"/>
                <w:left w:val="none" w:sz="0" w:space="0" w:color="auto"/>
                <w:bottom w:val="none" w:sz="0" w:space="0" w:color="auto"/>
                <w:right w:val="none" w:sz="0" w:space="0" w:color="auto"/>
              </w:divBdr>
            </w:div>
            <w:div w:id="1155536697">
              <w:marLeft w:val="0"/>
              <w:marRight w:val="0"/>
              <w:marTop w:val="0"/>
              <w:marBottom w:val="0"/>
              <w:divBdr>
                <w:top w:val="none" w:sz="0" w:space="0" w:color="auto"/>
                <w:left w:val="none" w:sz="0" w:space="0" w:color="auto"/>
                <w:bottom w:val="none" w:sz="0" w:space="0" w:color="auto"/>
                <w:right w:val="none" w:sz="0" w:space="0" w:color="auto"/>
              </w:divBdr>
            </w:div>
            <w:div w:id="1685783554">
              <w:marLeft w:val="0"/>
              <w:marRight w:val="0"/>
              <w:marTop w:val="0"/>
              <w:marBottom w:val="0"/>
              <w:divBdr>
                <w:top w:val="none" w:sz="0" w:space="0" w:color="auto"/>
                <w:left w:val="none" w:sz="0" w:space="0" w:color="auto"/>
                <w:bottom w:val="none" w:sz="0" w:space="0" w:color="auto"/>
                <w:right w:val="none" w:sz="0" w:space="0" w:color="auto"/>
              </w:divBdr>
            </w:div>
            <w:div w:id="188903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htf.org/sg1/inventorysg1/SG1N40%202006-Conformity-Assessment-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htf.org/sg1/inventorysg1/sg1n41r9200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tf.org/sg1/inventorysg1/sg1n29r162005.pdf" TargetMode="External"/><Relationship Id="rId5" Type="http://schemas.openxmlformats.org/officeDocument/2006/relationships/webSettings" Target="webSettings.xml"/><Relationship Id="rId15" Type="http://schemas.openxmlformats.org/officeDocument/2006/relationships/hyperlink" Target="http://www.wma.net/e/ethicsunit/helsinki.ht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htf.org/sg5/inventorysg5/SG5_PD_N1R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EE473-D44F-4B67-B5FF-3CB78DB6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6108</Words>
  <Characters>37204</Characters>
  <Application>Microsoft Office Word</Application>
  <DocSecurity>0</DocSecurity>
  <Lines>310</Lines>
  <Paragraphs>86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Clinical Performance Studies for IVD Medical Devices - November 2012</vt:lpstr>
      <vt:lpstr>[Click here to enter Document Identification Code - see 'Operating Procedures' document]</vt:lpstr>
    </vt:vector>
  </TitlesOfParts>
  <Company/>
  <LinksUpToDate>false</LinksUpToDate>
  <CharactersWithSpaces>43226</CharactersWithSpaces>
  <SharedDoc>false</SharedDoc>
  <HLinks>
    <vt:vector size="30" baseType="variant">
      <vt:variant>
        <vt:i4>720990</vt:i4>
      </vt:variant>
      <vt:variant>
        <vt:i4>90</vt:i4>
      </vt:variant>
      <vt:variant>
        <vt:i4>0</vt:i4>
      </vt:variant>
      <vt:variant>
        <vt:i4>5</vt:i4>
      </vt:variant>
      <vt:variant>
        <vt:lpwstr>http://www.wma.net/e/ethicsunit/helsinki.htm</vt:lpwstr>
      </vt:variant>
      <vt:variant>
        <vt:lpwstr/>
      </vt:variant>
      <vt:variant>
        <vt:i4>3211317</vt:i4>
      </vt:variant>
      <vt:variant>
        <vt:i4>87</vt:i4>
      </vt:variant>
      <vt:variant>
        <vt:i4>0</vt:i4>
      </vt:variant>
      <vt:variant>
        <vt:i4>5</vt:i4>
      </vt:variant>
      <vt:variant>
        <vt:lpwstr>http://www.ghtf.org/sg5/inventorysg5/SG5_PD_N1R7.pdf</vt:lpwstr>
      </vt:variant>
      <vt:variant>
        <vt:lpwstr/>
      </vt:variant>
      <vt:variant>
        <vt:i4>4980811</vt:i4>
      </vt:variant>
      <vt:variant>
        <vt:i4>84</vt:i4>
      </vt:variant>
      <vt:variant>
        <vt:i4>0</vt:i4>
      </vt:variant>
      <vt:variant>
        <vt:i4>5</vt:i4>
      </vt:variant>
      <vt:variant>
        <vt:lpwstr>http://www.ghtf.org/sg1/inventorysg1/SG1N40 2006-Conformity-Assessment-FINAL.pdf</vt:lpwstr>
      </vt:variant>
      <vt:variant>
        <vt:lpwstr/>
      </vt:variant>
      <vt:variant>
        <vt:i4>79</vt:i4>
      </vt:variant>
      <vt:variant>
        <vt:i4>81</vt:i4>
      </vt:variant>
      <vt:variant>
        <vt:i4>0</vt:i4>
      </vt:variant>
      <vt:variant>
        <vt:i4>5</vt:i4>
      </vt:variant>
      <vt:variant>
        <vt:lpwstr>http://www.ghtf.org/sg1/inventorysg1/sg1n41r92005.pdf</vt:lpwstr>
      </vt:variant>
      <vt:variant>
        <vt:lpwstr/>
      </vt:variant>
      <vt:variant>
        <vt:i4>7012466</vt:i4>
      </vt:variant>
      <vt:variant>
        <vt:i4>78</vt:i4>
      </vt:variant>
      <vt:variant>
        <vt:i4>0</vt:i4>
      </vt:variant>
      <vt:variant>
        <vt:i4>5</vt:i4>
      </vt:variant>
      <vt:variant>
        <vt:lpwstr>http://www.ghtf.org/sg1/inventorysg1/sg1n29r162005.pdf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GHTF SG5 Clinical Performance Studies for IVD Medical Devices</dc:title>
  <dc:subject/>
  <dc:creator>GHTF</dc:creator>
  <cp:keywords/>
  <cp:lastModifiedBy>Fletcher, Tim</cp:lastModifiedBy>
  <cp:revision>5</cp:revision>
  <cp:lastPrinted>2012-07-11T02:34:00Z</cp:lastPrinted>
  <dcterms:created xsi:type="dcterms:W3CDTF">2012-11-05T23:50:00Z</dcterms:created>
  <dcterms:modified xsi:type="dcterms:W3CDTF">2012-11-12T23:47:00Z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_DocHome">
    <vt:i4>418434115</vt:i4>
  </property>
</Properties>
</file>