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4DAE" w14:textId="4C5BB939" w:rsidR="005219B9" w:rsidRDefault="00641029">
      <w:pPr>
        <w:pBdr>
          <w:top w:val="single" w:sz="6" w:space="0" w:color="000000"/>
          <w:left w:val="single" w:sz="6" w:space="0" w:color="000000"/>
          <w:bottom w:val="single" w:sz="6" w:space="0" w:color="000000"/>
          <w:right w:val="single" w:sz="6" w:space="0" w:color="000000"/>
        </w:pBdr>
        <w:tabs>
          <w:tab w:val="right" w:pos="9360"/>
        </w:tabs>
        <w:jc w:val="right"/>
        <w:rPr>
          <w:b/>
          <w:lang w:eastAsia="ja-JP"/>
        </w:rPr>
      </w:pPr>
      <w:r>
        <w:rPr>
          <w:b/>
        </w:rPr>
        <w:t>IMDRF/</w:t>
      </w:r>
      <w:r w:rsidR="00631083">
        <w:rPr>
          <w:rFonts w:hint="eastAsia"/>
          <w:b/>
          <w:lang w:eastAsia="ja-JP"/>
        </w:rPr>
        <w:t>MC/</w:t>
      </w:r>
      <w:r>
        <w:rPr>
          <w:b/>
        </w:rPr>
        <w:t>N</w:t>
      </w:r>
      <w:r w:rsidR="001F086E">
        <w:rPr>
          <w:rFonts w:hint="eastAsia"/>
          <w:b/>
          <w:lang w:eastAsia="ja-JP"/>
        </w:rPr>
        <w:t>37</w:t>
      </w:r>
      <w:r w:rsidR="001F086E">
        <w:rPr>
          <w:b/>
          <w:lang w:eastAsia="ja-JP"/>
        </w:rPr>
        <w:t xml:space="preserve"> </w:t>
      </w:r>
      <w:r>
        <w:rPr>
          <w:b/>
        </w:rPr>
        <w:t>FINAL:</w:t>
      </w:r>
      <w:r w:rsidR="001F086E">
        <w:rPr>
          <w:b/>
        </w:rPr>
        <w:t xml:space="preserve"> </w:t>
      </w:r>
      <w:r>
        <w:rPr>
          <w:b/>
        </w:rPr>
        <w:t>201</w:t>
      </w:r>
      <w:r>
        <w:rPr>
          <w:rFonts w:hint="eastAsia"/>
          <w:b/>
          <w:lang w:eastAsia="ja-JP"/>
        </w:rPr>
        <w:t>5</w:t>
      </w:r>
    </w:p>
    <w:p w14:paraId="392F0FC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D7D6A5C"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2F662B2E" w14:textId="77777777"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224B6FB8" wp14:editId="4309AD6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7D9362CB"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1A41F2D8"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6F0E0DED" w14:textId="77777777" w:rsidR="001732F8" w:rsidRDefault="001732F8">
      <w:pPr>
        <w:pBdr>
          <w:top w:val="single" w:sz="6" w:space="0" w:color="000000"/>
          <w:left w:val="single" w:sz="6" w:space="0" w:color="000000"/>
          <w:bottom w:val="single" w:sz="6" w:space="0" w:color="000000"/>
          <w:right w:val="single" w:sz="6" w:space="0" w:color="000000"/>
        </w:pBdr>
        <w:rPr>
          <w:sz w:val="28"/>
        </w:rPr>
      </w:pPr>
    </w:p>
    <w:p w14:paraId="0939258D" w14:textId="77777777" w:rsidR="005219B9" w:rsidRPr="00CD519C" w:rsidRDefault="001732F8" w:rsidP="00CD519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lang w:eastAsia="ja-JP"/>
        </w:rPr>
      </w:pPr>
      <w:r>
        <w:rPr>
          <w:b/>
          <w:sz w:val="40"/>
        </w:rPr>
        <w:t>Final Document</w:t>
      </w:r>
    </w:p>
    <w:p w14:paraId="70624DCA" w14:textId="77777777" w:rsidR="005219B9" w:rsidRDefault="006D3741" w:rsidP="006D3741">
      <w:pPr>
        <w:pBdr>
          <w:top w:val="single" w:sz="6" w:space="0" w:color="000000"/>
          <w:left w:val="single" w:sz="6" w:space="0" w:color="000000"/>
          <w:bottom w:val="single" w:sz="6" w:space="0" w:color="000000"/>
          <w:right w:val="single" w:sz="6" w:space="0" w:color="000000"/>
        </w:pBdr>
        <w:jc w:val="center"/>
        <w:rPr>
          <w:b/>
          <w:sz w:val="32"/>
        </w:rPr>
      </w:pPr>
      <w:r>
        <w:rPr>
          <w:b/>
          <w:sz w:val="32"/>
        </w:rPr>
        <w:t>International Medical Device Regulators Forum</w:t>
      </w:r>
    </w:p>
    <w:p w14:paraId="064F27BC" w14:textId="77777777" w:rsidR="001732F8" w:rsidRDefault="001732F8">
      <w:pPr>
        <w:pBdr>
          <w:top w:val="single" w:sz="6" w:space="0" w:color="000000"/>
          <w:left w:val="single" w:sz="6" w:space="0" w:color="000000"/>
          <w:bottom w:val="single" w:sz="6" w:space="0" w:color="000000"/>
          <w:right w:val="single" w:sz="6" w:space="0" w:color="000000"/>
        </w:pBdr>
        <w:rPr>
          <w:b/>
          <w:sz w:val="32"/>
          <w:lang w:eastAsia="ja-JP"/>
        </w:rPr>
      </w:pPr>
    </w:p>
    <w:p w14:paraId="25B419C3"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094D05BD" w14:textId="77777777" w:rsidR="00CD519C" w:rsidRDefault="00CD519C">
      <w:pPr>
        <w:pBdr>
          <w:top w:val="single" w:sz="6" w:space="0" w:color="000000"/>
          <w:left w:val="single" w:sz="6" w:space="0" w:color="000000"/>
          <w:bottom w:val="single" w:sz="6" w:space="0" w:color="000000"/>
          <w:right w:val="single" w:sz="6" w:space="0" w:color="000000"/>
        </w:pBdr>
        <w:rPr>
          <w:b/>
          <w:sz w:val="32"/>
        </w:rPr>
      </w:pPr>
    </w:p>
    <w:p w14:paraId="6AE1EA77" w14:textId="2C414D85" w:rsidR="005219B9" w:rsidRDefault="00825ACA" w:rsidP="00A22B31">
      <w:pPr>
        <w:pBdr>
          <w:top w:val="single" w:sz="6" w:space="0" w:color="000000"/>
          <w:left w:val="single" w:sz="6" w:space="0" w:color="000000"/>
          <w:bottom w:val="single" w:sz="6" w:space="0" w:color="000000"/>
          <w:right w:val="single" w:sz="6" w:space="0" w:color="000000"/>
        </w:pBdr>
        <w:ind w:left="2880" w:hanging="2880"/>
        <w:rPr>
          <w:b/>
          <w:sz w:val="32"/>
        </w:rPr>
      </w:pPr>
      <w:r>
        <w:rPr>
          <w:b/>
          <w:sz w:val="28"/>
        </w:rPr>
        <w:t xml:space="preserve">   Title: </w:t>
      </w:r>
      <w:r w:rsidR="00A22B31">
        <w:rPr>
          <w:rFonts w:hint="eastAsia"/>
          <w:b/>
          <w:sz w:val="28"/>
          <w:lang w:eastAsia="ja-JP"/>
        </w:rPr>
        <w:tab/>
      </w:r>
      <w:bookmarkStart w:id="0" w:name="_GoBack"/>
      <w:r w:rsidR="00A22B31">
        <w:rPr>
          <w:rFonts w:hint="eastAsia"/>
          <w:sz w:val="28"/>
          <w:lang w:eastAsia="ja-JP"/>
        </w:rPr>
        <w:t>S</w:t>
      </w:r>
      <w:r w:rsidR="00A22B31">
        <w:rPr>
          <w:sz w:val="28"/>
        </w:rPr>
        <w:t xml:space="preserve">tatement regarding </w:t>
      </w:r>
      <w:r w:rsidR="00A22B31">
        <w:rPr>
          <w:rFonts w:hint="eastAsia"/>
          <w:sz w:val="28"/>
          <w:lang w:eastAsia="ja-JP"/>
        </w:rPr>
        <w:t>U</w:t>
      </w:r>
      <w:r w:rsidR="00A22B31">
        <w:rPr>
          <w:sz w:val="28"/>
        </w:rPr>
        <w:t>se of</w:t>
      </w:r>
      <w:r w:rsidR="00A22B31">
        <w:rPr>
          <w:rFonts w:hint="eastAsia"/>
          <w:sz w:val="28"/>
          <w:lang w:eastAsia="ja-JP"/>
        </w:rPr>
        <w:t xml:space="preserve"> </w:t>
      </w:r>
      <w:r w:rsidR="00904CE0" w:rsidRPr="00904CE0">
        <w:rPr>
          <w:sz w:val="28"/>
          <w:lang w:eastAsia="ja-JP"/>
        </w:rPr>
        <w:t>ISO 10993-1:2009 “Biological evaluation of medical devices -- Part 1: Evaluation and testing within a risk management process”</w:t>
      </w:r>
      <w:bookmarkEnd w:id="0"/>
    </w:p>
    <w:p w14:paraId="77ECCA04"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32"/>
        </w:rPr>
      </w:pPr>
    </w:p>
    <w:p w14:paraId="520F0625" w14:textId="77777777"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ind w:left="2880" w:hanging="2880"/>
        <w:rPr>
          <w:b/>
          <w:sz w:val="28"/>
          <w:lang w:eastAsia="ja-JP"/>
        </w:rPr>
      </w:pPr>
      <w:r>
        <w:rPr>
          <w:b/>
          <w:sz w:val="28"/>
        </w:rPr>
        <w:t xml:space="preserve">   Authoring Group: </w:t>
      </w:r>
      <w:r w:rsidR="00B42C7B">
        <w:rPr>
          <w:b/>
          <w:sz w:val="28"/>
        </w:rPr>
        <w:tab/>
      </w:r>
      <w:r w:rsidR="00A22B31">
        <w:rPr>
          <w:rFonts w:hint="eastAsia"/>
          <w:b/>
          <w:sz w:val="28"/>
          <w:lang w:eastAsia="ja-JP"/>
        </w:rPr>
        <w:tab/>
      </w:r>
      <w:r w:rsidR="00631083">
        <w:rPr>
          <w:sz w:val="28"/>
        </w:rPr>
        <w:t xml:space="preserve">IMDRF </w:t>
      </w:r>
      <w:r w:rsidR="008C212F">
        <w:rPr>
          <w:rFonts w:hint="eastAsia"/>
          <w:sz w:val="28"/>
          <w:lang w:eastAsia="ja-JP"/>
        </w:rPr>
        <w:t>M</w:t>
      </w:r>
      <w:r w:rsidR="008C212F">
        <w:rPr>
          <w:sz w:val="28"/>
          <w:lang w:eastAsia="ja-JP"/>
        </w:rPr>
        <w:t>anagement Committee</w:t>
      </w:r>
    </w:p>
    <w:p w14:paraId="256B9BAD" w14:textId="77777777" w:rsidR="005219B9" w:rsidRDefault="005219B9" w:rsidP="001732F8">
      <w:pPr>
        <w:pBdr>
          <w:top w:val="single" w:sz="6" w:space="0" w:color="000000"/>
          <w:left w:val="single" w:sz="6" w:space="0" w:color="000000"/>
          <w:bottom w:val="single" w:sz="6" w:space="0" w:color="000000"/>
          <w:right w:val="single" w:sz="6" w:space="0" w:color="000000"/>
        </w:pBdr>
        <w:tabs>
          <w:tab w:val="left" w:pos="2694"/>
        </w:tabs>
        <w:rPr>
          <w:b/>
          <w:sz w:val="28"/>
        </w:rPr>
      </w:pPr>
    </w:p>
    <w:p w14:paraId="2C3FF458" w14:textId="4FED4B6F" w:rsidR="005219B9" w:rsidRDefault="00825ACA" w:rsidP="001732F8">
      <w:pPr>
        <w:pBdr>
          <w:top w:val="single" w:sz="6" w:space="0" w:color="000000"/>
          <w:left w:val="single" w:sz="6" w:space="0" w:color="000000"/>
          <w:bottom w:val="single" w:sz="6" w:space="0" w:color="000000"/>
          <w:right w:val="single" w:sz="6" w:space="0" w:color="000000"/>
        </w:pBdr>
        <w:tabs>
          <w:tab w:val="left" w:pos="2694"/>
        </w:tabs>
        <w:rPr>
          <w:sz w:val="28"/>
          <w:lang w:eastAsia="ja-JP"/>
        </w:rPr>
      </w:pPr>
      <w:r>
        <w:rPr>
          <w:b/>
          <w:sz w:val="28"/>
        </w:rPr>
        <w:t xml:space="preserve">   Date: </w:t>
      </w:r>
      <w:r w:rsidR="00B42C7B">
        <w:rPr>
          <w:b/>
          <w:sz w:val="28"/>
        </w:rPr>
        <w:tab/>
      </w:r>
      <w:r w:rsidR="00A22B31">
        <w:rPr>
          <w:rFonts w:hint="eastAsia"/>
          <w:b/>
          <w:sz w:val="28"/>
          <w:lang w:eastAsia="ja-JP"/>
        </w:rPr>
        <w:tab/>
      </w:r>
      <w:r w:rsidR="00013504">
        <w:rPr>
          <w:rFonts w:hint="eastAsia"/>
          <w:sz w:val="28"/>
          <w:lang w:eastAsia="ja-JP"/>
        </w:rPr>
        <w:t>2</w:t>
      </w:r>
      <w:r w:rsidR="00631083">
        <w:rPr>
          <w:sz w:val="28"/>
        </w:rPr>
        <w:t xml:space="preserve"> </w:t>
      </w:r>
      <w:r w:rsidR="001F086E">
        <w:rPr>
          <w:sz w:val="28"/>
        </w:rPr>
        <w:t>October</w:t>
      </w:r>
      <w:r w:rsidR="00631083">
        <w:rPr>
          <w:sz w:val="28"/>
        </w:rPr>
        <w:t xml:space="preserve"> 201</w:t>
      </w:r>
      <w:r w:rsidR="00631083">
        <w:rPr>
          <w:rFonts w:hint="eastAsia"/>
          <w:sz w:val="28"/>
          <w:lang w:eastAsia="ja-JP"/>
        </w:rPr>
        <w:t>5</w:t>
      </w:r>
    </w:p>
    <w:p w14:paraId="2C8DAC29" w14:textId="77777777" w:rsidR="005219B9" w:rsidRDefault="005219B9">
      <w:pPr>
        <w:pBdr>
          <w:top w:val="single" w:sz="6" w:space="0" w:color="000000"/>
          <w:left w:val="single" w:sz="6" w:space="0" w:color="000000"/>
          <w:bottom w:val="single" w:sz="6" w:space="0" w:color="000000"/>
          <w:right w:val="single" w:sz="6" w:space="0" w:color="000000"/>
        </w:pBdr>
        <w:rPr>
          <w:sz w:val="28"/>
        </w:rPr>
      </w:pPr>
    </w:p>
    <w:p w14:paraId="521272B7"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8C7BDC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11C9742F"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787AFB93"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211221B4" w14:textId="77777777" w:rsidR="00CD519C" w:rsidRDefault="00CD519C">
      <w:pPr>
        <w:pBdr>
          <w:top w:val="single" w:sz="6" w:space="0" w:color="000000"/>
          <w:left w:val="single" w:sz="6" w:space="0" w:color="000000"/>
          <w:bottom w:val="single" w:sz="6" w:space="0" w:color="000000"/>
          <w:right w:val="single" w:sz="6" w:space="0" w:color="000000"/>
        </w:pBdr>
        <w:rPr>
          <w:sz w:val="28"/>
        </w:rPr>
      </w:pPr>
    </w:p>
    <w:p w14:paraId="4FA3AE10" w14:textId="77777777" w:rsidR="00CD519C" w:rsidRDefault="00631083" w:rsidP="00631083">
      <w:pPr>
        <w:pBdr>
          <w:top w:val="single" w:sz="6" w:space="0" w:color="000000"/>
          <w:left w:val="single" w:sz="6" w:space="0" w:color="000000"/>
          <w:bottom w:val="single" w:sz="6" w:space="0" w:color="000000"/>
          <w:right w:val="single" w:sz="6" w:space="0" w:color="000000"/>
        </w:pBdr>
        <w:wordWrap w:val="0"/>
        <w:jc w:val="right"/>
        <w:rPr>
          <w:sz w:val="28"/>
        </w:rPr>
      </w:pPr>
      <w:proofErr w:type="spellStart"/>
      <w:r>
        <w:rPr>
          <w:rFonts w:hint="eastAsia"/>
          <w:sz w:val="28"/>
          <w:lang w:val="en-CA" w:eastAsia="ja-JP"/>
        </w:rPr>
        <w:t>Toshiyoshi</w:t>
      </w:r>
      <w:proofErr w:type="spellEnd"/>
      <w:r>
        <w:rPr>
          <w:rFonts w:hint="eastAsia"/>
          <w:sz w:val="28"/>
          <w:lang w:val="en-CA" w:eastAsia="ja-JP"/>
        </w:rPr>
        <w:t xml:space="preserve"> </w:t>
      </w:r>
      <w:proofErr w:type="spellStart"/>
      <w:r>
        <w:rPr>
          <w:rFonts w:hint="eastAsia"/>
          <w:sz w:val="28"/>
          <w:lang w:val="en-CA" w:eastAsia="ja-JP"/>
        </w:rPr>
        <w:t>Tominaga</w:t>
      </w:r>
      <w:proofErr w:type="spellEnd"/>
      <w:r w:rsidR="00CD519C">
        <w:rPr>
          <w:sz w:val="28"/>
          <w:lang w:val="en-CA"/>
        </w:rPr>
        <w:t>, IMDRF Chair</w:t>
      </w:r>
    </w:p>
    <w:p w14:paraId="55597414" w14:textId="77777777" w:rsidR="00CD519C" w:rsidRDefault="00CD519C" w:rsidP="00CD519C">
      <w:pPr>
        <w:pBdr>
          <w:top w:val="single" w:sz="6" w:space="0" w:color="000000"/>
          <w:left w:val="single" w:sz="6" w:space="0" w:color="000000"/>
          <w:bottom w:val="single" w:sz="6" w:space="0" w:color="000000"/>
          <w:right w:val="single" w:sz="6" w:space="0" w:color="000000"/>
        </w:pBdr>
        <w:rPr>
          <w:sz w:val="28"/>
        </w:rPr>
      </w:pPr>
    </w:p>
    <w:p w14:paraId="63C6FC0E"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3C0884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6C396B9A" w14:textId="77777777" w:rsidR="00CD519C" w:rsidRDefault="00CD519C" w:rsidP="00CD519C">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Pr>
          <w:szCs w:val="24"/>
          <w:lang w:eastAsia="en-AU"/>
        </w:rPr>
        <w:t xml:space="preserve">Copyright </w:t>
      </w:r>
      <w:r w:rsidR="00631083">
        <w:rPr>
          <w:szCs w:val="24"/>
          <w:lang w:eastAsia="en-AU"/>
        </w:rPr>
        <w:t>© 201</w:t>
      </w:r>
      <w:r w:rsidR="00631083">
        <w:rPr>
          <w:rFonts w:hint="eastAsia"/>
          <w:szCs w:val="24"/>
          <w:lang w:eastAsia="ja-JP"/>
        </w:rPr>
        <w:t>5</w:t>
      </w:r>
      <w:r>
        <w:rPr>
          <w:szCs w:val="24"/>
          <w:lang w:eastAsia="en-AU"/>
        </w:rPr>
        <w:t xml:space="preserve"> by the International Medical Device Regulators Forum.</w:t>
      </w:r>
      <w:proofErr w:type="gramEnd"/>
    </w:p>
    <w:p w14:paraId="71E1E249" w14:textId="77777777" w:rsidR="005219B9" w:rsidRDefault="005219B9">
      <w:pPr>
        <w:pBdr>
          <w:top w:val="single" w:sz="6" w:space="0" w:color="000000"/>
          <w:left w:val="single" w:sz="6" w:space="0" w:color="000000"/>
          <w:bottom w:val="single" w:sz="6" w:space="0" w:color="000000"/>
          <w:right w:val="single" w:sz="6" w:space="0" w:color="000000"/>
        </w:pBdr>
        <w:rPr>
          <w:sz w:val="22"/>
        </w:rPr>
      </w:pPr>
    </w:p>
    <w:p w14:paraId="01B307BB" w14:textId="77777777" w:rsidR="005219B9" w:rsidRDefault="005219B9">
      <w:pPr>
        <w:sectPr w:rsidR="005219B9" w:rsidSect="00904CE0">
          <w:headerReference w:type="default" r:id="rId11"/>
          <w:headerReference w:type="first" r:id="rId12"/>
          <w:pgSz w:w="12240" w:h="15840" w:code="1"/>
          <w:pgMar w:top="993" w:right="1440" w:bottom="1440" w:left="1440" w:header="283" w:footer="720" w:gutter="0"/>
          <w:cols w:space="720"/>
          <w:titlePg/>
          <w:docGrid w:linePitch="326"/>
        </w:sectPr>
      </w:pPr>
    </w:p>
    <w:p w14:paraId="0301CEB0" w14:textId="5381DDC2" w:rsidR="005F1108" w:rsidRDefault="005F1108" w:rsidP="00904CE0">
      <w:pPr>
        <w:pStyle w:val="Heading1"/>
        <w:numPr>
          <w:ilvl w:val="0"/>
          <w:numId w:val="0"/>
        </w:numPr>
        <w:rPr>
          <w:lang w:eastAsia="ja-JP"/>
        </w:rPr>
      </w:pPr>
      <w:bookmarkStart w:id="1" w:name="_Toc423451728"/>
      <w:r>
        <w:rPr>
          <w:rFonts w:hint="eastAsia"/>
          <w:lang w:eastAsia="ja-JP"/>
        </w:rPr>
        <w:lastRenderedPageBreak/>
        <w:t xml:space="preserve">Use of </w:t>
      </w:r>
      <w:r w:rsidR="009C42C5">
        <w:rPr>
          <w:lang w:eastAsia="ja-JP"/>
        </w:rPr>
        <w:t>ISO 1</w:t>
      </w:r>
      <w:r w:rsidR="009C42C5">
        <w:rPr>
          <w:rFonts w:hint="eastAsia"/>
          <w:lang w:eastAsia="ja-JP"/>
        </w:rPr>
        <w:t>0993</w:t>
      </w:r>
      <w:r>
        <w:rPr>
          <w:lang w:eastAsia="ja-JP"/>
        </w:rPr>
        <w:t>:20</w:t>
      </w:r>
      <w:r w:rsidR="009C42C5">
        <w:rPr>
          <w:rFonts w:hint="eastAsia"/>
          <w:lang w:eastAsia="ja-JP"/>
        </w:rPr>
        <w:t>09</w:t>
      </w:r>
      <w:r w:rsidRPr="00C46D3F">
        <w:rPr>
          <w:lang w:eastAsia="ja-JP"/>
        </w:rPr>
        <w:t xml:space="preserve"> “</w:t>
      </w:r>
      <w:r w:rsidR="009C42C5" w:rsidRPr="009C42C5">
        <w:rPr>
          <w:lang w:eastAsia="ja-JP"/>
        </w:rPr>
        <w:t>Biological evaluation of medical devices -- Part 1: Evaluation and testing within a risk management process</w:t>
      </w:r>
      <w:r w:rsidRPr="00C46D3F">
        <w:rPr>
          <w:lang w:eastAsia="ja-JP"/>
        </w:rPr>
        <w:t>”</w:t>
      </w:r>
      <w:r>
        <w:rPr>
          <w:rFonts w:hint="eastAsia"/>
          <w:lang w:eastAsia="ja-JP"/>
        </w:rPr>
        <w:t xml:space="preserve"> in each jurisdiction</w:t>
      </w:r>
      <w:bookmarkEnd w:id="1"/>
    </w:p>
    <w:tbl>
      <w:tblPr>
        <w:tblStyle w:val="TableGrid"/>
        <w:tblW w:w="0" w:type="auto"/>
        <w:tblLook w:val="04A0" w:firstRow="1" w:lastRow="0" w:firstColumn="1" w:lastColumn="0" w:noHBand="0" w:noVBand="1"/>
      </w:tblPr>
      <w:tblGrid>
        <w:gridCol w:w="2547"/>
        <w:gridCol w:w="6803"/>
      </w:tblGrid>
      <w:tr w:rsidR="005F1108" w14:paraId="4FD1063D" w14:textId="77777777" w:rsidTr="00DD6CD3">
        <w:tc>
          <w:tcPr>
            <w:tcW w:w="2547" w:type="dxa"/>
          </w:tcPr>
          <w:p w14:paraId="7762DAB9" w14:textId="77777777" w:rsidR="005F1108" w:rsidRDefault="005F1108" w:rsidP="00DD6CD3">
            <w:pPr>
              <w:keepNext/>
              <w:rPr>
                <w:lang w:eastAsia="ja-JP"/>
              </w:rPr>
            </w:pPr>
            <w:r>
              <w:rPr>
                <w:rFonts w:hint="eastAsia"/>
                <w:lang w:eastAsia="ja-JP"/>
              </w:rPr>
              <w:t>Australia</w:t>
            </w:r>
          </w:p>
          <w:p w14:paraId="266DF288" w14:textId="77777777" w:rsidR="005F1108" w:rsidRDefault="005F1108" w:rsidP="00DD6CD3">
            <w:pPr>
              <w:keepNext/>
              <w:rPr>
                <w:lang w:eastAsia="ja-JP"/>
              </w:rPr>
            </w:pPr>
          </w:p>
          <w:p w14:paraId="62FE179B" w14:textId="77777777" w:rsidR="005F1108" w:rsidRDefault="005F1108" w:rsidP="00DD6CD3">
            <w:pPr>
              <w:keepNext/>
              <w:rPr>
                <w:b/>
                <w:bCs/>
                <w:lang w:eastAsia="ja-JP"/>
              </w:rPr>
            </w:pPr>
            <w:r w:rsidRPr="00C46D3F">
              <w:rPr>
                <w:lang w:eastAsia="ja-JP"/>
              </w:rPr>
              <w:t>Therapeutic Goods Administration</w:t>
            </w:r>
            <w:r>
              <w:rPr>
                <w:rFonts w:hint="eastAsia"/>
                <w:lang w:eastAsia="ja-JP"/>
              </w:rPr>
              <w:t xml:space="preserve"> (TGA)</w:t>
            </w:r>
          </w:p>
        </w:tc>
        <w:tc>
          <w:tcPr>
            <w:tcW w:w="6803" w:type="dxa"/>
          </w:tcPr>
          <w:p w14:paraId="48DC8B18" w14:textId="6B4E9BB9" w:rsidR="005F1108" w:rsidRDefault="00B95477" w:rsidP="00DD6CD3">
            <w:pPr>
              <w:keepNext/>
              <w:rPr>
                <w:b/>
                <w:bCs/>
                <w:lang w:eastAsia="ja-JP"/>
              </w:rPr>
            </w:pPr>
            <w:r w:rsidRPr="00B222A7">
              <w:rPr>
                <w:bCs/>
                <w:szCs w:val="24"/>
                <w:lang w:eastAsia="ja-JP"/>
              </w:rPr>
              <w:t>All medical devices are required to meet Australian Essential Principles (EPs)</w:t>
            </w:r>
            <w:r w:rsidRPr="00B222A7">
              <w:rPr>
                <w:b/>
                <w:bCs/>
                <w:szCs w:val="24"/>
                <w:lang w:eastAsia="ja-JP"/>
              </w:rPr>
              <w:t xml:space="preserve">. </w:t>
            </w:r>
            <w:r w:rsidRPr="00B222A7">
              <w:rPr>
                <w:bCs/>
                <w:szCs w:val="24"/>
                <w:lang w:eastAsia="ja-JP"/>
              </w:rPr>
              <w:t xml:space="preserve">The TGA’s non-mandatory </w:t>
            </w:r>
            <w:r w:rsidRPr="00B222A7">
              <w:rPr>
                <w:bCs/>
                <w:i/>
                <w:szCs w:val="24"/>
                <w:lang w:eastAsia="ja-JP"/>
              </w:rPr>
              <w:t>Medical Devices Standards Order</w:t>
            </w:r>
            <w:r w:rsidRPr="00B222A7">
              <w:rPr>
                <w:bCs/>
                <w:szCs w:val="24"/>
                <w:lang w:eastAsia="ja-JP"/>
              </w:rPr>
              <w:t xml:space="preserve"> </w:t>
            </w:r>
            <w:r w:rsidRPr="00B222A7">
              <w:rPr>
                <w:bCs/>
                <w:i/>
                <w:szCs w:val="24"/>
                <w:lang w:eastAsia="ja-JP"/>
              </w:rPr>
              <w:t>(Standards for biological safety of medical devices)</w:t>
            </w:r>
            <w:r w:rsidRPr="00B222A7">
              <w:rPr>
                <w:bCs/>
                <w:szCs w:val="24"/>
                <w:lang w:eastAsia="ja-JP"/>
              </w:rPr>
              <w:t>, 2008 (MDSO) specifies ISO 10993-1:2009 and the relevant parts and compliance with this standard is used as evidence of compliance with EP 7.</w:t>
            </w:r>
          </w:p>
        </w:tc>
      </w:tr>
      <w:tr w:rsidR="005F1108" w14:paraId="3FA2BCA5" w14:textId="77777777" w:rsidTr="00DD6CD3">
        <w:tc>
          <w:tcPr>
            <w:tcW w:w="2547" w:type="dxa"/>
          </w:tcPr>
          <w:p w14:paraId="20E928EE" w14:textId="77777777" w:rsidR="005F1108" w:rsidRDefault="005F1108" w:rsidP="00DD6CD3">
            <w:pPr>
              <w:keepNext/>
              <w:rPr>
                <w:lang w:eastAsia="ja-JP"/>
              </w:rPr>
            </w:pPr>
            <w:r>
              <w:rPr>
                <w:rFonts w:hint="eastAsia"/>
                <w:lang w:eastAsia="ja-JP"/>
              </w:rPr>
              <w:t>Brazil</w:t>
            </w:r>
          </w:p>
          <w:p w14:paraId="2BD3F2FA" w14:textId="77777777" w:rsidR="005F1108" w:rsidRDefault="005F1108" w:rsidP="00DD6CD3">
            <w:pPr>
              <w:keepNext/>
              <w:rPr>
                <w:lang w:eastAsia="ja-JP"/>
              </w:rPr>
            </w:pPr>
          </w:p>
          <w:p w14:paraId="7D1D235A" w14:textId="77777777" w:rsidR="005F1108" w:rsidRDefault="005F1108" w:rsidP="00DD6CD3">
            <w:pPr>
              <w:keepNext/>
              <w:rPr>
                <w:b/>
                <w:bCs/>
                <w:lang w:eastAsia="ja-JP"/>
              </w:rPr>
            </w:pPr>
            <w:r w:rsidRPr="00C46D3F">
              <w:rPr>
                <w:lang w:eastAsia="ja-JP"/>
              </w:rPr>
              <w:t>National Health Surveillance Agency (ANVISA)</w:t>
            </w:r>
          </w:p>
        </w:tc>
        <w:tc>
          <w:tcPr>
            <w:tcW w:w="6803" w:type="dxa"/>
          </w:tcPr>
          <w:p w14:paraId="12061192" w14:textId="77777777" w:rsidR="00B95477" w:rsidRPr="00B222A7" w:rsidRDefault="00B95477" w:rsidP="00B95477">
            <w:pPr>
              <w:keepNext/>
              <w:rPr>
                <w:bCs/>
                <w:szCs w:val="24"/>
                <w:lang w:eastAsia="ja-JP"/>
              </w:rPr>
            </w:pPr>
            <w:r w:rsidRPr="00B222A7">
              <w:rPr>
                <w:bCs/>
                <w:szCs w:val="24"/>
                <w:lang w:eastAsia="ja-JP"/>
              </w:rPr>
              <w:t>It is mandatory for manufacturers and importers of medical materials to prove that they meet the requirements set by standard ISO 10993. Several ANVISA regulations mention ISO 10993 and it is applicable to pre- and post-market stages.</w:t>
            </w:r>
          </w:p>
          <w:p w14:paraId="61E23F49" w14:textId="77777777" w:rsidR="005F1108" w:rsidRPr="00B95477" w:rsidRDefault="005F1108" w:rsidP="00DD6CD3">
            <w:pPr>
              <w:keepNext/>
              <w:rPr>
                <w:b/>
                <w:bCs/>
                <w:lang w:eastAsia="ja-JP"/>
              </w:rPr>
            </w:pPr>
          </w:p>
        </w:tc>
      </w:tr>
      <w:tr w:rsidR="005F1108" w14:paraId="204B542B" w14:textId="77777777" w:rsidTr="00DD6CD3">
        <w:tc>
          <w:tcPr>
            <w:tcW w:w="2547" w:type="dxa"/>
          </w:tcPr>
          <w:p w14:paraId="612BD9B6" w14:textId="77777777" w:rsidR="005F1108" w:rsidRDefault="005F1108" w:rsidP="00DD6CD3">
            <w:pPr>
              <w:keepNext/>
              <w:rPr>
                <w:lang w:eastAsia="ja-JP"/>
              </w:rPr>
            </w:pPr>
            <w:r>
              <w:rPr>
                <w:rFonts w:hint="eastAsia"/>
                <w:lang w:eastAsia="ja-JP"/>
              </w:rPr>
              <w:t>Canada</w:t>
            </w:r>
          </w:p>
          <w:p w14:paraId="6A4BF7CD" w14:textId="77777777" w:rsidR="005F1108" w:rsidRDefault="005F1108" w:rsidP="00DD6CD3">
            <w:pPr>
              <w:keepNext/>
              <w:rPr>
                <w:lang w:eastAsia="ja-JP"/>
              </w:rPr>
            </w:pPr>
          </w:p>
          <w:p w14:paraId="7F6E67C2" w14:textId="77777777" w:rsidR="005F1108" w:rsidRDefault="005F1108" w:rsidP="00DD6CD3">
            <w:pPr>
              <w:keepNext/>
              <w:rPr>
                <w:b/>
                <w:bCs/>
                <w:lang w:eastAsia="ja-JP"/>
              </w:rPr>
            </w:pPr>
            <w:r w:rsidRPr="00C46D3F">
              <w:rPr>
                <w:lang w:eastAsia="ja-JP"/>
              </w:rPr>
              <w:t>Health Canada</w:t>
            </w:r>
            <w:r>
              <w:rPr>
                <w:rFonts w:hint="eastAsia"/>
                <w:lang w:eastAsia="ja-JP"/>
              </w:rPr>
              <w:t xml:space="preserve"> (HC)</w:t>
            </w:r>
          </w:p>
        </w:tc>
        <w:tc>
          <w:tcPr>
            <w:tcW w:w="6803" w:type="dxa"/>
          </w:tcPr>
          <w:p w14:paraId="34C18596" w14:textId="77777777" w:rsidR="00B95477" w:rsidRPr="00B222A7" w:rsidRDefault="00B95477" w:rsidP="00B95477">
            <w:pPr>
              <w:pStyle w:val="Default"/>
              <w:rPr>
                <w:rFonts w:ascii="Times New Roman" w:hAnsi="Times New Roman" w:cs="Times New Roman"/>
              </w:rPr>
            </w:pPr>
            <w:r w:rsidRPr="00B222A7">
              <w:rPr>
                <w:rFonts w:ascii="Times New Roman" w:hAnsi="Times New Roman" w:cs="Times New Roman"/>
              </w:rPr>
              <w:t>In Canada, conformance to specific standards is not mandatory.  However, evidence of conformity to recognised standards can be submitted to demonstrate that specific requirements of the Medical Devices Regulations have been met.  HC publishes a list of recognised standards, and the level of evidence expected is “equivalent or better” to these recognised standards.</w:t>
            </w:r>
          </w:p>
          <w:p w14:paraId="7F2E9824" w14:textId="77777777" w:rsidR="00B95477" w:rsidRPr="00B222A7" w:rsidRDefault="00B95477" w:rsidP="00B95477">
            <w:pPr>
              <w:pStyle w:val="Default"/>
              <w:rPr>
                <w:rFonts w:ascii="Times New Roman" w:hAnsi="Times New Roman" w:cs="Times New Roman"/>
              </w:rPr>
            </w:pPr>
          </w:p>
          <w:p w14:paraId="398F9650" w14:textId="77777777" w:rsidR="00B95477" w:rsidRPr="00B222A7" w:rsidRDefault="00B95477" w:rsidP="00B95477">
            <w:pPr>
              <w:keepNext/>
              <w:rPr>
                <w:szCs w:val="24"/>
              </w:rPr>
            </w:pPr>
            <w:r w:rsidRPr="00B222A7">
              <w:rPr>
                <w:bCs/>
                <w:szCs w:val="24"/>
                <w:lang w:eastAsia="ja-JP"/>
              </w:rPr>
              <w:t>ISO 10993-1:2009</w:t>
            </w:r>
            <w:r w:rsidRPr="00B222A7">
              <w:rPr>
                <w:b/>
                <w:bCs/>
                <w:szCs w:val="24"/>
                <w:lang w:eastAsia="ja-JP"/>
              </w:rPr>
              <w:t xml:space="preserve"> </w:t>
            </w:r>
            <w:r w:rsidRPr="00B222A7">
              <w:rPr>
                <w:szCs w:val="24"/>
              </w:rPr>
              <w:t xml:space="preserve">is currently a </w:t>
            </w:r>
            <w:proofErr w:type="spellStart"/>
            <w:r w:rsidRPr="00B222A7">
              <w:rPr>
                <w:szCs w:val="24"/>
              </w:rPr>
              <w:t>recognised</w:t>
            </w:r>
            <w:proofErr w:type="spellEnd"/>
            <w:r w:rsidRPr="00B222A7">
              <w:rPr>
                <w:szCs w:val="24"/>
              </w:rPr>
              <w:t xml:space="preserve"> standard.</w:t>
            </w:r>
          </w:p>
          <w:p w14:paraId="498F7A15" w14:textId="50D56CBE" w:rsidR="005F1108" w:rsidRDefault="00B95477" w:rsidP="00B95477">
            <w:pPr>
              <w:keepNext/>
              <w:ind w:firstLineChars="100" w:firstLine="240"/>
              <w:rPr>
                <w:b/>
                <w:bCs/>
                <w:lang w:eastAsia="ja-JP"/>
              </w:rPr>
            </w:pPr>
            <w:r w:rsidRPr="00B222A7">
              <w:rPr>
                <w:bCs/>
                <w:szCs w:val="24"/>
                <w:lang w:eastAsia="ja-JP"/>
              </w:rPr>
              <w:t xml:space="preserve">This standard is relied on as the primary source of guidance for the selection of appropriate biocompatibility tests.  Justification of pass/fail limits applied </w:t>
            </w:r>
            <w:proofErr w:type="gramStart"/>
            <w:r w:rsidRPr="00B222A7">
              <w:rPr>
                <w:bCs/>
                <w:szCs w:val="24"/>
                <w:lang w:eastAsia="ja-JP"/>
              </w:rPr>
              <w:t>are</w:t>
            </w:r>
            <w:proofErr w:type="gramEnd"/>
            <w:r w:rsidRPr="00B222A7">
              <w:rPr>
                <w:bCs/>
                <w:szCs w:val="24"/>
                <w:lang w:eastAsia="ja-JP"/>
              </w:rPr>
              <w:t xml:space="preserve"> expected in submissions and are reviewed in detail for Class III and IV medical device </w:t>
            </w:r>
            <w:r w:rsidR="00904CE0" w:rsidRPr="00B222A7">
              <w:rPr>
                <w:bCs/>
                <w:szCs w:val="24"/>
                <w:lang w:eastAsia="ja-JP"/>
              </w:rPr>
              <w:t>license</w:t>
            </w:r>
            <w:r w:rsidRPr="00B222A7">
              <w:rPr>
                <w:bCs/>
                <w:szCs w:val="24"/>
                <w:lang w:eastAsia="ja-JP"/>
              </w:rPr>
              <w:t xml:space="preserve"> applications</w:t>
            </w:r>
            <w:r w:rsidRPr="00B222A7">
              <w:rPr>
                <w:b/>
                <w:bCs/>
                <w:szCs w:val="24"/>
                <w:lang w:eastAsia="ja-JP"/>
              </w:rPr>
              <w:t>.</w:t>
            </w:r>
          </w:p>
        </w:tc>
      </w:tr>
      <w:tr w:rsidR="005F1108" w14:paraId="18DBE9BC" w14:textId="77777777" w:rsidTr="00DD6CD3">
        <w:tc>
          <w:tcPr>
            <w:tcW w:w="2547" w:type="dxa"/>
          </w:tcPr>
          <w:p w14:paraId="04E8B59D" w14:textId="77777777" w:rsidR="005F1108" w:rsidRDefault="005F1108" w:rsidP="00DD6CD3">
            <w:pPr>
              <w:keepNext/>
              <w:rPr>
                <w:lang w:eastAsia="ja-JP"/>
              </w:rPr>
            </w:pPr>
            <w:r>
              <w:rPr>
                <w:rFonts w:hint="eastAsia"/>
                <w:lang w:eastAsia="ja-JP"/>
              </w:rPr>
              <w:t>China</w:t>
            </w:r>
          </w:p>
          <w:p w14:paraId="6E8C0027" w14:textId="77777777" w:rsidR="005F1108" w:rsidRDefault="005F1108" w:rsidP="00DD6CD3">
            <w:pPr>
              <w:keepNext/>
              <w:rPr>
                <w:lang w:eastAsia="ja-JP"/>
              </w:rPr>
            </w:pPr>
          </w:p>
          <w:p w14:paraId="0BEEDA3F" w14:textId="77777777" w:rsidR="005F1108" w:rsidRDefault="005F1108" w:rsidP="00DD6CD3">
            <w:pPr>
              <w:keepNext/>
              <w:rPr>
                <w:b/>
                <w:bCs/>
                <w:lang w:eastAsia="ja-JP"/>
              </w:rPr>
            </w:pPr>
            <w:r w:rsidRPr="00C46D3F">
              <w:rPr>
                <w:lang w:eastAsia="ja-JP"/>
              </w:rPr>
              <w:t>China Food and Drug Administration</w:t>
            </w:r>
            <w:r>
              <w:rPr>
                <w:rFonts w:hint="eastAsia"/>
                <w:lang w:eastAsia="ja-JP"/>
              </w:rPr>
              <w:t xml:space="preserve"> (CFDA)</w:t>
            </w:r>
          </w:p>
        </w:tc>
        <w:tc>
          <w:tcPr>
            <w:tcW w:w="6803" w:type="dxa"/>
          </w:tcPr>
          <w:p w14:paraId="653762F3" w14:textId="26B99ED3" w:rsidR="005F1108" w:rsidRDefault="00B95477" w:rsidP="00DD6CD3">
            <w:pPr>
              <w:keepNext/>
              <w:rPr>
                <w:b/>
                <w:bCs/>
                <w:lang w:eastAsia="ja-JP"/>
              </w:rPr>
            </w:pPr>
            <w:r w:rsidRPr="00B222A7">
              <w:rPr>
                <w:color w:val="000000" w:themeColor="text1"/>
                <w:szCs w:val="24"/>
              </w:rPr>
              <w:t xml:space="preserve">The </w:t>
            </w:r>
            <w:r w:rsidRPr="00B222A7">
              <w:rPr>
                <w:szCs w:val="24"/>
              </w:rPr>
              <w:t xml:space="preserve"> </w:t>
            </w:r>
            <w:r w:rsidRPr="00B222A7">
              <w:rPr>
                <w:color w:val="000000" w:themeColor="text1"/>
                <w:szCs w:val="24"/>
              </w:rPr>
              <w:t>ISO 10993-1</w:t>
            </w:r>
            <w:r w:rsidRPr="00B222A7">
              <w:rPr>
                <w:color w:val="000000" w:themeColor="text1"/>
                <w:szCs w:val="24"/>
              </w:rPr>
              <w:t>：</w:t>
            </w:r>
            <w:r w:rsidRPr="00B222A7">
              <w:rPr>
                <w:color w:val="000000" w:themeColor="text1"/>
                <w:szCs w:val="24"/>
              </w:rPr>
              <w:t>2009</w:t>
            </w:r>
            <w:r w:rsidRPr="00B222A7">
              <w:rPr>
                <w:color w:val="000000" w:themeColor="text1"/>
                <w:szCs w:val="24"/>
                <w:lang w:eastAsia="zh-CN"/>
              </w:rPr>
              <w:t xml:space="preserve"> had been </w:t>
            </w:r>
            <w:r w:rsidRPr="00B222A7">
              <w:rPr>
                <w:color w:val="000000" w:themeColor="text1"/>
                <w:szCs w:val="24"/>
              </w:rPr>
              <w:t xml:space="preserve">translated into </w:t>
            </w:r>
            <w:r w:rsidRPr="00B222A7">
              <w:rPr>
                <w:color w:val="000000" w:themeColor="text1"/>
                <w:szCs w:val="24"/>
                <w:lang w:eastAsia="zh-CN"/>
              </w:rPr>
              <w:t xml:space="preserve">China national standard: </w:t>
            </w:r>
            <w:r w:rsidRPr="00B222A7">
              <w:rPr>
                <w:szCs w:val="24"/>
              </w:rPr>
              <w:t>GB/T 16886.1-2011</w:t>
            </w:r>
            <w:r w:rsidRPr="00B222A7">
              <w:rPr>
                <w:szCs w:val="24"/>
                <w:lang w:eastAsia="zh-CN"/>
              </w:rPr>
              <w:t xml:space="preserve"> </w:t>
            </w:r>
            <w:r w:rsidRPr="00B222A7">
              <w:rPr>
                <w:szCs w:val="24"/>
              </w:rPr>
              <w:t>equally</w:t>
            </w:r>
            <w:r w:rsidRPr="00B222A7">
              <w:rPr>
                <w:szCs w:val="24"/>
                <w:lang w:eastAsia="zh-CN"/>
              </w:rPr>
              <w:t xml:space="preserve"> and implement from 2011.12.1</w:t>
            </w:r>
            <w:r w:rsidRPr="00B222A7">
              <w:rPr>
                <w:color w:val="000000" w:themeColor="text1"/>
                <w:szCs w:val="24"/>
                <w:lang w:eastAsia="zh-CN"/>
              </w:rPr>
              <w:t>, it isn’t mandatory standard</w:t>
            </w:r>
            <w:r w:rsidRPr="00B222A7">
              <w:rPr>
                <w:color w:val="000000" w:themeColor="text1"/>
                <w:szCs w:val="24"/>
                <w:lang w:eastAsia="zh-CN"/>
              </w:rPr>
              <w:t>，</w:t>
            </w:r>
            <w:r w:rsidRPr="00B222A7">
              <w:rPr>
                <w:color w:val="000000" w:themeColor="text1"/>
                <w:szCs w:val="24"/>
                <w:lang w:eastAsia="zh-CN"/>
              </w:rPr>
              <w:t>but , It is very important standard for industry to evaluate the biological of their medical device, and the evaluation center also investigate the biological of the medical device according to the series standard.</w:t>
            </w:r>
          </w:p>
        </w:tc>
      </w:tr>
    </w:tbl>
    <w:tbl>
      <w:tblPr>
        <w:tblStyle w:val="TableGrid"/>
        <w:tblpPr w:leftFromText="142" w:rightFromText="142" w:vertAnchor="text" w:horzAnchor="margin" w:tblpY="1"/>
        <w:tblW w:w="0" w:type="auto"/>
        <w:tblLook w:val="04A0" w:firstRow="1" w:lastRow="0" w:firstColumn="1" w:lastColumn="0" w:noHBand="0" w:noVBand="1"/>
      </w:tblPr>
      <w:tblGrid>
        <w:gridCol w:w="2547"/>
        <w:gridCol w:w="6803"/>
      </w:tblGrid>
      <w:tr w:rsidR="005F1108" w14:paraId="44552147" w14:textId="77777777" w:rsidTr="00DD6CD3">
        <w:tc>
          <w:tcPr>
            <w:tcW w:w="2547" w:type="dxa"/>
          </w:tcPr>
          <w:p w14:paraId="47A28286" w14:textId="77777777" w:rsidR="005F1108" w:rsidRDefault="005F1108" w:rsidP="00DD6CD3">
            <w:pPr>
              <w:keepNext/>
              <w:rPr>
                <w:lang w:eastAsia="ja-JP"/>
              </w:rPr>
            </w:pPr>
            <w:r>
              <w:rPr>
                <w:rFonts w:hint="eastAsia"/>
                <w:lang w:eastAsia="ja-JP"/>
              </w:rPr>
              <w:t>Europe</w:t>
            </w:r>
          </w:p>
          <w:p w14:paraId="4076357B" w14:textId="77777777" w:rsidR="005F1108" w:rsidRDefault="005F1108" w:rsidP="00DD6CD3">
            <w:pPr>
              <w:keepNext/>
              <w:rPr>
                <w:lang w:eastAsia="ja-JP"/>
              </w:rPr>
            </w:pPr>
          </w:p>
          <w:p w14:paraId="11EE919E" w14:textId="77777777" w:rsidR="005F1108" w:rsidRDefault="005F1108" w:rsidP="00DD6CD3">
            <w:pPr>
              <w:keepNext/>
              <w:rPr>
                <w:b/>
                <w:bCs/>
                <w:lang w:eastAsia="ja-JP"/>
              </w:rPr>
            </w:pPr>
            <w:r w:rsidRPr="00C46D3F">
              <w:rPr>
                <w:lang w:eastAsia="ja-JP"/>
              </w:rPr>
              <w:t>European Commission</w:t>
            </w:r>
            <w:r>
              <w:rPr>
                <w:rFonts w:hint="eastAsia"/>
                <w:lang w:eastAsia="ja-JP"/>
              </w:rPr>
              <w:t xml:space="preserve"> (EC)</w:t>
            </w:r>
          </w:p>
        </w:tc>
        <w:tc>
          <w:tcPr>
            <w:tcW w:w="6803" w:type="dxa"/>
          </w:tcPr>
          <w:p w14:paraId="44F78287" w14:textId="77777777" w:rsidR="00B95477" w:rsidRDefault="00B95477" w:rsidP="00B95477">
            <w:pPr>
              <w:rPr>
                <w:b/>
                <w:bCs/>
              </w:rPr>
            </w:pPr>
            <w:r>
              <w:t xml:space="preserve">The corresponding European standard EN </w:t>
            </w:r>
            <w:r w:rsidRPr="00C15EDB">
              <w:t>ISO 1</w:t>
            </w:r>
            <w:r w:rsidRPr="00C15EDB">
              <w:rPr>
                <w:rFonts w:hint="eastAsia"/>
              </w:rPr>
              <w:t>0993</w:t>
            </w:r>
            <w:r>
              <w:t>-1</w:t>
            </w:r>
            <w:r w:rsidRPr="00C15EDB">
              <w:t>:20</w:t>
            </w:r>
            <w:r w:rsidRPr="00C15EDB">
              <w:rPr>
                <w:rFonts w:hint="eastAsia"/>
              </w:rPr>
              <w:t>09</w:t>
            </w:r>
            <w:r w:rsidRPr="00C15EDB">
              <w:t xml:space="preserve"> </w:t>
            </w:r>
            <w:r>
              <w:t xml:space="preserve">is a harmonized standard which provides presumption </w:t>
            </w:r>
            <w:r w:rsidRPr="00A42055">
              <w:t>of conformity with certain legal requirements regarding</w:t>
            </w:r>
            <w:r w:rsidRPr="00A42055">
              <w:rPr>
                <w:rFonts w:ascii="TimesNewRomanBold" w:hAnsi="TimesNewRomanBold" w:cs="TimesNewRomanBold"/>
                <w:bCs/>
                <w:sz w:val="17"/>
                <w:szCs w:val="17"/>
              </w:rPr>
              <w:t xml:space="preserve"> c</w:t>
            </w:r>
            <w:r w:rsidRPr="00A42055">
              <w:rPr>
                <w:bCs/>
              </w:rPr>
              <w:t>hemical, physical and biological properties of devices.</w:t>
            </w:r>
          </w:p>
          <w:p w14:paraId="08551D63" w14:textId="66573DF2" w:rsidR="005F1108" w:rsidRDefault="00B95477" w:rsidP="00B95477">
            <w:pPr>
              <w:keepNext/>
              <w:rPr>
                <w:b/>
                <w:bCs/>
                <w:lang w:eastAsia="ja-JP"/>
              </w:rPr>
            </w:pPr>
            <w:r w:rsidRPr="004A14F1">
              <w:t xml:space="preserve">The use of this standard </w:t>
            </w:r>
            <w:r w:rsidRPr="005D7C2E">
              <w:t xml:space="preserve">(to the extent specified in its Annex ZZ) </w:t>
            </w:r>
            <w:r w:rsidRPr="004A14F1">
              <w:t>provides one solution f</w:t>
            </w:r>
            <w:r>
              <w:t>or compliance with the relevant</w:t>
            </w:r>
            <w:r w:rsidRPr="004A14F1">
              <w:t xml:space="preserve"> legal </w:t>
            </w:r>
            <w:r>
              <w:t>requirements</w:t>
            </w:r>
            <w:r w:rsidRPr="004A14F1">
              <w:t>. Compliance with the legal requirements can however be ensured also by other means.</w:t>
            </w:r>
          </w:p>
        </w:tc>
      </w:tr>
      <w:tr w:rsidR="005F1108" w14:paraId="49DF43DD" w14:textId="77777777" w:rsidTr="00DD6CD3">
        <w:tc>
          <w:tcPr>
            <w:tcW w:w="2547" w:type="dxa"/>
          </w:tcPr>
          <w:p w14:paraId="10EA711F" w14:textId="77777777" w:rsidR="005F1108" w:rsidRDefault="005F1108" w:rsidP="00DD6CD3">
            <w:pPr>
              <w:keepNext/>
              <w:rPr>
                <w:lang w:eastAsia="ja-JP"/>
              </w:rPr>
            </w:pPr>
            <w:r>
              <w:rPr>
                <w:rFonts w:hint="eastAsia"/>
                <w:lang w:eastAsia="ja-JP"/>
              </w:rPr>
              <w:t>Japan</w:t>
            </w:r>
          </w:p>
          <w:p w14:paraId="0D025AF4" w14:textId="77777777" w:rsidR="005F1108" w:rsidRDefault="005F1108" w:rsidP="00DD6CD3">
            <w:pPr>
              <w:keepNext/>
              <w:rPr>
                <w:lang w:eastAsia="ja-JP"/>
              </w:rPr>
            </w:pPr>
          </w:p>
          <w:p w14:paraId="2E67E7F5" w14:textId="77777777" w:rsidR="005F1108" w:rsidRDefault="005F1108" w:rsidP="00DD6CD3">
            <w:pPr>
              <w:keepNext/>
              <w:rPr>
                <w:lang w:eastAsia="ja-JP"/>
              </w:rPr>
            </w:pPr>
            <w:r w:rsidRPr="00C46D3F">
              <w:rPr>
                <w:lang w:eastAsia="ja-JP"/>
              </w:rPr>
              <w:t xml:space="preserve">Ministry of Health, </w:t>
            </w:r>
            <w:proofErr w:type="spellStart"/>
            <w:r w:rsidRPr="00C46D3F">
              <w:rPr>
                <w:lang w:eastAsia="ja-JP"/>
              </w:rPr>
              <w:t>Labour</w:t>
            </w:r>
            <w:proofErr w:type="spellEnd"/>
            <w:r w:rsidRPr="00C46D3F">
              <w:rPr>
                <w:lang w:eastAsia="ja-JP"/>
              </w:rPr>
              <w:t xml:space="preserve"> and Welfare</w:t>
            </w:r>
            <w:r>
              <w:rPr>
                <w:rFonts w:hint="eastAsia"/>
                <w:lang w:eastAsia="ja-JP"/>
              </w:rPr>
              <w:t xml:space="preserve"> </w:t>
            </w:r>
            <w:r>
              <w:rPr>
                <w:rFonts w:hint="eastAsia"/>
                <w:lang w:eastAsia="ja-JP"/>
              </w:rPr>
              <w:lastRenderedPageBreak/>
              <w:t>(MHLW)</w:t>
            </w:r>
          </w:p>
          <w:p w14:paraId="633A6703" w14:textId="77777777" w:rsidR="005F1108" w:rsidRDefault="005F1108" w:rsidP="00DD6CD3">
            <w:pPr>
              <w:keepNext/>
              <w:rPr>
                <w:b/>
                <w:bCs/>
                <w:lang w:eastAsia="ja-JP"/>
              </w:rPr>
            </w:pPr>
            <w:r w:rsidRPr="00C46D3F">
              <w:rPr>
                <w:lang w:eastAsia="ja-JP"/>
              </w:rPr>
              <w:t>Pharmaceuticals and Medical Devices Agency</w:t>
            </w:r>
            <w:r>
              <w:rPr>
                <w:rFonts w:hint="eastAsia"/>
                <w:lang w:eastAsia="ja-JP"/>
              </w:rPr>
              <w:t xml:space="preserve"> (PMDA)</w:t>
            </w:r>
          </w:p>
        </w:tc>
        <w:tc>
          <w:tcPr>
            <w:tcW w:w="6803" w:type="dxa"/>
          </w:tcPr>
          <w:p w14:paraId="528EC318" w14:textId="14EEAEDB" w:rsidR="005F1108" w:rsidRPr="00A034BC" w:rsidRDefault="005F1108" w:rsidP="00DD6CD3">
            <w:pPr>
              <w:keepNext/>
              <w:rPr>
                <w:bCs/>
                <w:lang w:eastAsia="ja-JP"/>
              </w:rPr>
            </w:pPr>
            <w:r>
              <w:rPr>
                <w:rFonts w:hint="eastAsia"/>
                <w:bCs/>
                <w:lang w:eastAsia="ja-JP"/>
              </w:rPr>
              <w:lastRenderedPageBreak/>
              <w:t xml:space="preserve">All medical devices are </w:t>
            </w:r>
            <w:r>
              <w:rPr>
                <w:bCs/>
                <w:lang w:eastAsia="ja-JP"/>
              </w:rPr>
              <w:t>required</w:t>
            </w:r>
            <w:r>
              <w:rPr>
                <w:rFonts w:hint="eastAsia"/>
                <w:bCs/>
                <w:lang w:eastAsia="ja-JP"/>
              </w:rPr>
              <w:t xml:space="preserve"> to sa</w:t>
            </w:r>
            <w:r w:rsidR="00904CE0">
              <w:rPr>
                <w:rFonts w:hint="eastAsia"/>
                <w:bCs/>
                <w:lang w:eastAsia="ja-JP"/>
              </w:rPr>
              <w:t>tisfy the EPs</w:t>
            </w:r>
            <w:r>
              <w:rPr>
                <w:rFonts w:hint="eastAsia"/>
                <w:bCs/>
                <w:lang w:eastAsia="ja-JP"/>
              </w:rPr>
              <w:t xml:space="preserve"> that align with those defined in </w:t>
            </w:r>
            <w:r>
              <w:rPr>
                <w:bCs/>
                <w:lang w:eastAsia="ja-JP"/>
              </w:rPr>
              <w:t>GHTF/SG1/N68</w:t>
            </w:r>
            <w:r w:rsidRPr="00A034BC">
              <w:rPr>
                <w:bCs/>
                <w:lang w:eastAsia="ja-JP"/>
              </w:rPr>
              <w:t>:2012</w:t>
            </w:r>
            <w:r>
              <w:rPr>
                <w:rFonts w:hint="eastAsia"/>
                <w:bCs/>
                <w:lang w:eastAsia="ja-JP"/>
              </w:rPr>
              <w:t xml:space="preserve"> </w:t>
            </w:r>
            <w:r w:rsidRPr="00A034BC">
              <w:rPr>
                <w:bCs/>
                <w:i/>
                <w:lang w:eastAsia="ja-JP"/>
              </w:rPr>
              <w:t>Essential Principles of Safety and Performance of Medical Devices</w:t>
            </w:r>
            <w:r>
              <w:rPr>
                <w:rFonts w:hint="eastAsia"/>
                <w:bCs/>
                <w:lang w:eastAsia="ja-JP"/>
              </w:rPr>
              <w:t xml:space="preserve">. </w:t>
            </w:r>
            <w:r w:rsidR="005E20AB" w:rsidRPr="005E20AB">
              <w:rPr>
                <w:bCs/>
                <w:lang w:eastAsia="ja-JP"/>
              </w:rPr>
              <w:t>ISO 10993</w:t>
            </w:r>
            <w:r w:rsidR="004A5607">
              <w:rPr>
                <w:bCs/>
                <w:lang w:eastAsia="ja-JP"/>
              </w:rPr>
              <w:t>-1</w:t>
            </w:r>
            <w:r w:rsidR="005E20AB" w:rsidRPr="005E20AB">
              <w:rPr>
                <w:bCs/>
                <w:lang w:eastAsia="ja-JP"/>
              </w:rPr>
              <w:t>:2009</w:t>
            </w:r>
            <w:r>
              <w:rPr>
                <w:rFonts w:hint="eastAsia"/>
                <w:bCs/>
                <w:lang w:eastAsia="ja-JP"/>
              </w:rPr>
              <w:t xml:space="preserve"> can be used for its purpose, which is clearly referred to in checklist of </w:t>
            </w:r>
            <w:r>
              <w:rPr>
                <w:rFonts w:hint="eastAsia"/>
                <w:bCs/>
                <w:lang w:eastAsia="ja-JP"/>
              </w:rPr>
              <w:lastRenderedPageBreak/>
              <w:t>E</w:t>
            </w:r>
            <w:r>
              <w:rPr>
                <w:bCs/>
                <w:lang w:eastAsia="ja-JP"/>
              </w:rPr>
              <w:t>Ps</w:t>
            </w:r>
            <w:r>
              <w:rPr>
                <w:rFonts w:hint="eastAsia"/>
                <w:bCs/>
                <w:lang w:eastAsia="ja-JP"/>
              </w:rPr>
              <w:t xml:space="preserve"> or </w:t>
            </w:r>
            <w:r>
              <w:rPr>
                <w:bCs/>
                <w:lang w:eastAsia="ja-JP"/>
              </w:rPr>
              <w:t>certification</w:t>
            </w:r>
            <w:r>
              <w:rPr>
                <w:rFonts w:hint="eastAsia"/>
                <w:bCs/>
                <w:lang w:eastAsia="ja-JP"/>
              </w:rPr>
              <w:t xml:space="preserve">/approval standards for each </w:t>
            </w:r>
            <w:r>
              <w:rPr>
                <w:bCs/>
                <w:lang w:eastAsia="ja-JP"/>
              </w:rPr>
              <w:t>medical</w:t>
            </w:r>
            <w:r>
              <w:rPr>
                <w:rFonts w:hint="eastAsia"/>
                <w:bCs/>
                <w:lang w:eastAsia="ja-JP"/>
              </w:rPr>
              <w:t xml:space="preserve"> device.</w:t>
            </w:r>
          </w:p>
        </w:tc>
      </w:tr>
      <w:tr w:rsidR="005F1108" w14:paraId="6F875B78" w14:textId="77777777" w:rsidTr="00DD6CD3">
        <w:tc>
          <w:tcPr>
            <w:tcW w:w="2547" w:type="dxa"/>
          </w:tcPr>
          <w:p w14:paraId="153B4E74" w14:textId="77777777" w:rsidR="005F1108" w:rsidRDefault="005F1108" w:rsidP="00DD6CD3">
            <w:pPr>
              <w:keepNext/>
              <w:rPr>
                <w:lang w:eastAsia="ja-JP"/>
              </w:rPr>
            </w:pPr>
            <w:r>
              <w:rPr>
                <w:rFonts w:hint="eastAsia"/>
                <w:lang w:eastAsia="ja-JP"/>
              </w:rPr>
              <w:lastRenderedPageBreak/>
              <w:t>Russia</w:t>
            </w:r>
          </w:p>
          <w:p w14:paraId="1F3D7177" w14:textId="77777777" w:rsidR="005F1108" w:rsidRDefault="005F1108" w:rsidP="00DD6CD3">
            <w:pPr>
              <w:keepNext/>
              <w:rPr>
                <w:lang w:eastAsia="ja-JP"/>
              </w:rPr>
            </w:pPr>
          </w:p>
          <w:p w14:paraId="133693FC" w14:textId="77777777" w:rsidR="005F1108" w:rsidRDefault="005F1108" w:rsidP="00DD6CD3">
            <w:pPr>
              <w:keepNext/>
              <w:rPr>
                <w:lang w:eastAsia="ja-JP"/>
              </w:rPr>
            </w:pPr>
            <w:r w:rsidRPr="00C46D3F">
              <w:rPr>
                <w:lang w:eastAsia="ja-JP"/>
              </w:rPr>
              <w:t>Russian Min</w:t>
            </w:r>
            <w:r>
              <w:rPr>
                <w:rFonts w:hint="eastAsia"/>
                <w:lang w:eastAsia="ja-JP"/>
              </w:rPr>
              <w:t>i</w:t>
            </w:r>
            <w:r w:rsidRPr="00C46D3F">
              <w:rPr>
                <w:lang w:eastAsia="ja-JP"/>
              </w:rPr>
              <w:t>stry of Health</w:t>
            </w:r>
          </w:p>
          <w:p w14:paraId="2FD7F567" w14:textId="77777777" w:rsidR="005F1108" w:rsidRDefault="005F1108" w:rsidP="00DD6CD3">
            <w:pPr>
              <w:keepNext/>
              <w:rPr>
                <w:b/>
                <w:bCs/>
                <w:lang w:eastAsia="ja-JP"/>
              </w:rPr>
            </w:pPr>
            <w:proofErr w:type="spellStart"/>
            <w:r>
              <w:rPr>
                <w:lang w:eastAsia="ja-JP"/>
              </w:rPr>
              <w:t>Roszdravnadzor</w:t>
            </w:r>
            <w:proofErr w:type="spellEnd"/>
          </w:p>
        </w:tc>
        <w:tc>
          <w:tcPr>
            <w:tcW w:w="6803" w:type="dxa"/>
          </w:tcPr>
          <w:p w14:paraId="3DCD8E7E" w14:textId="353D6DEA" w:rsidR="0090799C" w:rsidRPr="0090799C" w:rsidRDefault="0090799C" w:rsidP="0090799C">
            <w:pPr>
              <w:rPr>
                <w:color w:val="000000" w:themeColor="text1"/>
              </w:rPr>
            </w:pPr>
            <w:r w:rsidRPr="0090799C">
              <w:rPr>
                <w:color w:val="000000" w:themeColor="text1"/>
              </w:rPr>
              <w:t>In current regulation using of standards is voluntary in premarket MD evaluation. And Regulator does not recognize any standard which could provide presumption of conformity.</w:t>
            </w:r>
          </w:p>
          <w:p w14:paraId="0AEE3581" w14:textId="76610A4A" w:rsidR="0090799C" w:rsidRPr="0090799C" w:rsidRDefault="0090799C" w:rsidP="0090799C">
            <w:pPr>
              <w:rPr>
                <w:color w:val="000000" w:themeColor="text1"/>
              </w:rPr>
            </w:pPr>
            <w:r w:rsidRPr="0090799C">
              <w:rPr>
                <w:color w:val="000000" w:themeColor="text1"/>
              </w:rPr>
              <w:t>But when on the market, some types of MD have to be certified for particular mandatory standards (list of mandatory standards and types of MD is available on Regulator’s web site). It should be noted, that this regulation is to be canceled on 01/01/2016.</w:t>
            </w:r>
          </w:p>
        </w:tc>
      </w:tr>
      <w:tr w:rsidR="005F1108" w14:paraId="5849BDA5" w14:textId="77777777" w:rsidTr="00DD6CD3">
        <w:tc>
          <w:tcPr>
            <w:tcW w:w="2547" w:type="dxa"/>
          </w:tcPr>
          <w:p w14:paraId="36CD00FB" w14:textId="77777777" w:rsidR="005F1108" w:rsidRDefault="005F1108" w:rsidP="00DD6CD3">
            <w:pPr>
              <w:keepNext/>
              <w:rPr>
                <w:lang w:eastAsia="ja-JP"/>
              </w:rPr>
            </w:pPr>
            <w:r>
              <w:rPr>
                <w:rFonts w:hint="eastAsia"/>
                <w:lang w:eastAsia="ja-JP"/>
              </w:rPr>
              <w:t>The United States of America</w:t>
            </w:r>
          </w:p>
          <w:p w14:paraId="71AB76B8" w14:textId="77777777" w:rsidR="005F1108" w:rsidRDefault="005F1108" w:rsidP="00DD6CD3">
            <w:pPr>
              <w:keepNext/>
              <w:rPr>
                <w:lang w:eastAsia="ja-JP"/>
              </w:rPr>
            </w:pPr>
          </w:p>
          <w:p w14:paraId="59F6735E" w14:textId="77777777" w:rsidR="005F1108" w:rsidRDefault="005F1108" w:rsidP="00DD6CD3">
            <w:pPr>
              <w:keepNext/>
              <w:rPr>
                <w:b/>
                <w:bCs/>
                <w:lang w:eastAsia="ja-JP"/>
              </w:rPr>
            </w:pPr>
            <w:r w:rsidRPr="00C46D3F">
              <w:rPr>
                <w:lang w:eastAsia="ja-JP"/>
              </w:rPr>
              <w:t>US Food and Drug Administration</w:t>
            </w:r>
            <w:r>
              <w:rPr>
                <w:rFonts w:hint="eastAsia"/>
                <w:lang w:eastAsia="ja-JP"/>
              </w:rPr>
              <w:t xml:space="preserve"> (US FDA)</w:t>
            </w:r>
          </w:p>
        </w:tc>
        <w:tc>
          <w:tcPr>
            <w:tcW w:w="6803" w:type="dxa"/>
          </w:tcPr>
          <w:p w14:paraId="5EB4C72C" w14:textId="176EBE65" w:rsidR="005F1108" w:rsidRDefault="00B95477" w:rsidP="00DD6CD3">
            <w:pPr>
              <w:keepNext/>
              <w:rPr>
                <w:b/>
                <w:bCs/>
                <w:lang w:eastAsia="ja-JP"/>
              </w:rPr>
            </w:pPr>
            <w:r w:rsidRPr="000E326C">
              <w:rPr>
                <w:bCs/>
                <w:lang w:eastAsia="ja-JP"/>
              </w:rPr>
              <w:t>ISO 10993:</w:t>
            </w:r>
            <w:r>
              <w:rPr>
                <w:bCs/>
                <w:lang w:eastAsia="ja-JP"/>
              </w:rPr>
              <w:t xml:space="preserve">2009 is recognized by the US FDA medical device program as a consensus standard </w:t>
            </w:r>
            <w:r w:rsidRPr="006E7936">
              <w:rPr>
                <w:bCs/>
                <w:lang w:eastAsia="ja-JP"/>
              </w:rPr>
              <w:t>for which a person may submit a declaration of conformity in order to meet a premarket submission requirement or other requirement</w:t>
            </w:r>
            <w:r>
              <w:rPr>
                <w:bCs/>
                <w:lang w:eastAsia="ja-JP"/>
              </w:rPr>
              <w:t>s</w:t>
            </w:r>
            <w:r w:rsidRPr="006E7936">
              <w:rPr>
                <w:bCs/>
                <w:lang w:eastAsia="ja-JP"/>
              </w:rPr>
              <w:t xml:space="preserve"> to which a standard is applicable.</w:t>
            </w:r>
            <w:r>
              <w:rPr>
                <w:bCs/>
                <w:lang w:eastAsia="ja-JP"/>
              </w:rPr>
              <w:t xml:space="preserve">  US FDA by recognizing </w:t>
            </w:r>
            <w:r w:rsidRPr="000E326C">
              <w:rPr>
                <w:bCs/>
                <w:lang w:eastAsia="ja-JP"/>
              </w:rPr>
              <w:t xml:space="preserve">ISO 10993:2009 </w:t>
            </w:r>
            <w:r>
              <w:rPr>
                <w:bCs/>
                <w:lang w:eastAsia="ja-JP"/>
              </w:rPr>
              <w:t>and ISO 10993-1:2013</w:t>
            </w:r>
            <w:r w:rsidRPr="000E326C">
              <w:rPr>
                <w:bCs/>
                <w:lang w:eastAsia="ja-JP"/>
              </w:rPr>
              <w:t xml:space="preserve"> </w:t>
            </w:r>
            <w:r>
              <w:rPr>
                <w:bCs/>
                <w:lang w:eastAsia="ja-JP"/>
              </w:rPr>
              <w:t xml:space="preserve">believes these standards </w:t>
            </w:r>
            <w:r w:rsidRPr="000E326C">
              <w:rPr>
                <w:bCs/>
                <w:lang w:eastAsia="ja-JP"/>
              </w:rPr>
              <w:t>can successfully serve to address many of the issues associated with the biocompatibility eva</w:t>
            </w:r>
            <w:r>
              <w:rPr>
                <w:bCs/>
                <w:lang w:eastAsia="ja-JP"/>
              </w:rPr>
              <w:t>luation of medical device.  The</w:t>
            </w:r>
            <w:r w:rsidRPr="000E326C">
              <w:rPr>
                <w:bCs/>
                <w:lang w:eastAsia="ja-JP"/>
              </w:rPr>
              <w:t xml:space="preserve"> standard is used by CDRH to identify the types of issues relevant to a biocompatibility risk assessment, and to determine if the currently available information (e.g., formulation, manufacturing, previously collected data, literature information) is sufficient, or if additional testing might be needed (per other</w:t>
            </w:r>
            <w:r>
              <w:rPr>
                <w:bCs/>
                <w:lang w:eastAsia="ja-JP"/>
              </w:rPr>
              <w:t xml:space="preserve"> parts of the 10993 standard).</w:t>
            </w:r>
          </w:p>
        </w:tc>
      </w:tr>
    </w:tbl>
    <w:p w14:paraId="1FFD5AE7" w14:textId="10AE83C6" w:rsidR="009C42C5" w:rsidRDefault="009C42C5">
      <w:pPr>
        <w:rPr>
          <w:b/>
          <w:kern w:val="28"/>
          <w:sz w:val="28"/>
          <w:lang w:eastAsia="ja-JP"/>
        </w:rPr>
      </w:pPr>
    </w:p>
    <w:sectPr w:rsidR="009C42C5">
      <w:headerReference w:type="default" r:id="rId13"/>
      <w:footerReference w:type="default" r:id="rId14"/>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39D7C" w14:textId="77777777" w:rsidR="001F3C4C" w:rsidRDefault="001F3C4C">
      <w:r>
        <w:separator/>
      </w:r>
    </w:p>
  </w:endnote>
  <w:endnote w:type="continuationSeparator" w:id="0">
    <w:p w14:paraId="1E428443" w14:textId="77777777" w:rsidR="001F3C4C" w:rsidRDefault="001F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B42C7B" w14:paraId="755E9577" w14:textId="77777777">
      <w:tc>
        <w:tcPr>
          <w:tcW w:w="4788" w:type="dxa"/>
        </w:tcPr>
        <w:p w14:paraId="306F3557" w14:textId="78DB2162" w:rsidR="00B42C7B" w:rsidRDefault="00013504" w:rsidP="001F086E">
          <w:pPr>
            <w:pStyle w:val="Footer"/>
            <w:rPr>
              <w:sz w:val="20"/>
              <w:lang w:eastAsia="ja-JP"/>
            </w:rPr>
          </w:pPr>
          <w:r>
            <w:rPr>
              <w:rFonts w:hint="eastAsia"/>
              <w:sz w:val="20"/>
              <w:lang w:eastAsia="ja-JP"/>
            </w:rPr>
            <w:t>2</w:t>
          </w:r>
          <w:r w:rsidR="00631083">
            <w:rPr>
              <w:sz w:val="20"/>
            </w:rPr>
            <w:t xml:space="preserve"> </w:t>
          </w:r>
          <w:r w:rsidR="001F086E">
            <w:rPr>
              <w:sz w:val="20"/>
            </w:rPr>
            <w:t>October</w:t>
          </w:r>
          <w:r w:rsidR="00631083">
            <w:rPr>
              <w:sz w:val="20"/>
            </w:rPr>
            <w:t xml:space="preserve"> 201</w:t>
          </w:r>
          <w:r w:rsidR="00631083">
            <w:rPr>
              <w:rFonts w:hint="eastAsia"/>
              <w:sz w:val="20"/>
              <w:lang w:eastAsia="ja-JP"/>
            </w:rPr>
            <w:t>5</w:t>
          </w:r>
        </w:p>
      </w:tc>
      <w:tc>
        <w:tcPr>
          <w:tcW w:w="4788" w:type="dxa"/>
        </w:tcPr>
        <w:p w14:paraId="355E1529" w14:textId="77777777" w:rsidR="00B42C7B" w:rsidRDefault="00B42C7B">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24050E">
            <w:rPr>
              <w:noProof/>
              <w:snapToGrid w:val="0"/>
              <w:sz w:val="20"/>
            </w:rPr>
            <w:t>3</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24050E">
            <w:rPr>
              <w:noProof/>
              <w:snapToGrid w:val="0"/>
              <w:sz w:val="20"/>
            </w:rPr>
            <w:t>3</w:t>
          </w:r>
          <w:r>
            <w:rPr>
              <w:snapToGrid w:val="0"/>
              <w:sz w:val="20"/>
            </w:rPr>
            <w:fldChar w:fldCharType="end"/>
          </w:r>
        </w:p>
      </w:tc>
    </w:tr>
  </w:tbl>
  <w:p w14:paraId="4898F2B0" w14:textId="77777777" w:rsidR="00B42C7B" w:rsidRDefault="00B42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141FD5" w14:textId="77777777" w:rsidR="001F3C4C" w:rsidRDefault="001F3C4C">
      <w:r>
        <w:separator/>
      </w:r>
    </w:p>
  </w:footnote>
  <w:footnote w:type="continuationSeparator" w:id="0">
    <w:p w14:paraId="454E0F96" w14:textId="77777777" w:rsidR="001F3C4C" w:rsidRDefault="001F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848EF" w14:textId="77777777" w:rsidR="00B42C7B" w:rsidRPr="00865C12" w:rsidRDefault="00B42C7B" w:rsidP="00B42C7B">
    <w:pPr>
      <w:rPr>
        <w:b/>
      </w:rPr>
    </w:pPr>
  </w:p>
  <w:p w14:paraId="55F29692" w14:textId="77777777" w:rsidR="00B42C7B" w:rsidRDefault="00B42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1C86D" w14:textId="6047B05F" w:rsidR="00DC70D4" w:rsidRDefault="00DC70D4" w:rsidP="00855EBA">
    <w:pPr>
      <w:pStyle w:val="Heade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6690" w14:textId="389BCBE9" w:rsidR="00B42C7B" w:rsidRDefault="00631083">
    <w:pPr>
      <w:pStyle w:val="Header"/>
      <w:jc w:val="center"/>
      <w:rPr>
        <w:sz w:val="20"/>
        <w:lang w:eastAsia="ja-JP"/>
      </w:rPr>
    </w:pPr>
    <w:r>
      <w:rPr>
        <w:sz w:val="20"/>
      </w:rPr>
      <w:t>IMDR</w:t>
    </w:r>
    <w:r w:rsidR="00236992">
      <w:rPr>
        <w:sz w:val="20"/>
      </w:rPr>
      <w:t>F</w:t>
    </w:r>
    <w:r>
      <w:rPr>
        <w:sz w:val="20"/>
      </w:rPr>
      <w:t>/</w:t>
    </w:r>
    <w:r>
      <w:rPr>
        <w:rFonts w:hint="eastAsia"/>
        <w:sz w:val="20"/>
        <w:lang w:eastAsia="ja-JP"/>
      </w:rPr>
      <w:t>MC/</w:t>
    </w:r>
    <w:r>
      <w:rPr>
        <w:sz w:val="20"/>
      </w:rPr>
      <w:t>N</w:t>
    </w:r>
    <w:r w:rsidR="001F086E">
      <w:rPr>
        <w:rFonts w:hint="eastAsia"/>
        <w:sz w:val="20"/>
        <w:lang w:eastAsia="ja-JP"/>
      </w:rPr>
      <w:t xml:space="preserve">37 </w:t>
    </w:r>
    <w:r>
      <w:rPr>
        <w:sz w:val="20"/>
      </w:rPr>
      <w:t>FINAL:</w:t>
    </w:r>
    <w:r w:rsidR="001F086E">
      <w:rPr>
        <w:sz w:val="20"/>
      </w:rPr>
      <w:t xml:space="preserve"> </w:t>
    </w:r>
    <w:r>
      <w:rPr>
        <w:sz w:val="20"/>
      </w:rPr>
      <w:t>201</w:t>
    </w:r>
    <w:r>
      <w:rPr>
        <w:rFonts w:hint="eastAsia"/>
        <w:sz w:val="20"/>
        <w:lang w:eastAsia="ja-JP"/>
      </w:rPr>
      <w:t>5</w:t>
    </w:r>
  </w:p>
  <w:p w14:paraId="4448606E" w14:textId="77777777" w:rsidR="00B42C7B" w:rsidRPr="001732F8" w:rsidRDefault="00B42C7B">
    <w:pPr>
      <w:pStyle w:val="Header"/>
      <w:pBdr>
        <w:bottom w:val="single" w:sz="4" w:space="1" w:color="auto"/>
      </w:pBdr>
      <w:jc w:val="center"/>
      <w:rPr>
        <w:sz w:val="16"/>
        <w:szCs w:val="16"/>
      </w:rPr>
    </w:pPr>
  </w:p>
  <w:p w14:paraId="27A825B1" w14:textId="77777777" w:rsidR="00B42C7B" w:rsidRDefault="00B42C7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13504"/>
    <w:rsid w:val="0003059E"/>
    <w:rsid w:val="000F16FC"/>
    <w:rsid w:val="001732F8"/>
    <w:rsid w:val="00176E0B"/>
    <w:rsid w:val="001C3D44"/>
    <w:rsid w:val="001F086E"/>
    <w:rsid w:val="001F3C4C"/>
    <w:rsid w:val="001F3FC4"/>
    <w:rsid w:val="002116A7"/>
    <w:rsid w:val="00221F01"/>
    <w:rsid w:val="00221F28"/>
    <w:rsid w:val="00236992"/>
    <w:rsid w:val="0024050E"/>
    <w:rsid w:val="002705F3"/>
    <w:rsid w:val="002E7AD8"/>
    <w:rsid w:val="00325B8F"/>
    <w:rsid w:val="003A3F2C"/>
    <w:rsid w:val="004340BF"/>
    <w:rsid w:val="0043538F"/>
    <w:rsid w:val="004617AC"/>
    <w:rsid w:val="004679BA"/>
    <w:rsid w:val="00474803"/>
    <w:rsid w:val="0047769B"/>
    <w:rsid w:val="00485EEE"/>
    <w:rsid w:val="004A5607"/>
    <w:rsid w:val="004C00E0"/>
    <w:rsid w:val="004D2146"/>
    <w:rsid w:val="005219B9"/>
    <w:rsid w:val="005727D2"/>
    <w:rsid w:val="005E20AB"/>
    <w:rsid w:val="005F0560"/>
    <w:rsid w:val="005F1108"/>
    <w:rsid w:val="005F453C"/>
    <w:rsid w:val="00621BB0"/>
    <w:rsid w:val="00631083"/>
    <w:rsid w:val="00641029"/>
    <w:rsid w:val="00643A49"/>
    <w:rsid w:val="006B30A4"/>
    <w:rsid w:val="006D3741"/>
    <w:rsid w:val="006D721E"/>
    <w:rsid w:val="007325B5"/>
    <w:rsid w:val="0076256A"/>
    <w:rsid w:val="007679EF"/>
    <w:rsid w:val="007A4707"/>
    <w:rsid w:val="007E360C"/>
    <w:rsid w:val="00825ACA"/>
    <w:rsid w:val="00830B00"/>
    <w:rsid w:val="0083586F"/>
    <w:rsid w:val="00853F9D"/>
    <w:rsid w:val="00855EBA"/>
    <w:rsid w:val="00865C12"/>
    <w:rsid w:val="008A0951"/>
    <w:rsid w:val="008C212F"/>
    <w:rsid w:val="008D097B"/>
    <w:rsid w:val="0090176F"/>
    <w:rsid w:val="00904CE0"/>
    <w:rsid w:val="0090799C"/>
    <w:rsid w:val="00933580"/>
    <w:rsid w:val="009935C1"/>
    <w:rsid w:val="009B75E4"/>
    <w:rsid w:val="009C42C5"/>
    <w:rsid w:val="00A034BC"/>
    <w:rsid w:val="00A22B31"/>
    <w:rsid w:val="00A43F42"/>
    <w:rsid w:val="00A51946"/>
    <w:rsid w:val="00AC2B94"/>
    <w:rsid w:val="00AC5924"/>
    <w:rsid w:val="00AD3291"/>
    <w:rsid w:val="00B0154B"/>
    <w:rsid w:val="00B31FE2"/>
    <w:rsid w:val="00B42C7B"/>
    <w:rsid w:val="00B65343"/>
    <w:rsid w:val="00B95477"/>
    <w:rsid w:val="00BA1E3E"/>
    <w:rsid w:val="00BA253A"/>
    <w:rsid w:val="00BA7B80"/>
    <w:rsid w:val="00BC61A2"/>
    <w:rsid w:val="00BC76BA"/>
    <w:rsid w:val="00C0663E"/>
    <w:rsid w:val="00C46D3F"/>
    <w:rsid w:val="00CD519C"/>
    <w:rsid w:val="00CF3DB7"/>
    <w:rsid w:val="00D101E8"/>
    <w:rsid w:val="00D24CE6"/>
    <w:rsid w:val="00D976EB"/>
    <w:rsid w:val="00DC70D4"/>
    <w:rsid w:val="00DF2F9D"/>
    <w:rsid w:val="00E034B3"/>
    <w:rsid w:val="00E80E08"/>
    <w:rsid w:val="00F70026"/>
    <w:rsid w:val="00FD54EB"/>
    <w:rsid w:val="00FF4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0B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FootnoteText">
    <w:name w:val="footnote text"/>
    <w:basedOn w:val="Normal"/>
    <w:link w:val="FootnoteTextChar"/>
    <w:semiHidden/>
    <w:unhideWhenUsed/>
    <w:rsid w:val="00A43F42"/>
    <w:rPr>
      <w:sz w:val="20"/>
      <w:lang w:eastAsia="en-AU" w:bidi="he-IL"/>
    </w:rPr>
  </w:style>
  <w:style w:type="character" w:customStyle="1" w:styleId="FootnoteTextChar">
    <w:name w:val="Footnote Text Char"/>
    <w:basedOn w:val="DefaultParagraphFont"/>
    <w:link w:val="FootnoteText"/>
    <w:semiHidden/>
    <w:rsid w:val="00A43F42"/>
    <w:rPr>
      <w:lang w:eastAsia="en-AU" w:bidi="he-IL"/>
    </w:rPr>
  </w:style>
  <w:style w:type="character" w:styleId="FootnoteReference">
    <w:name w:val="footnote reference"/>
    <w:semiHidden/>
    <w:unhideWhenUsed/>
    <w:rsid w:val="00A43F42"/>
    <w:rPr>
      <w:vertAlign w:val="superscript"/>
    </w:rPr>
  </w:style>
  <w:style w:type="table" w:styleId="TableGrid">
    <w:name w:val="Table Grid"/>
    <w:basedOn w:val="TableNormal"/>
    <w:uiPriority w:val="59"/>
    <w:rsid w:val="00631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F1108"/>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9C42C5"/>
  </w:style>
  <w:style w:type="character" w:styleId="Hyperlink">
    <w:name w:val="Hyperlink"/>
    <w:basedOn w:val="DefaultParagraphFont"/>
    <w:uiPriority w:val="99"/>
    <w:unhideWhenUsed/>
    <w:rsid w:val="009C42C5"/>
    <w:rPr>
      <w:color w:val="0000FF" w:themeColor="hyperlink"/>
      <w:u w:val="single"/>
    </w:rPr>
  </w:style>
  <w:style w:type="character" w:styleId="CommentReference">
    <w:name w:val="annotation reference"/>
    <w:basedOn w:val="DefaultParagraphFont"/>
    <w:uiPriority w:val="99"/>
    <w:semiHidden/>
    <w:unhideWhenUsed/>
    <w:rsid w:val="004A5607"/>
    <w:rPr>
      <w:sz w:val="18"/>
      <w:szCs w:val="18"/>
    </w:rPr>
  </w:style>
  <w:style w:type="paragraph" w:styleId="CommentText">
    <w:name w:val="annotation text"/>
    <w:basedOn w:val="Normal"/>
    <w:link w:val="CommentTextChar"/>
    <w:uiPriority w:val="99"/>
    <w:semiHidden/>
    <w:unhideWhenUsed/>
    <w:rsid w:val="004A5607"/>
  </w:style>
  <w:style w:type="character" w:customStyle="1" w:styleId="CommentTextChar">
    <w:name w:val="Comment Text Char"/>
    <w:basedOn w:val="DefaultParagraphFont"/>
    <w:link w:val="CommentText"/>
    <w:uiPriority w:val="99"/>
    <w:semiHidden/>
    <w:rsid w:val="004A5607"/>
    <w:rPr>
      <w:sz w:val="24"/>
    </w:rPr>
  </w:style>
  <w:style w:type="paragraph" w:styleId="CommentSubject">
    <w:name w:val="annotation subject"/>
    <w:basedOn w:val="CommentText"/>
    <w:next w:val="CommentText"/>
    <w:link w:val="CommentSubjectChar"/>
    <w:uiPriority w:val="99"/>
    <w:semiHidden/>
    <w:unhideWhenUsed/>
    <w:rsid w:val="004A5607"/>
    <w:rPr>
      <w:b/>
      <w:bCs/>
    </w:rPr>
  </w:style>
  <w:style w:type="character" w:customStyle="1" w:styleId="CommentSubjectChar">
    <w:name w:val="Comment Subject Char"/>
    <w:basedOn w:val="CommentTextChar"/>
    <w:link w:val="CommentSubject"/>
    <w:uiPriority w:val="99"/>
    <w:semiHidden/>
    <w:rsid w:val="004A5607"/>
    <w:rPr>
      <w:b/>
      <w:bCs/>
      <w:sz w:val="24"/>
    </w:rPr>
  </w:style>
  <w:style w:type="character" w:customStyle="1" w:styleId="st1">
    <w:name w:val="st1"/>
    <w:basedOn w:val="DefaultParagraphFont"/>
    <w:rsid w:val="00AC2B94"/>
  </w:style>
  <w:style w:type="paragraph" w:customStyle="1" w:styleId="Default">
    <w:name w:val="Default"/>
    <w:rsid w:val="00B95477"/>
    <w:pPr>
      <w:autoSpaceDE w:val="0"/>
      <w:autoSpaceDN w:val="0"/>
      <w:adjustRightInd w:val="0"/>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5870">
      <w:bodyDiv w:val="1"/>
      <w:marLeft w:val="0"/>
      <w:marRight w:val="0"/>
      <w:marTop w:val="0"/>
      <w:marBottom w:val="0"/>
      <w:divBdr>
        <w:top w:val="none" w:sz="0" w:space="0" w:color="auto"/>
        <w:left w:val="none" w:sz="0" w:space="0" w:color="auto"/>
        <w:bottom w:val="none" w:sz="0" w:space="0" w:color="auto"/>
        <w:right w:val="none" w:sz="0" w:space="0" w:color="auto"/>
      </w:divBdr>
    </w:div>
    <w:div w:id="600994032">
      <w:bodyDiv w:val="1"/>
      <w:marLeft w:val="0"/>
      <w:marRight w:val="0"/>
      <w:marTop w:val="0"/>
      <w:marBottom w:val="0"/>
      <w:divBdr>
        <w:top w:val="none" w:sz="0" w:space="0" w:color="auto"/>
        <w:left w:val="none" w:sz="0" w:space="0" w:color="auto"/>
        <w:bottom w:val="none" w:sz="0" w:space="0" w:color="auto"/>
        <w:right w:val="none" w:sz="0" w:space="0" w:color="auto"/>
      </w:divBdr>
    </w:div>
    <w:div w:id="940256495">
      <w:bodyDiv w:val="1"/>
      <w:marLeft w:val="0"/>
      <w:marRight w:val="0"/>
      <w:marTop w:val="0"/>
      <w:marBottom w:val="0"/>
      <w:divBdr>
        <w:top w:val="none" w:sz="0" w:space="0" w:color="auto"/>
        <w:left w:val="none" w:sz="0" w:space="0" w:color="auto"/>
        <w:bottom w:val="none" w:sz="0" w:space="0" w:color="auto"/>
        <w:right w:val="none" w:sz="0" w:space="0" w:color="auto"/>
      </w:divBdr>
    </w:div>
    <w:div w:id="181864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AAAF-80B3-449F-A828-E37097BE8DA8}">
  <ds:schemaRefs>
    <ds:schemaRef ds:uri="http://schemas.microsoft.com/office/2006/customDocumentInformationPanel"/>
  </ds:schemaRefs>
</ds:datastoreItem>
</file>

<file path=customXml/itemProps2.xml><?xml version="1.0" encoding="utf-8"?>
<ds:datastoreItem xmlns:ds="http://schemas.openxmlformats.org/officeDocument/2006/customXml" ds:itemID="{D680C45D-101B-4BBE-BCD3-BB3E1F131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11</TotalTime>
  <Pages>3</Pages>
  <Words>762</Words>
  <Characters>4344</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Statement regarding Use of ISO 14155:2011 “Clinical investigation of medical devices for human subjects – Good clinical practice” </vt:lpstr>
      <vt:lpstr>Statement regarding Use of ISO 14155:2011 “Clinical investigation of medical devices for human subjects – Good clinical practice” </vt:lpstr>
    </vt:vector>
  </TitlesOfParts>
  <Company>IMDRF</Company>
  <LinksUpToDate>false</LinksUpToDate>
  <CharactersWithSpaces>5096</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regarding Use of ISO 10993-1:2009 "Biological evaluation of medical devices -- Part 1: Evaluation and testing within a risk management process"</dc:title>
  <dc:subject>procedural document</dc:subject>
  <dc:creator>IMDRF</dc:creator>
  <cp:keywords>medical devices, regulation, imdrf</cp:keywords>
  <cp:lastModifiedBy>Sheppard, Fran</cp:lastModifiedBy>
  <cp:revision>7</cp:revision>
  <cp:lastPrinted>2015-10-02T07:42:00Z</cp:lastPrinted>
  <dcterms:created xsi:type="dcterms:W3CDTF">2015-09-29T03:51:00Z</dcterms:created>
  <dcterms:modified xsi:type="dcterms:W3CDTF">2015-10-19T11:03:00Z</dcterms:modified>
</cp:coreProperties>
</file>