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DAE" w14:textId="233923AE" w:rsidR="005219B9" w:rsidRDefault="00641029" w:rsidP="00C25E35">
      <w:pPr>
        <w:pBdr>
          <w:top w:val="single" w:sz="6" w:space="0" w:color="000000"/>
          <w:left w:val="single" w:sz="6" w:space="0" w:color="000000"/>
          <w:bottom w:val="single" w:sz="6" w:space="0" w:color="000000"/>
          <w:right w:val="single" w:sz="6" w:space="0" w:color="000000"/>
        </w:pBdr>
        <w:tabs>
          <w:tab w:val="right" w:pos="9360"/>
        </w:tabs>
        <w:wordWrap w:val="0"/>
        <w:jc w:val="right"/>
        <w:rPr>
          <w:b/>
          <w:lang w:eastAsia="ja-JP"/>
        </w:rPr>
      </w:pPr>
      <w:r>
        <w:rPr>
          <w:b/>
        </w:rPr>
        <w:t>IMDRF/</w:t>
      </w:r>
      <w:r w:rsidR="00631083">
        <w:rPr>
          <w:rFonts w:hint="eastAsia"/>
          <w:b/>
          <w:lang w:eastAsia="ja-JP"/>
        </w:rPr>
        <w:t>MC/</w:t>
      </w:r>
      <w:r>
        <w:rPr>
          <w:b/>
        </w:rPr>
        <w:t>N</w:t>
      </w:r>
      <w:r w:rsidR="00C25E35">
        <w:rPr>
          <w:rFonts w:hint="eastAsia"/>
          <w:b/>
          <w:lang w:eastAsia="ja-JP"/>
        </w:rPr>
        <w:t xml:space="preserve">35 </w:t>
      </w:r>
      <w:r>
        <w:rPr>
          <w:b/>
        </w:rPr>
        <w:t>FINAL:</w:t>
      </w:r>
      <w:r w:rsidR="00C25E35">
        <w:rPr>
          <w:b/>
        </w:rPr>
        <w:t xml:space="preserve"> </w:t>
      </w:r>
      <w:r>
        <w:rPr>
          <w:b/>
        </w:rPr>
        <w:t>201</w:t>
      </w:r>
      <w:r>
        <w:rPr>
          <w:rFonts w:hint="eastAsia"/>
          <w:b/>
          <w:lang w:eastAsia="ja-JP"/>
        </w:rPr>
        <w:t>5</w:t>
      </w:r>
    </w:p>
    <w:p w14:paraId="392F0F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D7D6A5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F662B2E"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24B6FB8" wp14:editId="4309AD6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D9362C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41F2D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F0E0DED"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0939258D" w14:textId="77777777"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70624DCA" w14:textId="77777777"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14:paraId="064F27BC"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25B419C3"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4D05BD"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AE1EA77" w14:textId="6A4AFEFA"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Pr>
          <w:rFonts w:hint="eastAsia"/>
          <w:sz w:val="28"/>
          <w:lang w:eastAsia="ja-JP"/>
        </w:rPr>
        <w:t xml:space="preserve"> </w:t>
      </w:r>
      <w:r w:rsidR="00271AB4" w:rsidRPr="00271AB4">
        <w:rPr>
          <w:sz w:val="28"/>
          <w:lang w:eastAsia="ja-JP"/>
        </w:rPr>
        <w:t xml:space="preserve">IEC 62304:2006 “Medical </w:t>
      </w:r>
      <w:proofErr w:type="gramStart"/>
      <w:r w:rsidR="00271AB4" w:rsidRPr="00271AB4">
        <w:rPr>
          <w:sz w:val="28"/>
          <w:lang w:eastAsia="ja-JP"/>
        </w:rPr>
        <w:t>device</w:t>
      </w:r>
      <w:proofErr w:type="gramEnd"/>
      <w:r w:rsidR="00271AB4" w:rsidRPr="00271AB4">
        <w:rPr>
          <w:sz w:val="28"/>
          <w:lang w:eastAsia="ja-JP"/>
        </w:rPr>
        <w:t xml:space="preserve"> software -- </w:t>
      </w:r>
      <w:proofErr w:type="spellStart"/>
      <w:r w:rsidR="00271AB4" w:rsidRPr="00271AB4">
        <w:rPr>
          <w:sz w:val="28"/>
          <w:lang w:eastAsia="ja-JP"/>
        </w:rPr>
        <w:t>Software</w:t>
      </w:r>
      <w:proofErr w:type="spellEnd"/>
      <w:r w:rsidR="00271AB4" w:rsidRPr="00271AB4">
        <w:rPr>
          <w:sz w:val="28"/>
          <w:lang w:eastAsia="ja-JP"/>
        </w:rPr>
        <w:t xml:space="preserve"> life cycle processes”</w:t>
      </w:r>
      <w:bookmarkEnd w:id="0"/>
    </w:p>
    <w:p w14:paraId="77ECCA0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520F0625"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14:paraId="256B9BAD"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C3FF458" w14:textId="23E90AC0"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610236">
        <w:rPr>
          <w:rFonts w:hint="eastAsia"/>
          <w:sz w:val="28"/>
          <w:lang w:eastAsia="ja-JP"/>
        </w:rPr>
        <w:t>2</w:t>
      </w:r>
      <w:r w:rsidR="00631083">
        <w:rPr>
          <w:sz w:val="28"/>
        </w:rPr>
        <w:t xml:space="preserve"> </w:t>
      </w:r>
      <w:r w:rsidR="00C25E35">
        <w:rPr>
          <w:rFonts w:hint="eastAsia"/>
          <w:sz w:val="28"/>
          <w:lang w:eastAsia="ja-JP"/>
        </w:rPr>
        <w:t>October</w:t>
      </w:r>
      <w:r w:rsidR="00631083">
        <w:rPr>
          <w:sz w:val="28"/>
        </w:rPr>
        <w:t xml:space="preserve"> 201</w:t>
      </w:r>
      <w:r w:rsidR="00631083">
        <w:rPr>
          <w:rFonts w:hint="eastAsia"/>
          <w:sz w:val="28"/>
          <w:lang w:eastAsia="ja-JP"/>
        </w:rPr>
        <w:t>5</w:t>
      </w:r>
    </w:p>
    <w:p w14:paraId="2C8DAC2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1272B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8C7BDC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1C9742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87AFB93"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11221B4"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4FA3AE10"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55597414"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63C6FC0E"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3C0884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6C396B9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71E1E249"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01B307BB" w14:textId="77777777" w:rsidR="005219B9" w:rsidRDefault="005219B9">
      <w:pPr>
        <w:sectPr w:rsidR="005219B9" w:rsidSect="00DC70D4">
          <w:headerReference w:type="default" r:id="rId11"/>
          <w:headerReference w:type="first" r:id="rId12"/>
          <w:pgSz w:w="12240" w:h="15840" w:code="1"/>
          <w:pgMar w:top="1134" w:right="1440" w:bottom="1440" w:left="1440" w:header="283" w:footer="720" w:gutter="0"/>
          <w:cols w:space="720"/>
          <w:titlePg/>
          <w:docGrid w:linePitch="326"/>
        </w:sectPr>
      </w:pPr>
    </w:p>
    <w:p w14:paraId="05079707" w14:textId="77777777" w:rsidR="005F1108" w:rsidRDefault="005F1108" w:rsidP="00271AB4">
      <w:pPr>
        <w:pStyle w:val="Heading1"/>
        <w:numPr>
          <w:ilvl w:val="0"/>
          <w:numId w:val="0"/>
        </w:numPr>
        <w:rPr>
          <w:lang w:eastAsia="ja-JP"/>
        </w:rPr>
      </w:pPr>
      <w:bookmarkStart w:id="1" w:name="_Toc423451726"/>
      <w:r>
        <w:rPr>
          <w:rFonts w:hint="eastAsia"/>
          <w:lang w:eastAsia="ja-JP"/>
        </w:rPr>
        <w:lastRenderedPageBreak/>
        <w:t xml:space="preserve">Use of </w:t>
      </w:r>
      <w:r>
        <w:rPr>
          <w:lang w:eastAsia="ja-JP"/>
        </w:rPr>
        <w:t>I</w:t>
      </w:r>
      <w:r>
        <w:rPr>
          <w:rFonts w:hint="eastAsia"/>
          <w:lang w:eastAsia="ja-JP"/>
        </w:rPr>
        <w:t>EC</w:t>
      </w:r>
      <w:r>
        <w:rPr>
          <w:lang w:eastAsia="ja-JP"/>
        </w:rPr>
        <w:t xml:space="preserve"> </w:t>
      </w:r>
      <w:r>
        <w:rPr>
          <w:rFonts w:hint="eastAsia"/>
          <w:lang w:eastAsia="ja-JP"/>
        </w:rPr>
        <w:t>62304</w:t>
      </w:r>
      <w:r>
        <w:rPr>
          <w:lang w:eastAsia="ja-JP"/>
        </w:rPr>
        <w:t>:20</w:t>
      </w:r>
      <w:r>
        <w:rPr>
          <w:rFonts w:hint="eastAsia"/>
          <w:lang w:eastAsia="ja-JP"/>
        </w:rPr>
        <w:t>06</w:t>
      </w:r>
      <w:r w:rsidRPr="00C46D3F">
        <w:rPr>
          <w:lang w:eastAsia="ja-JP"/>
        </w:rPr>
        <w:t xml:space="preserve"> “</w:t>
      </w:r>
      <w:r w:rsidRPr="005F1108">
        <w:rPr>
          <w:lang w:eastAsia="ja-JP"/>
        </w:rPr>
        <w:t xml:space="preserve">Medical device software -- </w:t>
      </w:r>
      <w:proofErr w:type="spellStart"/>
      <w:r w:rsidRPr="005F1108">
        <w:rPr>
          <w:lang w:eastAsia="ja-JP"/>
        </w:rPr>
        <w:t>Software</w:t>
      </w:r>
      <w:proofErr w:type="spellEnd"/>
      <w:r w:rsidRPr="005F1108">
        <w:rPr>
          <w:lang w:eastAsia="ja-JP"/>
        </w:rPr>
        <w:t xml:space="preserve"> life cycle processes</w:t>
      </w:r>
      <w:r w:rsidRPr="00C46D3F">
        <w:rPr>
          <w:lang w:eastAsia="ja-JP"/>
        </w:rPr>
        <w:t>”</w:t>
      </w:r>
      <w:r>
        <w:rPr>
          <w:rFonts w:hint="eastAsia"/>
          <w:lang w:eastAsia="ja-JP"/>
        </w:rPr>
        <w:t xml:space="preserve"> in each jurisdiction</w:t>
      </w:r>
      <w:bookmarkEnd w:id="1"/>
    </w:p>
    <w:tbl>
      <w:tblPr>
        <w:tblStyle w:val="TableGrid"/>
        <w:tblW w:w="0" w:type="auto"/>
        <w:tblLook w:val="04A0" w:firstRow="1" w:lastRow="0" w:firstColumn="1" w:lastColumn="0" w:noHBand="0" w:noVBand="1"/>
      </w:tblPr>
      <w:tblGrid>
        <w:gridCol w:w="2547"/>
        <w:gridCol w:w="6803"/>
      </w:tblGrid>
      <w:tr w:rsidR="005F1108" w14:paraId="22596210" w14:textId="77777777" w:rsidTr="00DD6CD3">
        <w:tc>
          <w:tcPr>
            <w:tcW w:w="2547" w:type="dxa"/>
          </w:tcPr>
          <w:p w14:paraId="0F3989CA" w14:textId="77777777" w:rsidR="005F1108" w:rsidRDefault="005F1108" w:rsidP="00DD6CD3">
            <w:pPr>
              <w:keepNext/>
              <w:rPr>
                <w:lang w:eastAsia="ja-JP"/>
              </w:rPr>
            </w:pPr>
            <w:r>
              <w:rPr>
                <w:rFonts w:hint="eastAsia"/>
                <w:lang w:eastAsia="ja-JP"/>
              </w:rPr>
              <w:t>Australia</w:t>
            </w:r>
          </w:p>
          <w:p w14:paraId="2D67BE3C" w14:textId="77777777" w:rsidR="005F1108" w:rsidRDefault="005F1108" w:rsidP="00DD6CD3">
            <w:pPr>
              <w:keepNext/>
              <w:rPr>
                <w:lang w:eastAsia="ja-JP"/>
              </w:rPr>
            </w:pPr>
          </w:p>
          <w:p w14:paraId="7FF9D1F2" w14:textId="77777777" w:rsidR="005F1108" w:rsidRDefault="005F1108" w:rsidP="00DD6CD3">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14:paraId="2DF81C10" w14:textId="772B7880" w:rsidR="005F1108" w:rsidRDefault="00B95477" w:rsidP="00DD6CD3">
            <w:pPr>
              <w:keepNext/>
              <w:rPr>
                <w:b/>
                <w:bCs/>
                <w:lang w:eastAsia="ja-JP"/>
              </w:rPr>
            </w:pPr>
            <w:r w:rsidRPr="00B222A7">
              <w:rPr>
                <w:bCs/>
                <w:szCs w:val="24"/>
                <w:lang w:eastAsia="ja-JP"/>
              </w:rPr>
              <w:t>All medical devices are required to meet Australian Essential Principles (EPs)</w:t>
            </w:r>
            <w:r w:rsidRPr="00B222A7">
              <w:rPr>
                <w:b/>
                <w:bCs/>
                <w:szCs w:val="24"/>
                <w:lang w:eastAsia="ja-JP"/>
              </w:rPr>
              <w:t xml:space="preserve">. </w:t>
            </w:r>
            <w:r w:rsidRPr="00B222A7">
              <w:rPr>
                <w:szCs w:val="24"/>
              </w:rPr>
              <w:t xml:space="preserve">IEC 62304 - </w:t>
            </w:r>
            <w:r w:rsidRPr="00B222A7">
              <w:rPr>
                <w:i/>
                <w:szCs w:val="24"/>
              </w:rPr>
              <w:t>Software lifecycle process</w:t>
            </w:r>
            <w:r w:rsidRPr="00B222A7">
              <w:rPr>
                <w:szCs w:val="24"/>
              </w:rPr>
              <w:t xml:space="preserve"> (or equivalent or better) and IEC 62366 - </w:t>
            </w:r>
            <w:proofErr w:type="spellStart"/>
            <w:r w:rsidRPr="00B222A7">
              <w:rPr>
                <w:i/>
                <w:szCs w:val="24"/>
              </w:rPr>
              <w:t>Useablity</w:t>
            </w:r>
            <w:proofErr w:type="spellEnd"/>
            <w:r w:rsidRPr="00B222A7">
              <w:rPr>
                <w:i/>
                <w:szCs w:val="24"/>
              </w:rPr>
              <w:t xml:space="preserve"> engineering</w:t>
            </w:r>
            <w:r w:rsidRPr="00B222A7">
              <w:rPr>
                <w:szCs w:val="24"/>
              </w:rPr>
              <w:t xml:space="preserve"> (or equivalent or better) are referenced in the supporting data form and compliance with these standards is used as evidence of compliance with the EPs.</w:t>
            </w:r>
          </w:p>
        </w:tc>
      </w:tr>
      <w:tr w:rsidR="005F1108" w14:paraId="3493CE96" w14:textId="77777777" w:rsidTr="00DD6CD3">
        <w:tc>
          <w:tcPr>
            <w:tcW w:w="2547" w:type="dxa"/>
          </w:tcPr>
          <w:p w14:paraId="5A13C7E4" w14:textId="77777777" w:rsidR="005F1108" w:rsidRDefault="005F1108" w:rsidP="00DD6CD3">
            <w:pPr>
              <w:keepNext/>
              <w:rPr>
                <w:lang w:eastAsia="ja-JP"/>
              </w:rPr>
            </w:pPr>
            <w:r>
              <w:rPr>
                <w:rFonts w:hint="eastAsia"/>
                <w:lang w:eastAsia="ja-JP"/>
              </w:rPr>
              <w:t>Brazil</w:t>
            </w:r>
          </w:p>
          <w:p w14:paraId="43E86BFD" w14:textId="77777777" w:rsidR="005F1108" w:rsidRDefault="005F1108" w:rsidP="00DD6CD3">
            <w:pPr>
              <w:keepNext/>
              <w:rPr>
                <w:lang w:eastAsia="ja-JP"/>
              </w:rPr>
            </w:pPr>
          </w:p>
          <w:p w14:paraId="4683B3E8" w14:textId="77777777" w:rsidR="005F1108" w:rsidRDefault="005F1108" w:rsidP="00DD6CD3">
            <w:pPr>
              <w:keepNext/>
              <w:rPr>
                <w:b/>
                <w:bCs/>
                <w:lang w:eastAsia="ja-JP"/>
              </w:rPr>
            </w:pPr>
            <w:r w:rsidRPr="00C46D3F">
              <w:rPr>
                <w:lang w:eastAsia="ja-JP"/>
              </w:rPr>
              <w:t>National Health Surveillance Agency (ANVISA)</w:t>
            </w:r>
          </w:p>
        </w:tc>
        <w:tc>
          <w:tcPr>
            <w:tcW w:w="6803" w:type="dxa"/>
          </w:tcPr>
          <w:p w14:paraId="4599B3CE" w14:textId="446D1FEF" w:rsidR="005F1108" w:rsidRDefault="00B95477" w:rsidP="00DD6CD3">
            <w:pPr>
              <w:keepNext/>
              <w:rPr>
                <w:b/>
                <w:bCs/>
                <w:lang w:eastAsia="ja-JP"/>
              </w:rPr>
            </w:pPr>
            <w:r w:rsidRPr="00B222A7">
              <w:rPr>
                <w:bCs/>
                <w:szCs w:val="24"/>
                <w:lang w:eastAsia="ja-JP"/>
              </w:rPr>
              <w:t>All medical devices must meet requirements of safety and effectiveness. IES 62304/2006 may be employed in technical reports (technical dossiers). It is currently not mandatory to be certified on that standard.</w:t>
            </w:r>
          </w:p>
        </w:tc>
      </w:tr>
      <w:tr w:rsidR="005F1108" w14:paraId="06FB76B3" w14:textId="77777777" w:rsidTr="00DD6CD3">
        <w:tc>
          <w:tcPr>
            <w:tcW w:w="2547" w:type="dxa"/>
          </w:tcPr>
          <w:p w14:paraId="256927C9" w14:textId="77777777" w:rsidR="005F1108" w:rsidRDefault="005F1108" w:rsidP="00DD6CD3">
            <w:pPr>
              <w:keepNext/>
              <w:rPr>
                <w:lang w:eastAsia="ja-JP"/>
              </w:rPr>
            </w:pPr>
            <w:r>
              <w:rPr>
                <w:rFonts w:hint="eastAsia"/>
                <w:lang w:eastAsia="ja-JP"/>
              </w:rPr>
              <w:t>Canada</w:t>
            </w:r>
          </w:p>
          <w:p w14:paraId="4E2814F3" w14:textId="77777777" w:rsidR="005F1108" w:rsidRDefault="005F1108" w:rsidP="00DD6CD3">
            <w:pPr>
              <w:keepNext/>
              <w:rPr>
                <w:lang w:eastAsia="ja-JP"/>
              </w:rPr>
            </w:pPr>
          </w:p>
          <w:p w14:paraId="72B87A54" w14:textId="77777777" w:rsidR="005F1108" w:rsidRDefault="005F1108" w:rsidP="00DD6CD3">
            <w:pPr>
              <w:keepNext/>
              <w:rPr>
                <w:b/>
                <w:bCs/>
                <w:lang w:eastAsia="ja-JP"/>
              </w:rPr>
            </w:pPr>
            <w:r w:rsidRPr="00C46D3F">
              <w:rPr>
                <w:lang w:eastAsia="ja-JP"/>
              </w:rPr>
              <w:t>Health Canada</w:t>
            </w:r>
            <w:r>
              <w:rPr>
                <w:rFonts w:hint="eastAsia"/>
                <w:lang w:eastAsia="ja-JP"/>
              </w:rPr>
              <w:t xml:space="preserve"> (HC)</w:t>
            </w:r>
          </w:p>
        </w:tc>
        <w:tc>
          <w:tcPr>
            <w:tcW w:w="6803" w:type="dxa"/>
          </w:tcPr>
          <w:p w14:paraId="033F2753"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In Canada, conformance to specific standards is not mandatory.  However, evidence of conformity to recognised standards can be submitted to demonstrate that specific requirements of the Medical Devices Regulations have been met.  HC publishes a list of recognised standards, and the level of evidence expected is “equivalent or better” to these recognised standards.</w:t>
            </w:r>
          </w:p>
          <w:p w14:paraId="28D45CD4" w14:textId="77777777" w:rsidR="00B95477" w:rsidRPr="00B222A7" w:rsidRDefault="00B95477" w:rsidP="00B95477">
            <w:pPr>
              <w:pStyle w:val="Default"/>
              <w:rPr>
                <w:rFonts w:ascii="Times New Roman" w:hAnsi="Times New Roman" w:cs="Times New Roman"/>
              </w:rPr>
            </w:pPr>
          </w:p>
          <w:p w14:paraId="2A39D05E" w14:textId="75F9FFA7" w:rsidR="005F1108" w:rsidRDefault="00B95477" w:rsidP="00B95477">
            <w:pPr>
              <w:keepNext/>
              <w:rPr>
                <w:b/>
                <w:bCs/>
                <w:lang w:eastAsia="ja-JP"/>
              </w:rPr>
            </w:pPr>
            <w:r w:rsidRPr="00B222A7">
              <w:rPr>
                <w:bCs/>
                <w:szCs w:val="24"/>
                <w:lang w:eastAsia="ja-JP"/>
              </w:rPr>
              <w:t>IEC 62304:2006</w:t>
            </w:r>
            <w:r w:rsidRPr="00B222A7">
              <w:rPr>
                <w:b/>
                <w:bCs/>
                <w:szCs w:val="24"/>
                <w:lang w:eastAsia="ja-JP"/>
              </w:rPr>
              <w:t xml:space="preserve"> </w:t>
            </w:r>
            <w:r w:rsidRPr="00B222A7">
              <w:rPr>
                <w:szCs w:val="24"/>
              </w:rPr>
              <w:t xml:space="preserve">is currently a </w:t>
            </w:r>
            <w:proofErr w:type="spellStart"/>
            <w:r w:rsidRPr="00B222A7">
              <w:rPr>
                <w:szCs w:val="24"/>
              </w:rPr>
              <w:t>recognised</w:t>
            </w:r>
            <w:proofErr w:type="spellEnd"/>
            <w:r w:rsidRPr="00B222A7">
              <w:rPr>
                <w:szCs w:val="24"/>
              </w:rPr>
              <w:t xml:space="preserve"> standard, and represents an accepted approach to the software development process for medical devices.</w:t>
            </w:r>
          </w:p>
        </w:tc>
      </w:tr>
      <w:tr w:rsidR="005F1108" w14:paraId="1DE33FB9" w14:textId="77777777" w:rsidTr="00DD6CD3">
        <w:tc>
          <w:tcPr>
            <w:tcW w:w="2547" w:type="dxa"/>
          </w:tcPr>
          <w:p w14:paraId="78056E9E" w14:textId="77777777" w:rsidR="005F1108" w:rsidRDefault="005F1108" w:rsidP="00DD6CD3">
            <w:pPr>
              <w:keepNext/>
              <w:rPr>
                <w:lang w:eastAsia="ja-JP"/>
              </w:rPr>
            </w:pPr>
            <w:r>
              <w:rPr>
                <w:rFonts w:hint="eastAsia"/>
                <w:lang w:eastAsia="ja-JP"/>
              </w:rPr>
              <w:t>China</w:t>
            </w:r>
          </w:p>
          <w:p w14:paraId="03718915" w14:textId="77777777" w:rsidR="005F1108" w:rsidRDefault="005F1108" w:rsidP="00DD6CD3">
            <w:pPr>
              <w:keepNext/>
              <w:rPr>
                <w:lang w:eastAsia="ja-JP"/>
              </w:rPr>
            </w:pPr>
          </w:p>
          <w:p w14:paraId="35A48A79" w14:textId="77777777" w:rsidR="005F1108" w:rsidRDefault="005F1108" w:rsidP="00DD6CD3">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14:paraId="0461255E" w14:textId="208A2187" w:rsidR="005F1108" w:rsidRDefault="00B95477" w:rsidP="00DD6CD3">
            <w:pPr>
              <w:keepNext/>
              <w:rPr>
                <w:b/>
                <w:bCs/>
                <w:lang w:eastAsia="ja-JP"/>
              </w:rPr>
            </w:pPr>
            <w:proofErr w:type="gramStart"/>
            <w:r w:rsidRPr="00B222A7">
              <w:rPr>
                <w:color w:val="000000" w:themeColor="text1"/>
                <w:szCs w:val="24"/>
              </w:rPr>
              <w:t>The  IEC</w:t>
            </w:r>
            <w:proofErr w:type="gramEnd"/>
            <w:r w:rsidRPr="00B222A7">
              <w:rPr>
                <w:color w:val="000000" w:themeColor="text1"/>
                <w:szCs w:val="24"/>
              </w:rPr>
              <w:t xml:space="preserve"> 62304</w:t>
            </w:r>
            <w:r w:rsidRPr="00B222A7">
              <w:rPr>
                <w:color w:val="000000" w:themeColor="text1"/>
                <w:szCs w:val="24"/>
                <w:lang w:eastAsia="zh-CN"/>
              </w:rPr>
              <w:t>:</w:t>
            </w:r>
            <w:r w:rsidRPr="00B222A7">
              <w:rPr>
                <w:color w:val="000000" w:themeColor="text1"/>
                <w:szCs w:val="24"/>
              </w:rPr>
              <w:t>2006</w:t>
            </w:r>
            <w:r w:rsidRPr="00B222A7">
              <w:rPr>
                <w:color w:val="000000" w:themeColor="text1"/>
                <w:szCs w:val="24"/>
                <w:lang w:eastAsia="zh-CN"/>
              </w:rPr>
              <w:t xml:space="preserve"> had been </w:t>
            </w:r>
            <w:r w:rsidRPr="00B222A7">
              <w:rPr>
                <w:color w:val="000000" w:themeColor="text1"/>
                <w:szCs w:val="24"/>
              </w:rPr>
              <w:t xml:space="preserve">translated into </w:t>
            </w:r>
            <w:r w:rsidRPr="00B222A7">
              <w:rPr>
                <w:color w:val="000000" w:themeColor="text1"/>
                <w:szCs w:val="24"/>
                <w:lang w:eastAsia="zh-CN"/>
              </w:rPr>
              <w:t>China industry standard:</w:t>
            </w:r>
            <w:r w:rsidRPr="00B222A7">
              <w:rPr>
                <w:szCs w:val="24"/>
              </w:rPr>
              <w:t xml:space="preserve"> </w:t>
            </w:r>
            <w:r w:rsidRPr="00B222A7">
              <w:rPr>
                <w:color w:val="000000" w:themeColor="text1"/>
                <w:szCs w:val="24"/>
                <w:lang w:eastAsia="zh-CN"/>
              </w:rPr>
              <w:t>YY/T 0664-2008</w:t>
            </w:r>
            <w:r w:rsidRPr="00B222A7">
              <w:rPr>
                <w:color w:val="000000" w:themeColor="text1"/>
                <w:szCs w:val="24"/>
              </w:rPr>
              <w:t xml:space="preserve"> </w:t>
            </w:r>
            <w:r w:rsidRPr="00B222A7">
              <w:rPr>
                <w:szCs w:val="24"/>
              </w:rPr>
              <w:t>equally</w:t>
            </w:r>
            <w:r w:rsidRPr="00B222A7">
              <w:rPr>
                <w:szCs w:val="24"/>
                <w:lang w:eastAsia="zh-CN"/>
              </w:rPr>
              <w:t xml:space="preserve"> and implement from 2009.6.1</w:t>
            </w:r>
            <w:r w:rsidRPr="00B222A7">
              <w:rPr>
                <w:color w:val="000000" w:themeColor="text1"/>
                <w:szCs w:val="24"/>
                <w:lang w:eastAsia="zh-CN"/>
              </w:rPr>
              <w:t>, it isn’t mandatory standard</w:t>
            </w:r>
            <w:r w:rsidRPr="00B222A7">
              <w:rPr>
                <w:color w:val="000000" w:themeColor="text1"/>
                <w:szCs w:val="24"/>
                <w:lang w:eastAsia="zh-CN"/>
              </w:rPr>
              <w:t>，</w:t>
            </w:r>
            <w:r w:rsidRPr="00B222A7">
              <w:rPr>
                <w:color w:val="000000" w:themeColor="text1"/>
                <w:szCs w:val="24"/>
                <w:lang w:eastAsia="zh-CN"/>
              </w:rPr>
              <w:t>and just is recommended standard.</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5F1108" w14:paraId="1BB080C5" w14:textId="77777777" w:rsidTr="00DD6CD3">
        <w:tc>
          <w:tcPr>
            <w:tcW w:w="2547" w:type="dxa"/>
          </w:tcPr>
          <w:p w14:paraId="32105501" w14:textId="77777777" w:rsidR="005F1108" w:rsidRDefault="005F1108" w:rsidP="00DD6CD3">
            <w:pPr>
              <w:keepNext/>
              <w:rPr>
                <w:lang w:eastAsia="ja-JP"/>
              </w:rPr>
            </w:pPr>
            <w:r>
              <w:rPr>
                <w:rFonts w:hint="eastAsia"/>
                <w:lang w:eastAsia="ja-JP"/>
              </w:rPr>
              <w:t>Europe</w:t>
            </w:r>
          </w:p>
          <w:p w14:paraId="3799D511" w14:textId="77777777" w:rsidR="005F1108" w:rsidRDefault="005F1108" w:rsidP="00DD6CD3">
            <w:pPr>
              <w:keepNext/>
              <w:rPr>
                <w:lang w:eastAsia="ja-JP"/>
              </w:rPr>
            </w:pPr>
          </w:p>
          <w:p w14:paraId="238FAE84" w14:textId="77777777" w:rsidR="005F1108" w:rsidRDefault="005F1108" w:rsidP="00DD6CD3">
            <w:pPr>
              <w:keepNext/>
              <w:rPr>
                <w:b/>
                <w:bCs/>
                <w:lang w:eastAsia="ja-JP"/>
              </w:rPr>
            </w:pPr>
            <w:r w:rsidRPr="00C46D3F">
              <w:rPr>
                <w:lang w:eastAsia="ja-JP"/>
              </w:rPr>
              <w:t>European Commission</w:t>
            </w:r>
            <w:r>
              <w:rPr>
                <w:rFonts w:hint="eastAsia"/>
                <w:lang w:eastAsia="ja-JP"/>
              </w:rPr>
              <w:t xml:space="preserve"> (EC)</w:t>
            </w:r>
          </w:p>
        </w:tc>
        <w:tc>
          <w:tcPr>
            <w:tcW w:w="6803" w:type="dxa"/>
          </w:tcPr>
          <w:p w14:paraId="16166CE1" w14:textId="77777777" w:rsidR="00B95477" w:rsidRPr="00FD6F40" w:rsidRDefault="00B95477" w:rsidP="00B95477">
            <w:r>
              <w:t>The corresponding European standard</w:t>
            </w:r>
            <w:r w:rsidRPr="00FD6F40">
              <w:t xml:space="preserve"> EN 62304:2006 is a European harmonized standard, which provides presumption of conformity with legal requirements on development lifecycle</w:t>
            </w:r>
            <w:r w:rsidRPr="00FD6F40">
              <w:rPr>
                <w:rFonts w:ascii="TimesNewRoman" w:hAnsi="TimesNewRoman" w:cs="TimesNewRoman"/>
                <w:sz w:val="17"/>
                <w:szCs w:val="17"/>
              </w:rPr>
              <w:t xml:space="preserve"> </w:t>
            </w:r>
            <w:r w:rsidRPr="00FD6F40">
              <w:t xml:space="preserve">for software which are incorporated in medical devices and software which are medical devices in themselves. </w:t>
            </w:r>
          </w:p>
          <w:p w14:paraId="5A26C06A" w14:textId="755BA03E" w:rsidR="005F1108" w:rsidRDefault="00B95477" w:rsidP="00B95477">
            <w:pPr>
              <w:keepNext/>
              <w:rPr>
                <w:b/>
                <w:bCs/>
                <w:lang w:eastAsia="ja-JP"/>
              </w:rPr>
            </w:pPr>
            <w:r w:rsidRPr="00FD6F40">
              <w:t xml:space="preserve">The use of this standard </w:t>
            </w:r>
            <w:r w:rsidRPr="005D7C2E">
              <w:t xml:space="preserve">(to the extent specified in its Annex ZZ) </w:t>
            </w:r>
            <w:r w:rsidRPr="00FD6F40">
              <w:t xml:space="preserve">provides one solution for compliance with the </w:t>
            </w:r>
            <w:r>
              <w:t xml:space="preserve">relevant </w:t>
            </w:r>
            <w:r w:rsidRPr="00FD6F40">
              <w:t xml:space="preserve">legal </w:t>
            </w:r>
            <w:r>
              <w:t>requirements</w:t>
            </w:r>
            <w:r w:rsidRPr="00FD6F40">
              <w:t>. Compliance with the legal requirements can however be ensured also by other means.</w:t>
            </w:r>
          </w:p>
        </w:tc>
      </w:tr>
      <w:tr w:rsidR="005F1108" w14:paraId="291CC60D" w14:textId="77777777" w:rsidTr="00DD6CD3">
        <w:tc>
          <w:tcPr>
            <w:tcW w:w="2547" w:type="dxa"/>
          </w:tcPr>
          <w:p w14:paraId="5D48CC5F" w14:textId="77777777" w:rsidR="005F1108" w:rsidRDefault="005F1108" w:rsidP="00DD6CD3">
            <w:pPr>
              <w:keepNext/>
              <w:rPr>
                <w:lang w:eastAsia="ja-JP"/>
              </w:rPr>
            </w:pPr>
            <w:r>
              <w:rPr>
                <w:rFonts w:hint="eastAsia"/>
                <w:lang w:eastAsia="ja-JP"/>
              </w:rPr>
              <w:t>Japan</w:t>
            </w:r>
          </w:p>
          <w:p w14:paraId="4CD54B4D" w14:textId="77777777" w:rsidR="005F1108" w:rsidRDefault="005F1108" w:rsidP="00DD6CD3">
            <w:pPr>
              <w:keepNext/>
              <w:rPr>
                <w:lang w:eastAsia="ja-JP"/>
              </w:rPr>
            </w:pPr>
          </w:p>
          <w:p w14:paraId="2DB6AD4E" w14:textId="77777777" w:rsidR="005F1108" w:rsidRDefault="005F1108" w:rsidP="00DD6CD3">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(MHLW)</w:t>
            </w:r>
          </w:p>
          <w:p w14:paraId="54234521" w14:textId="77777777" w:rsidR="005F1108" w:rsidRDefault="005F1108" w:rsidP="00DD6CD3">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14:paraId="681FDAE1" w14:textId="62976259" w:rsidR="005F1108" w:rsidRPr="00A034BC" w:rsidRDefault="009C42C5" w:rsidP="00DD6CD3">
            <w:pPr>
              <w:keepNext/>
              <w:rPr>
                <w:bCs/>
                <w:lang w:eastAsia="ja-JP"/>
              </w:rPr>
            </w:pPr>
            <w:r w:rsidRPr="009C42C5">
              <w:rPr>
                <w:bCs/>
                <w:lang w:eastAsia="ja-JP"/>
              </w:rPr>
              <w:t>IEC 62304:2006</w:t>
            </w:r>
            <w:r>
              <w:rPr>
                <w:rFonts w:hint="eastAsia"/>
                <w:bCs/>
                <w:lang w:eastAsia="ja-JP"/>
              </w:rPr>
              <w:t xml:space="preserve"> is no</w:t>
            </w:r>
            <w:r w:rsidR="005E20AB">
              <w:rPr>
                <w:rFonts w:hint="eastAsia"/>
                <w:bCs/>
                <w:lang w:eastAsia="ja-JP"/>
              </w:rPr>
              <w:t>t referred to so far, but, for example, it may</w:t>
            </w:r>
            <w:r>
              <w:rPr>
                <w:rFonts w:hint="eastAsia"/>
                <w:bCs/>
                <w:lang w:eastAsia="ja-JP"/>
              </w:rPr>
              <w:t xml:space="preserve"> be used for rational </w:t>
            </w:r>
            <w:r>
              <w:rPr>
                <w:bCs/>
                <w:lang w:eastAsia="ja-JP"/>
              </w:rPr>
              <w:t>explanation</w:t>
            </w:r>
            <w:r>
              <w:rPr>
                <w:rFonts w:hint="eastAsia"/>
                <w:bCs/>
                <w:lang w:eastAsia="ja-JP"/>
              </w:rPr>
              <w:t xml:space="preserve"> </w:t>
            </w:r>
            <w:r w:rsidR="005E20AB">
              <w:rPr>
                <w:rFonts w:hint="eastAsia"/>
                <w:bCs/>
                <w:lang w:eastAsia="ja-JP"/>
              </w:rPr>
              <w:t>through a pre-market application process</w:t>
            </w:r>
            <w:r w:rsidR="00AC2B94">
              <w:rPr>
                <w:rFonts w:hint="eastAsia"/>
                <w:bCs/>
                <w:lang w:eastAsia="ja-JP"/>
              </w:rPr>
              <w:t xml:space="preserve"> </w:t>
            </w:r>
            <w:r w:rsidR="00AC2B94" w:rsidRPr="007E360C">
              <w:t>to sa</w:t>
            </w:r>
            <w:r w:rsidR="00271AB4">
              <w:t>tisfy the EPs</w:t>
            </w:r>
            <w:r w:rsidR="00AC2B94" w:rsidRPr="007E360C">
              <w:t xml:space="preserve"> that align with those defined in GHTF/SG1/N68:2012 </w:t>
            </w:r>
            <w:r w:rsidR="00AC2B94" w:rsidRPr="007E360C">
              <w:rPr>
                <w:i/>
                <w:iCs/>
              </w:rPr>
              <w:t>Essential Principles of Safety and Performance of Medical Devices</w:t>
            </w:r>
            <w:r w:rsidR="00AC2B94" w:rsidRPr="007E360C">
              <w:t>.</w:t>
            </w:r>
          </w:p>
        </w:tc>
      </w:tr>
      <w:tr w:rsidR="005F1108" w14:paraId="781B26CB" w14:textId="77777777" w:rsidTr="00DD6CD3">
        <w:tc>
          <w:tcPr>
            <w:tcW w:w="2547" w:type="dxa"/>
          </w:tcPr>
          <w:p w14:paraId="4FE6B22B" w14:textId="77777777" w:rsidR="005F1108" w:rsidRPr="00271AB4" w:rsidRDefault="005F1108" w:rsidP="00DD6CD3">
            <w:pPr>
              <w:keepNext/>
              <w:rPr>
                <w:color w:val="000000" w:themeColor="text1"/>
                <w:lang w:eastAsia="ja-JP"/>
              </w:rPr>
            </w:pPr>
            <w:r w:rsidRPr="00271AB4">
              <w:rPr>
                <w:rFonts w:hint="eastAsia"/>
                <w:color w:val="000000" w:themeColor="text1"/>
                <w:lang w:eastAsia="ja-JP"/>
              </w:rPr>
              <w:lastRenderedPageBreak/>
              <w:t>Russia</w:t>
            </w:r>
          </w:p>
          <w:p w14:paraId="604E0678" w14:textId="77777777" w:rsidR="005F1108" w:rsidRPr="00271AB4" w:rsidRDefault="005F1108" w:rsidP="00DD6CD3">
            <w:pPr>
              <w:keepNext/>
              <w:rPr>
                <w:color w:val="000000" w:themeColor="text1"/>
                <w:lang w:eastAsia="ja-JP"/>
              </w:rPr>
            </w:pPr>
          </w:p>
          <w:p w14:paraId="2C5B042F" w14:textId="77777777" w:rsidR="005F1108" w:rsidRPr="00271AB4" w:rsidRDefault="005F1108" w:rsidP="00DD6CD3">
            <w:pPr>
              <w:keepNext/>
              <w:rPr>
                <w:color w:val="000000" w:themeColor="text1"/>
                <w:lang w:eastAsia="ja-JP"/>
              </w:rPr>
            </w:pPr>
            <w:r w:rsidRPr="00271AB4">
              <w:rPr>
                <w:color w:val="000000" w:themeColor="text1"/>
                <w:lang w:eastAsia="ja-JP"/>
              </w:rPr>
              <w:t>Russian Min</w:t>
            </w:r>
            <w:r w:rsidRPr="00271AB4">
              <w:rPr>
                <w:rFonts w:hint="eastAsia"/>
                <w:color w:val="000000" w:themeColor="text1"/>
                <w:lang w:eastAsia="ja-JP"/>
              </w:rPr>
              <w:t>i</w:t>
            </w:r>
            <w:r w:rsidRPr="00271AB4">
              <w:rPr>
                <w:color w:val="000000" w:themeColor="text1"/>
                <w:lang w:eastAsia="ja-JP"/>
              </w:rPr>
              <w:t>stry of Health</w:t>
            </w:r>
          </w:p>
          <w:p w14:paraId="3ABC49B4" w14:textId="77777777" w:rsidR="005F1108" w:rsidRPr="00271AB4" w:rsidRDefault="005F1108" w:rsidP="00DD6CD3">
            <w:pPr>
              <w:keepNext/>
              <w:rPr>
                <w:b/>
                <w:bCs/>
                <w:color w:val="000000" w:themeColor="text1"/>
                <w:lang w:eastAsia="ja-JP"/>
              </w:rPr>
            </w:pPr>
            <w:proofErr w:type="spellStart"/>
            <w:r w:rsidRPr="00271AB4">
              <w:rPr>
                <w:color w:val="000000" w:themeColor="text1"/>
                <w:lang w:eastAsia="ja-JP"/>
              </w:rPr>
              <w:t>Roszdravnadzor</w:t>
            </w:r>
            <w:proofErr w:type="spellEnd"/>
          </w:p>
        </w:tc>
        <w:tc>
          <w:tcPr>
            <w:tcW w:w="6803" w:type="dxa"/>
          </w:tcPr>
          <w:p w14:paraId="34ADE986" w14:textId="25F77197" w:rsidR="0090799C" w:rsidRPr="00271AB4" w:rsidRDefault="0090799C" w:rsidP="0090799C">
            <w:pPr>
              <w:rPr>
                <w:color w:val="000000" w:themeColor="text1"/>
              </w:rPr>
            </w:pPr>
            <w:r w:rsidRPr="00271AB4">
              <w:rPr>
                <w:color w:val="000000" w:themeColor="text1"/>
              </w:rPr>
              <w:t>In current regulation using of standards is voluntary in premarket MD evaluation. And Regulator does not recognize any standard which could provide presumption of conformity.</w:t>
            </w:r>
          </w:p>
          <w:p w14:paraId="646454EE" w14:textId="52767672" w:rsidR="0090799C" w:rsidRPr="00271AB4" w:rsidRDefault="0090799C" w:rsidP="0090799C">
            <w:pPr>
              <w:rPr>
                <w:color w:val="000000" w:themeColor="text1"/>
              </w:rPr>
            </w:pPr>
            <w:r w:rsidRPr="00271AB4">
              <w:rPr>
                <w:color w:val="000000" w:themeColor="text1"/>
              </w:rPr>
              <w:t>But when on the market, some types of MD have to be certified for particular mandatory standards (list of mandatory standards and types of MD is available on Regulator’s web site). It should be noted, that this regulation is to be canceled on 01/01/2016.</w:t>
            </w:r>
          </w:p>
        </w:tc>
      </w:tr>
      <w:tr w:rsidR="005F1108" w14:paraId="37B1DF7D" w14:textId="77777777" w:rsidTr="00DD6CD3">
        <w:tc>
          <w:tcPr>
            <w:tcW w:w="2547" w:type="dxa"/>
          </w:tcPr>
          <w:p w14:paraId="44AC2F02" w14:textId="77777777" w:rsidR="005F1108" w:rsidRDefault="005F1108" w:rsidP="00DD6CD3">
            <w:pPr>
              <w:keepNext/>
              <w:rPr>
                <w:lang w:eastAsia="ja-JP"/>
              </w:rPr>
            </w:pPr>
            <w:r>
              <w:rPr>
                <w:rFonts w:hint="eastAsia"/>
                <w:lang w:eastAsia="ja-JP"/>
              </w:rPr>
              <w:t>The United States of America</w:t>
            </w:r>
          </w:p>
          <w:p w14:paraId="1C9443E8" w14:textId="77777777" w:rsidR="005F1108" w:rsidRDefault="005F1108" w:rsidP="00DD6CD3">
            <w:pPr>
              <w:keepNext/>
              <w:rPr>
                <w:lang w:eastAsia="ja-JP"/>
              </w:rPr>
            </w:pPr>
          </w:p>
          <w:p w14:paraId="7EFDEF7F" w14:textId="77777777" w:rsidR="005F1108" w:rsidRDefault="005F1108" w:rsidP="00DD6CD3">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14:paraId="6ED9E1A1" w14:textId="44EA918E" w:rsidR="005F1108" w:rsidRDefault="00B95477" w:rsidP="00DD6CD3">
            <w:pPr>
              <w:keepNext/>
              <w:rPr>
                <w:b/>
                <w:bCs/>
                <w:lang w:eastAsia="ja-JP"/>
              </w:rPr>
            </w:pPr>
            <w:r w:rsidRPr="006E7936">
              <w:rPr>
                <w:bCs/>
                <w:lang w:eastAsia="ja-JP"/>
              </w:rPr>
              <w:t>IEC 62304:2006</w:t>
            </w:r>
            <w:r>
              <w:rPr>
                <w:bCs/>
                <w:lang w:eastAsia="ja-JP"/>
              </w:rPr>
              <w:t xml:space="preserve"> is recognized by the US FDA medical device program as a consensus standard </w:t>
            </w:r>
            <w:r w:rsidRPr="006E7936">
              <w:rPr>
                <w:bCs/>
                <w:lang w:eastAsia="ja-JP"/>
              </w:rPr>
              <w:t>for which a person may submit a declaration of conformity in order to meet a premarket submission requirement or other requirement</w:t>
            </w:r>
            <w:r>
              <w:rPr>
                <w:bCs/>
                <w:lang w:eastAsia="ja-JP"/>
              </w:rPr>
              <w:t>s</w:t>
            </w:r>
            <w:r w:rsidRPr="006E7936">
              <w:rPr>
                <w:bCs/>
                <w:lang w:eastAsia="ja-JP"/>
              </w:rPr>
              <w:t xml:space="preserve"> to which a standard is applicable.</w:t>
            </w:r>
            <w:r>
              <w:rPr>
                <w:bCs/>
                <w:lang w:eastAsia="ja-JP"/>
              </w:rPr>
              <w:t xml:space="preserve">  US FDA by recognizing IEC 62304:2006 is acknowledging that the process activities and tasks identified in this standard when used with a good quality management system and risk management system can help assure safe design and maintenance of software used in medical devices.</w:t>
            </w:r>
          </w:p>
        </w:tc>
      </w:tr>
    </w:tbl>
    <w:p w14:paraId="0032DC20" w14:textId="2643D5E5" w:rsidR="00B95477" w:rsidRDefault="00B95477">
      <w:pPr>
        <w:rPr>
          <w:b/>
          <w:kern w:val="28"/>
          <w:sz w:val="28"/>
          <w:lang w:eastAsia="ja-JP"/>
        </w:rPr>
      </w:pPr>
      <w:bookmarkStart w:id="2" w:name="_Toc423451727"/>
      <w:bookmarkEnd w:id="2"/>
    </w:p>
    <w:sectPr w:rsidR="00B95477">
      <w:headerReference w:type="default" r:id="rId13"/>
      <w:footerReference w:type="default" r:id="rId14"/>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D732" w14:textId="77777777" w:rsidR="00435764" w:rsidRDefault="00435764">
      <w:r>
        <w:separator/>
      </w:r>
    </w:p>
  </w:endnote>
  <w:endnote w:type="continuationSeparator" w:id="0">
    <w:p w14:paraId="456A2390" w14:textId="77777777" w:rsidR="00435764" w:rsidRDefault="0043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14:paraId="755E9577" w14:textId="77777777">
      <w:tc>
        <w:tcPr>
          <w:tcW w:w="4788" w:type="dxa"/>
        </w:tcPr>
        <w:p w14:paraId="306F3557" w14:textId="2D2F5DFB" w:rsidR="00B42C7B" w:rsidRDefault="00610236">
          <w:pPr>
            <w:pStyle w:val="Footer"/>
            <w:rPr>
              <w:sz w:val="20"/>
              <w:lang w:eastAsia="ja-JP"/>
            </w:rPr>
          </w:pPr>
          <w:r>
            <w:rPr>
              <w:rFonts w:hint="eastAsia"/>
              <w:sz w:val="20"/>
              <w:lang w:eastAsia="ja-JP"/>
            </w:rPr>
            <w:t>2</w:t>
          </w:r>
          <w:r w:rsidR="00631083">
            <w:rPr>
              <w:sz w:val="20"/>
            </w:rPr>
            <w:t xml:space="preserve"> </w:t>
          </w:r>
          <w:r w:rsidR="00C25E35">
            <w:rPr>
              <w:rFonts w:hint="eastAsia"/>
              <w:sz w:val="20"/>
              <w:lang w:eastAsia="ja-JP"/>
            </w:rPr>
            <w:t>October</w:t>
          </w:r>
          <w:r w:rsidR="00631083">
            <w:rPr>
              <w:sz w:val="20"/>
            </w:rPr>
            <w:t xml:space="preserve"> 201</w:t>
          </w:r>
          <w:r w:rsidR="00631083">
            <w:rPr>
              <w:rFonts w:hint="eastAsia"/>
              <w:sz w:val="20"/>
              <w:lang w:eastAsia="ja-JP"/>
            </w:rPr>
            <w:t>5</w:t>
          </w:r>
        </w:p>
      </w:tc>
      <w:tc>
        <w:tcPr>
          <w:tcW w:w="4788" w:type="dxa"/>
        </w:tcPr>
        <w:p w14:paraId="355E1529" w14:textId="77777777"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9272C6">
            <w:rPr>
              <w:noProof/>
              <w:snapToGrid w:val="0"/>
              <w:sz w:val="20"/>
            </w:rPr>
            <w:t>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9272C6">
            <w:rPr>
              <w:noProof/>
              <w:snapToGrid w:val="0"/>
              <w:sz w:val="20"/>
            </w:rPr>
            <w:t>3</w:t>
          </w:r>
          <w:r>
            <w:rPr>
              <w:snapToGrid w:val="0"/>
              <w:sz w:val="20"/>
            </w:rPr>
            <w:fldChar w:fldCharType="end"/>
          </w:r>
        </w:p>
      </w:tc>
    </w:tr>
  </w:tbl>
  <w:p w14:paraId="4898F2B0" w14:textId="77777777"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2735" w14:textId="77777777" w:rsidR="00435764" w:rsidRDefault="00435764">
      <w:r>
        <w:separator/>
      </w:r>
    </w:p>
  </w:footnote>
  <w:footnote w:type="continuationSeparator" w:id="0">
    <w:p w14:paraId="7611173E" w14:textId="77777777" w:rsidR="00435764" w:rsidRDefault="00435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48EF" w14:textId="77777777" w:rsidR="00B42C7B" w:rsidRPr="00865C12" w:rsidRDefault="00B42C7B" w:rsidP="00B42C7B">
    <w:pPr>
      <w:rPr>
        <w:b/>
      </w:rPr>
    </w:pPr>
  </w:p>
  <w:p w14:paraId="55F29692" w14:textId="77777777" w:rsidR="00B42C7B" w:rsidRDefault="00B4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C86D" w14:textId="12F631A6" w:rsidR="00DC70D4" w:rsidRDefault="00DC70D4" w:rsidP="00855EBA">
    <w:pPr>
      <w:pStyle w:val="Header"/>
      <w:wordWrap w:val="0"/>
      <w:jc w:val="right"/>
      <w:rPr>
        <w:lang w:eastAsia="ja-JP"/>
      </w:rPr>
    </w:pPr>
  </w:p>
  <w:p w14:paraId="09DB7577" w14:textId="77777777" w:rsidR="00B66778" w:rsidRDefault="00B66778" w:rsidP="00B66778">
    <w:pPr>
      <w:pStyle w:val="Header"/>
      <w:jc w:val="right"/>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6690" w14:textId="1AE40B2B"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C25E35">
      <w:rPr>
        <w:rFonts w:hint="eastAsia"/>
        <w:sz w:val="20"/>
        <w:lang w:eastAsia="ja-JP"/>
      </w:rPr>
      <w:t xml:space="preserve">35 </w:t>
    </w:r>
    <w:r>
      <w:rPr>
        <w:sz w:val="20"/>
      </w:rPr>
      <w:t>FINAL:</w:t>
    </w:r>
    <w:r w:rsidR="00C25E35">
      <w:rPr>
        <w:sz w:val="20"/>
      </w:rPr>
      <w:t xml:space="preserve"> </w:t>
    </w:r>
    <w:r>
      <w:rPr>
        <w:sz w:val="20"/>
      </w:rPr>
      <w:t>201</w:t>
    </w:r>
    <w:r>
      <w:rPr>
        <w:rFonts w:hint="eastAsia"/>
        <w:sz w:val="20"/>
        <w:lang w:eastAsia="ja-JP"/>
      </w:rPr>
      <w:t>5</w:t>
    </w:r>
  </w:p>
  <w:p w14:paraId="4448606E" w14:textId="77777777" w:rsidR="00B42C7B" w:rsidRPr="001732F8" w:rsidRDefault="00B42C7B">
    <w:pPr>
      <w:pStyle w:val="Header"/>
      <w:pBdr>
        <w:bottom w:val="single" w:sz="4" w:space="1" w:color="auto"/>
      </w:pBdr>
      <w:jc w:val="center"/>
      <w:rPr>
        <w:sz w:val="16"/>
        <w:szCs w:val="16"/>
      </w:rPr>
    </w:pPr>
  </w:p>
  <w:p w14:paraId="27A825B1" w14:textId="77777777"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3059E"/>
    <w:rsid w:val="00087FC4"/>
    <w:rsid w:val="000F16FC"/>
    <w:rsid w:val="001732F8"/>
    <w:rsid w:val="00176E0B"/>
    <w:rsid w:val="001C3D44"/>
    <w:rsid w:val="001F3FC4"/>
    <w:rsid w:val="002116A7"/>
    <w:rsid w:val="00221F01"/>
    <w:rsid w:val="00221F28"/>
    <w:rsid w:val="00236992"/>
    <w:rsid w:val="002705F3"/>
    <w:rsid w:val="00271AB4"/>
    <w:rsid w:val="002771FC"/>
    <w:rsid w:val="002E7AD8"/>
    <w:rsid w:val="003A3F2C"/>
    <w:rsid w:val="004340BF"/>
    <w:rsid w:val="0043538F"/>
    <w:rsid w:val="00435764"/>
    <w:rsid w:val="004617AC"/>
    <w:rsid w:val="004679BA"/>
    <w:rsid w:val="00474803"/>
    <w:rsid w:val="0047769B"/>
    <w:rsid w:val="00485EEE"/>
    <w:rsid w:val="004A5607"/>
    <w:rsid w:val="004C00E0"/>
    <w:rsid w:val="004D2146"/>
    <w:rsid w:val="005219B9"/>
    <w:rsid w:val="005727D2"/>
    <w:rsid w:val="005E20AB"/>
    <w:rsid w:val="005F0560"/>
    <w:rsid w:val="005F1108"/>
    <w:rsid w:val="005F453C"/>
    <w:rsid w:val="00610236"/>
    <w:rsid w:val="00621BB0"/>
    <w:rsid w:val="00631083"/>
    <w:rsid w:val="00641029"/>
    <w:rsid w:val="00643A49"/>
    <w:rsid w:val="006B30A4"/>
    <w:rsid w:val="006D3741"/>
    <w:rsid w:val="006D721E"/>
    <w:rsid w:val="007325B5"/>
    <w:rsid w:val="0076256A"/>
    <w:rsid w:val="007679EF"/>
    <w:rsid w:val="007A4707"/>
    <w:rsid w:val="007E360C"/>
    <w:rsid w:val="00825ACA"/>
    <w:rsid w:val="00830B00"/>
    <w:rsid w:val="0083586F"/>
    <w:rsid w:val="00855EBA"/>
    <w:rsid w:val="00865C12"/>
    <w:rsid w:val="008A0951"/>
    <w:rsid w:val="008C212F"/>
    <w:rsid w:val="008D097B"/>
    <w:rsid w:val="0090176F"/>
    <w:rsid w:val="0090799C"/>
    <w:rsid w:val="009272C6"/>
    <w:rsid w:val="00933580"/>
    <w:rsid w:val="009935C1"/>
    <w:rsid w:val="009C42C5"/>
    <w:rsid w:val="00A034BC"/>
    <w:rsid w:val="00A22B31"/>
    <w:rsid w:val="00A43F42"/>
    <w:rsid w:val="00A51946"/>
    <w:rsid w:val="00A81E48"/>
    <w:rsid w:val="00AC2B94"/>
    <w:rsid w:val="00AC5924"/>
    <w:rsid w:val="00AD3291"/>
    <w:rsid w:val="00B0154B"/>
    <w:rsid w:val="00B31FE2"/>
    <w:rsid w:val="00B42C7B"/>
    <w:rsid w:val="00B65343"/>
    <w:rsid w:val="00B66778"/>
    <w:rsid w:val="00B95477"/>
    <w:rsid w:val="00BA1E3E"/>
    <w:rsid w:val="00BA253A"/>
    <w:rsid w:val="00BA7B80"/>
    <w:rsid w:val="00BC61A2"/>
    <w:rsid w:val="00BC76BA"/>
    <w:rsid w:val="00C0663E"/>
    <w:rsid w:val="00C25E35"/>
    <w:rsid w:val="00C46D3F"/>
    <w:rsid w:val="00CD519C"/>
    <w:rsid w:val="00D101E8"/>
    <w:rsid w:val="00D24CE6"/>
    <w:rsid w:val="00DC70D4"/>
    <w:rsid w:val="00DF2F9D"/>
    <w:rsid w:val="00E034B3"/>
    <w:rsid w:val="00E65046"/>
    <w:rsid w:val="00E80E08"/>
    <w:rsid w:val="00F70026"/>
    <w:rsid w:val="00FD54EB"/>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940256495">
      <w:bodyDiv w:val="1"/>
      <w:marLeft w:val="0"/>
      <w:marRight w:val="0"/>
      <w:marTop w:val="0"/>
      <w:marBottom w:val="0"/>
      <w:divBdr>
        <w:top w:val="none" w:sz="0" w:space="0" w:color="auto"/>
        <w:left w:val="none" w:sz="0" w:space="0" w:color="auto"/>
        <w:bottom w:val="none" w:sz="0" w:space="0" w:color="auto"/>
        <w:right w:val="none" w:sz="0" w:space="0" w:color="auto"/>
      </w:divBdr>
    </w:div>
    <w:div w:id="18186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1237C238-1F88-42CC-8C7E-ADA352B3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9</TotalTime>
  <Pages>3</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Statement regarding Use of ISO 14155:2011 “Clinical investigation of medical devices for human subjects – Good clinical practice” </vt:lpstr>
      <vt:lpstr>Statement regarding Use of ISO 14155:2011 “Clinical investigation of medical devices for human subjects – Good clinical practice” </vt:lpstr>
    </vt:vector>
  </TitlesOfParts>
  <Company>IMDRF</Company>
  <LinksUpToDate>false</LinksUpToDate>
  <CharactersWithSpaces>4343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ISO 14155:2011 "Clinical investigation of medical devices for human subjects - Good clinical practice"</dc:title>
  <dc:subject>procedural document</dc:subject>
  <dc:creator>IMDRF</dc:creator>
  <cp:keywords>medical devices, regulation, imdrf</cp:keywords>
  <cp:lastModifiedBy>Sheppard, Fran</cp:lastModifiedBy>
  <cp:revision>8</cp:revision>
  <cp:lastPrinted>2015-09-01T01:23:00Z</cp:lastPrinted>
  <dcterms:created xsi:type="dcterms:W3CDTF">2015-09-29T03:17:00Z</dcterms:created>
  <dcterms:modified xsi:type="dcterms:W3CDTF">2015-10-19T10:38:00Z</dcterms:modified>
</cp:coreProperties>
</file>