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64DAE" w14:textId="345DA6B2" w:rsidR="005219B9" w:rsidRDefault="00641029" w:rsidP="009A612F">
      <w:pPr>
        <w:pBdr>
          <w:top w:val="single" w:sz="6" w:space="0" w:color="000000"/>
          <w:left w:val="single" w:sz="6" w:space="0" w:color="000000"/>
          <w:bottom w:val="single" w:sz="6" w:space="0" w:color="000000"/>
          <w:right w:val="single" w:sz="6" w:space="0" w:color="000000"/>
        </w:pBdr>
        <w:tabs>
          <w:tab w:val="right" w:pos="9360"/>
        </w:tabs>
        <w:wordWrap w:val="0"/>
        <w:jc w:val="right"/>
        <w:rPr>
          <w:b/>
          <w:lang w:eastAsia="ja-JP"/>
        </w:rPr>
      </w:pPr>
      <w:r>
        <w:rPr>
          <w:b/>
        </w:rPr>
        <w:t>IMDRF/</w:t>
      </w:r>
      <w:r w:rsidR="00631083">
        <w:rPr>
          <w:rFonts w:hint="eastAsia"/>
          <w:b/>
          <w:lang w:eastAsia="ja-JP"/>
        </w:rPr>
        <w:t>MC/</w:t>
      </w:r>
      <w:r>
        <w:rPr>
          <w:b/>
        </w:rPr>
        <w:t>N</w:t>
      </w:r>
      <w:r w:rsidR="009A612F">
        <w:rPr>
          <w:rFonts w:hint="eastAsia"/>
          <w:b/>
          <w:lang w:eastAsia="ja-JP"/>
        </w:rPr>
        <w:t xml:space="preserve">34 </w:t>
      </w:r>
      <w:r>
        <w:rPr>
          <w:b/>
        </w:rPr>
        <w:t>FINAL:</w:t>
      </w:r>
      <w:r w:rsidR="009A612F">
        <w:rPr>
          <w:b/>
        </w:rPr>
        <w:t xml:space="preserve"> </w:t>
      </w:r>
      <w:r>
        <w:rPr>
          <w:b/>
        </w:rPr>
        <w:t>201</w:t>
      </w:r>
      <w:r>
        <w:rPr>
          <w:rFonts w:hint="eastAsia"/>
          <w:b/>
          <w:lang w:eastAsia="ja-JP"/>
        </w:rPr>
        <w:t>5</w:t>
      </w:r>
    </w:p>
    <w:p w14:paraId="392F0FC9"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5D7D6A5C"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2F662B2E" w14:textId="77777777"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224B6FB8" wp14:editId="4309AD67">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7D9362CB"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1A41F2D8"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6F0E0DED" w14:textId="77777777" w:rsidR="001732F8" w:rsidRDefault="001732F8">
      <w:pPr>
        <w:pBdr>
          <w:top w:val="single" w:sz="6" w:space="0" w:color="000000"/>
          <w:left w:val="single" w:sz="6" w:space="0" w:color="000000"/>
          <w:bottom w:val="single" w:sz="6" w:space="0" w:color="000000"/>
          <w:right w:val="single" w:sz="6" w:space="0" w:color="000000"/>
        </w:pBdr>
        <w:rPr>
          <w:sz w:val="28"/>
        </w:rPr>
      </w:pPr>
    </w:p>
    <w:p w14:paraId="0939258D" w14:textId="77777777" w:rsidR="005219B9" w:rsidRPr="00CD519C" w:rsidRDefault="001732F8" w:rsidP="00CD519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lang w:eastAsia="ja-JP"/>
        </w:rPr>
      </w:pPr>
      <w:r>
        <w:rPr>
          <w:b/>
          <w:sz w:val="40"/>
        </w:rPr>
        <w:t>Final Document</w:t>
      </w:r>
    </w:p>
    <w:p w14:paraId="70624DCA" w14:textId="77777777" w:rsidR="005219B9" w:rsidRDefault="006D3741" w:rsidP="006D3741">
      <w:pPr>
        <w:pBdr>
          <w:top w:val="single" w:sz="6" w:space="0" w:color="000000"/>
          <w:left w:val="single" w:sz="6" w:space="0" w:color="000000"/>
          <w:bottom w:val="single" w:sz="6" w:space="0" w:color="000000"/>
          <w:right w:val="single" w:sz="6" w:space="0" w:color="000000"/>
        </w:pBdr>
        <w:jc w:val="center"/>
        <w:rPr>
          <w:b/>
          <w:sz w:val="32"/>
        </w:rPr>
      </w:pPr>
      <w:r>
        <w:rPr>
          <w:b/>
          <w:sz w:val="32"/>
        </w:rPr>
        <w:t>International Medical Device Regulators Forum</w:t>
      </w:r>
    </w:p>
    <w:p w14:paraId="064F27BC" w14:textId="77777777" w:rsidR="001732F8" w:rsidRDefault="001732F8">
      <w:pPr>
        <w:pBdr>
          <w:top w:val="single" w:sz="6" w:space="0" w:color="000000"/>
          <w:left w:val="single" w:sz="6" w:space="0" w:color="000000"/>
          <w:bottom w:val="single" w:sz="6" w:space="0" w:color="000000"/>
          <w:right w:val="single" w:sz="6" w:space="0" w:color="000000"/>
        </w:pBdr>
        <w:rPr>
          <w:b/>
          <w:sz w:val="32"/>
          <w:lang w:eastAsia="ja-JP"/>
        </w:rPr>
      </w:pPr>
    </w:p>
    <w:p w14:paraId="25B419C3" w14:textId="77777777" w:rsidR="00CD519C" w:rsidRDefault="00CD519C">
      <w:pPr>
        <w:pBdr>
          <w:top w:val="single" w:sz="6" w:space="0" w:color="000000"/>
          <w:left w:val="single" w:sz="6" w:space="0" w:color="000000"/>
          <w:bottom w:val="single" w:sz="6" w:space="0" w:color="000000"/>
          <w:right w:val="single" w:sz="6" w:space="0" w:color="000000"/>
        </w:pBdr>
        <w:rPr>
          <w:b/>
          <w:sz w:val="32"/>
        </w:rPr>
      </w:pPr>
    </w:p>
    <w:p w14:paraId="094D05BD" w14:textId="77777777" w:rsidR="00CD519C" w:rsidRDefault="00CD519C">
      <w:pPr>
        <w:pBdr>
          <w:top w:val="single" w:sz="6" w:space="0" w:color="000000"/>
          <w:left w:val="single" w:sz="6" w:space="0" w:color="000000"/>
          <w:bottom w:val="single" w:sz="6" w:space="0" w:color="000000"/>
          <w:right w:val="single" w:sz="6" w:space="0" w:color="000000"/>
        </w:pBdr>
        <w:rPr>
          <w:b/>
          <w:sz w:val="32"/>
        </w:rPr>
      </w:pPr>
    </w:p>
    <w:p w14:paraId="6AE1EA77" w14:textId="4551B4F5" w:rsidR="005219B9" w:rsidRDefault="00825ACA" w:rsidP="00A22B31">
      <w:pPr>
        <w:pBdr>
          <w:top w:val="single" w:sz="6" w:space="0" w:color="000000"/>
          <w:left w:val="single" w:sz="6" w:space="0" w:color="000000"/>
          <w:bottom w:val="single" w:sz="6" w:space="0" w:color="000000"/>
          <w:right w:val="single" w:sz="6" w:space="0" w:color="000000"/>
        </w:pBdr>
        <w:ind w:left="2880" w:hanging="2880"/>
        <w:rPr>
          <w:b/>
          <w:sz w:val="32"/>
        </w:rPr>
      </w:pPr>
      <w:r>
        <w:rPr>
          <w:b/>
          <w:sz w:val="28"/>
        </w:rPr>
        <w:t xml:space="preserve">   Title: </w:t>
      </w:r>
      <w:r w:rsidR="00A22B31">
        <w:rPr>
          <w:rFonts w:hint="eastAsia"/>
          <w:b/>
          <w:sz w:val="28"/>
          <w:lang w:eastAsia="ja-JP"/>
        </w:rPr>
        <w:tab/>
      </w:r>
      <w:bookmarkStart w:id="0" w:name="_GoBack"/>
      <w:r w:rsidR="00A22B31">
        <w:rPr>
          <w:rFonts w:hint="eastAsia"/>
          <w:sz w:val="28"/>
          <w:lang w:eastAsia="ja-JP"/>
        </w:rPr>
        <w:t>S</w:t>
      </w:r>
      <w:r w:rsidR="00A22B31">
        <w:rPr>
          <w:sz w:val="28"/>
        </w:rPr>
        <w:t xml:space="preserve">tatement regarding </w:t>
      </w:r>
      <w:r w:rsidR="00A22B31">
        <w:rPr>
          <w:rFonts w:hint="eastAsia"/>
          <w:sz w:val="28"/>
          <w:lang w:eastAsia="ja-JP"/>
        </w:rPr>
        <w:t>U</w:t>
      </w:r>
      <w:r w:rsidR="00A22B31">
        <w:rPr>
          <w:sz w:val="28"/>
        </w:rPr>
        <w:t>se of</w:t>
      </w:r>
      <w:r w:rsidR="00A22B31">
        <w:rPr>
          <w:rFonts w:hint="eastAsia"/>
          <w:sz w:val="28"/>
          <w:lang w:eastAsia="ja-JP"/>
        </w:rPr>
        <w:t xml:space="preserve"> </w:t>
      </w:r>
      <w:r w:rsidR="00DF353B">
        <w:rPr>
          <w:rFonts w:hint="eastAsia"/>
          <w:sz w:val="28"/>
          <w:lang w:eastAsia="ja-JP"/>
        </w:rPr>
        <w:t>ISO</w:t>
      </w:r>
      <w:r w:rsidR="00A22B31" w:rsidRPr="00A22B31">
        <w:rPr>
          <w:sz w:val="28"/>
        </w:rPr>
        <w:t xml:space="preserve"> </w:t>
      </w:r>
      <w:r w:rsidR="00DF353B" w:rsidRPr="00DF353B">
        <w:rPr>
          <w:sz w:val="28"/>
        </w:rPr>
        <w:t xml:space="preserve">14971:2007 “Medical </w:t>
      </w:r>
      <w:proofErr w:type="gramStart"/>
      <w:r w:rsidR="00DF353B" w:rsidRPr="00DF353B">
        <w:rPr>
          <w:sz w:val="28"/>
        </w:rPr>
        <w:t>devices</w:t>
      </w:r>
      <w:proofErr w:type="gramEnd"/>
      <w:r w:rsidR="00DF353B" w:rsidRPr="00DF353B">
        <w:rPr>
          <w:sz w:val="28"/>
        </w:rPr>
        <w:t xml:space="preserve"> -- Application of risk management to medical devices”</w:t>
      </w:r>
      <w:bookmarkEnd w:id="0"/>
    </w:p>
    <w:p w14:paraId="77ECCA04" w14:textId="77777777" w:rsidR="005219B9" w:rsidRDefault="005219B9" w:rsidP="001732F8">
      <w:pPr>
        <w:pBdr>
          <w:top w:val="single" w:sz="6" w:space="0" w:color="000000"/>
          <w:left w:val="single" w:sz="6" w:space="0" w:color="000000"/>
          <w:bottom w:val="single" w:sz="6" w:space="0" w:color="000000"/>
          <w:right w:val="single" w:sz="6" w:space="0" w:color="000000"/>
        </w:pBdr>
        <w:tabs>
          <w:tab w:val="left" w:pos="2694"/>
        </w:tabs>
        <w:rPr>
          <w:b/>
          <w:sz w:val="32"/>
        </w:rPr>
      </w:pPr>
    </w:p>
    <w:p w14:paraId="520F0625" w14:textId="77777777" w:rsidR="005219B9" w:rsidRDefault="00825ACA" w:rsidP="001732F8">
      <w:pPr>
        <w:pBdr>
          <w:top w:val="single" w:sz="6" w:space="0" w:color="000000"/>
          <w:left w:val="single" w:sz="6" w:space="0" w:color="000000"/>
          <w:bottom w:val="single" w:sz="6" w:space="0" w:color="000000"/>
          <w:right w:val="single" w:sz="6" w:space="0" w:color="000000"/>
        </w:pBdr>
        <w:tabs>
          <w:tab w:val="left" w:pos="2694"/>
        </w:tabs>
        <w:ind w:left="2880" w:hanging="2880"/>
        <w:rPr>
          <w:b/>
          <w:sz w:val="28"/>
          <w:lang w:eastAsia="ja-JP"/>
        </w:rPr>
      </w:pPr>
      <w:r>
        <w:rPr>
          <w:b/>
          <w:sz w:val="28"/>
        </w:rPr>
        <w:t xml:space="preserve">   Authoring Group: </w:t>
      </w:r>
      <w:r w:rsidR="00B42C7B">
        <w:rPr>
          <w:b/>
          <w:sz w:val="28"/>
        </w:rPr>
        <w:tab/>
      </w:r>
      <w:r w:rsidR="00A22B31">
        <w:rPr>
          <w:rFonts w:hint="eastAsia"/>
          <w:b/>
          <w:sz w:val="28"/>
          <w:lang w:eastAsia="ja-JP"/>
        </w:rPr>
        <w:tab/>
      </w:r>
      <w:r w:rsidR="00631083">
        <w:rPr>
          <w:sz w:val="28"/>
        </w:rPr>
        <w:t xml:space="preserve">IMDRF </w:t>
      </w:r>
      <w:r w:rsidR="008C212F">
        <w:rPr>
          <w:rFonts w:hint="eastAsia"/>
          <w:sz w:val="28"/>
          <w:lang w:eastAsia="ja-JP"/>
        </w:rPr>
        <w:t>M</w:t>
      </w:r>
      <w:r w:rsidR="008C212F">
        <w:rPr>
          <w:sz w:val="28"/>
          <w:lang w:eastAsia="ja-JP"/>
        </w:rPr>
        <w:t>anagement Committee</w:t>
      </w:r>
    </w:p>
    <w:p w14:paraId="256B9BAD" w14:textId="77777777" w:rsidR="005219B9" w:rsidRDefault="005219B9" w:rsidP="001732F8">
      <w:pPr>
        <w:pBdr>
          <w:top w:val="single" w:sz="6" w:space="0" w:color="000000"/>
          <w:left w:val="single" w:sz="6" w:space="0" w:color="000000"/>
          <w:bottom w:val="single" w:sz="6" w:space="0" w:color="000000"/>
          <w:right w:val="single" w:sz="6" w:space="0" w:color="000000"/>
        </w:pBdr>
        <w:tabs>
          <w:tab w:val="left" w:pos="2694"/>
        </w:tabs>
        <w:rPr>
          <w:b/>
          <w:sz w:val="28"/>
        </w:rPr>
      </w:pPr>
    </w:p>
    <w:p w14:paraId="2C3FF458" w14:textId="25B91B20" w:rsidR="005219B9" w:rsidRDefault="00825ACA" w:rsidP="001732F8">
      <w:pPr>
        <w:pBdr>
          <w:top w:val="single" w:sz="6" w:space="0" w:color="000000"/>
          <w:left w:val="single" w:sz="6" w:space="0" w:color="000000"/>
          <w:bottom w:val="single" w:sz="6" w:space="0" w:color="000000"/>
          <w:right w:val="single" w:sz="6" w:space="0" w:color="000000"/>
        </w:pBdr>
        <w:tabs>
          <w:tab w:val="left" w:pos="2694"/>
        </w:tabs>
        <w:rPr>
          <w:sz w:val="28"/>
          <w:lang w:eastAsia="ja-JP"/>
        </w:rPr>
      </w:pPr>
      <w:r>
        <w:rPr>
          <w:b/>
          <w:sz w:val="28"/>
        </w:rPr>
        <w:t xml:space="preserve">   Date: </w:t>
      </w:r>
      <w:r w:rsidR="00B42C7B">
        <w:rPr>
          <w:b/>
          <w:sz w:val="28"/>
        </w:rPr>
        <w:tab/>
      </w:r>
      <w:r w:rsidR="00A22B31">
        <w:rPr>
          <w:rFonts w:hint="eastAsia"/>
          <w:b/>
          <w:sz w:val="28"/>
          <w:lang w:eastAsia="ja-JP"/>
        </w:rPr>
        <w:tab/>
      </w:r>
      <w:r w:rsidR="0080308A">
        <w:rPr>
          <w:rFonts w:hint="eastAsia"/>
          <w:sz w:val="28"/>
          <w:lang w:eastAsia="ja-JP"/>
        </w:rPr>
        <w:t>2</w:t>
      </w:r>
      <w:r w:rsidR="00631083">
        <w:rPr>
          <w:sz w:val="28"/>
        </w:rPr>
        <w:t xml:space="preserve"> </w:t>
      </w:r>
      <w:r w:rsidR="009A612F">
        <w:rPr>
          <w:rFonts w:hint="eastAsia"/>
          <w:sz w:val="28"/>
          <w:lang w:eastAsia="ja-JP"/>
        </w:rPr>
        <w:t>Octob</w:t>
      </w:r>
      <w:r w:rsidR="009A612F">
        <w:rPr>
          <w:sz w:val="28"/>
          <w:lang w:eastAsia="ja-JP"/>
        </w:rPr>
        <w:t>er</w:t>
      </w:r>
      <w:r w:rsidR="00631083">
        <w:rPr>
          <w:sz w:val="28"/>
        </w:rPr>
        <w:t xml:space="preserve"> 201</w:t>
      </w:r>
      <w:r w:rsidR="00631083">
        <w:rPr>
          <w:rFonts w:hint="eastAsia"/>
          <w:sz w:val="28"/>
          <w:lang w:eastAsia="ja-JP"/>
        </w:rPr>
        <w:t>5</w:t>
      </w:r>
    </w:p>
    <w:p w14:paraId="2C8DAC29"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521272B7"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28C7BDCF"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11C9742F"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787AFB93"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211221B4"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4FA3AE10" w14:textId="77777777" w:rsidR="00CD519C" w:rsidRDefault="00631083" w:rsidP="00631083">
      <w:pPr>
        <w:pBdr>
          <w:top w:val="single" w:sz="6" w:space="0" w:color="000000"/>
          <w:left w:val="single" w:sz="6" w:space="0" w:color="000000"/>
          <w:bottom w:val="single" w:sz="6" w:space="0" w:color="000000"/>
          <w:right w:val="single" w:sz="6" w:space="0" w:color="000000"/>
        </w:pBdr>
        <w:wordWrap w:val="0"/>
        <w:jc w:val="right"/>
        <w:rPr>
          <w:sz w:val="28"/>
        </w:rPr>
      </w:pPr>
      <w:proofErr w:type="spellStart"/>
      <w:r>
        <w:rPr>
          <w:rFonts w:hint="eastAsia"/>
          <w:sz w:val="28"/>
          <w:lang w:val="en-CA" w:eastAsia="ja-JP"/>
        </w:rPr>
        <w:t>Toshiyoshi</w:t>
      </w:r>
      <w:proofErr w:type="spellEnd"/>
      <w:r>
        <w:rPr>
          <w:rFonts w:hint="eastAsia"/>
          <w:sz w:val="28"/>
          <w:lang w:val="en-CA" w:eastAsia="ja-JP"/>
        </w:rPr>
        <w:t xml:space="preserve"> </w:t>
      </w:r>
      <w:proofErr w:type="spellStart"/>
      <w:r>
        <w:rPr>
          <w:rFonts w:hint="eastAsia"/>
          <w:sz w:val="28"/>
          <w:lang w:val="en-CA" w:eastAsia="ja-JP"/>
        </w:rPr>
        <w:t>Tominaga</w:t>
      </w:r>
      <w:proofErr w:type="spellEnd"/>
      <w:r w:rsidR="00CD519C">
        <w:rPr>
          <w:sz w:val="28"/>
          <w:lang w:val="en-CA"/>
        </w:rPr>
        <w:t>, IMDRF Chair</w:t>
      </w:r>
    </w:p>
    <w:p w14:paraId="55597414" w14:textId="77777777" w:rsidR="00CD519C" w:rsidRDefault="00CD519C" w:rsidP="00CD519C">
      <w:pPr>
        <w:pBdr>
          <w:top w:val="single" w:sz="6" w:space="0" w:color="000000"/>
          <w:left w:val="single" w:sz="6" w:space="0" w:color="000000"/>
          <w:bottom w:val="single" w:sz="6" w:space="0" w:color="000000"/>
          <w:right w:val="single" w:sz="6" w:space="0" w:color="000000"/>
        </w:pBdr>
        <w:rPr>
          <w:sz w:val="28"/>
        </w:rPr>
      </w:pPr>
    </w:p>
    <w:p w14:paraId="63C6FC0E"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709"/>
        </w:tabs>
        <w:rPr>
          <w:szCs w:val="24"/>
          <w:lang w:val="en-CA"/>
        </w:rPr>
      </w:pPr>
      <w:r>
        <w:rPr>
          <w:szCs w:val="24"/>
          <w:lang w:val="en-CA"/>
        </w:rPr>
        <w:tab/>
        <w:t xml:space="preserve">This document was produced by the International Medical Device Regulators Forum. </w:t>
      </w:r>
      <w:r>
        <w:rPr>
          <w:szCs w:val="24"/>
          <w:lang w:val="en-CA"/>
        </w:rPr>
        <w:br/>
      </w:r>
      <w:r>
        <w:rPr>
          <w:szCs w:val="24"/>
          <w:lang w:val="en-CA"/>
        </w:rPr>
        <w:tab/>
        <w:t xml:space="preserve">There are no restrictions on the reproduction or use of this document; however, </w:t>
      </w:r>
      <w:r>
        <w:rPr>
          <w:szCs w:val="24"/>
          <w:lang w:val="en-CA"/>
        </w:rPr>
        <w:br/>
      </w:r>
      <w:r>
        <w:rPr>
          <w:szCs w:val="24"/>
          <w:lang w:val="en-CA"/>
        </w:rPr>
        <w:tab/>
        <w:t xml:space="preserve">incorporation of this document, in part or in whole, into another document, or its </w:t>
      </w:r>
      <w:r>
        <w:rPr>
          <w:szCs w:val="24"/>
          <w:lang w:val="en-CA"/>
        </w:rPr>
        <w:br/>
      </w:r>
      <w:r>
        <w:rPr>
          <w:szCs w:val="24"/>
          <w:lang w:val="en-CA"/>
        </w:rPr>
        <w:tab/>
        <w:t xml:space="preserve">translation into languages other than English, does not convey or represent an </w:t>
      </w:r>
      <w:r>
        <w:rPr>
          <w:szCs w:val="24"/>
          <w:lang w:val="en-CA"/>
        </w:rPr>
        <w:br/>
      </w:r>
      <w:r>
        <w:rPr>
          <w:szCs w:val="24"/>
          <w:lang w:val="en-CA"/>
        </w:rPr>
        <w:tab/>
        <w:t>endorsement of any kind by the International Medical Device Regulators Forum.</w:t>
      </w:r>
    </w:p>
    <w:p w14:paraId="63C0884A"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993"/>
        </w:tabs>
        <w:rPr>
          <w:szCs w:val="24"/>
          <w:lang w:val="en-CA"/>
        </w:rPr>
      </w:pPr>
    </w:p>
    <w:p w14:paraId="6C396B9A"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709"/>
        </w:tabs>
        <w:rPr>
          <w:szCs w:val="24"/>
          <w:lang w:eastAsia="en-AU"/>
        </w:rPr>
      </w:pPr>
      <w:r>
        <w:rPr>
          <w:szCs w:val="24"/>
          <w:lang w:eastAsia="en-AU"/>
        </w:rPr>
        <w:tab/>
      </w:r>
      <w:proofErr w:type="gramStart"/>
      <w:r>
        <w:rPr>
          <w:szCs w:val="24"/>
          <w:lang w:eastAsia="en-AU"/>
        </w:rPr>
        <w:t xml:space="preserve">Copyright </w:t>
      </w:r>
      <w:r w:rsidR="00631083">
        <w:rPr>
          <w:szCs w:val="24"/>
          <w:lang w:eastAsia="en-AU"/>
        </w:rPr>
        <w:t>© 201</w:t>
      </w:r>
      <w:r w:rsidR="00631083">
        <w:rPr>
          <w:rFonts w:hint="eastAsia"/>
          <w:szCs w:val="24"/>
          <w:lang w:eastAsia="ja-JP"/>
        </w:rPr>
        <w:t>5</w:t>
      </w:r>
      <w:r>
        <w:rPr>
          <w:szCs w:val="24"/>
          <w:lang w:eastAsia="en-AU"/>
        </w:rPr>
        <w:t xml:space="preserve"> by the International Medical Device Regulators Forum.</w:t>
      </w:r>
      <w:proofErr w:type="gramEnd"/>
    </w:p>
    <w:p w14:paraId="01B307BB" w14:textId="77777777" w:rsidR="005219B9" w:rsidRDefault="005219B9">
      <w:pPr>
        <w:rPr>
          <w:lang w:eastAsia="ja-JP"/>
        </w:rPr>
        <w:sectPr w:rsidR="005219B9" w:rsidSect="00DC70D4">
          <w:headerReference w:type="default" r:id="rId11"/>
          <w:headerReference w:type="first" r:id="rId12"/>
          <w:pgSz w:w="12240" w:h="15840" w:code="1"/>
          <w:pgMar w:top="1134" w:right="1440" w:bottom="1440" w:left="1440" w:header="283" w:footer="720" w:gutter="0"/>
          <w:cols w:space="720"/>
          <w:titlePg/>
          <w:docGrid w:linePitch="326"/>
        </w:sectPr>
      </w:pPr>
    </w:p>
    <w:p w14:paraId="33206706" w14:textId="77777777" w:rsidR="00631083" w:rsidRDefault="00C46D3F" w:rsidP="00DF353B">
      <w:pPr>
        <w:pStyle w:val="Heading1"/>
        <w:numPr>
          <w:ilvl w:val="0"/>
          <w:numId w:val="0"/>
        </w:numPr>
        <w:rPr>
          <w:lang w:eastAsia="ja-JP"/>
        </w:rPr>
      </w:pPr>
      <w:bookmarkStart w:id="1" w:name="_Toc423451725"/>
      <w:r>
        <w:rPr>
          <w:rFonts w:hint="eastAsia"/>
          <w:lang w:eastAsia="ja-JP"/>
        </w:rPr>
        <w:lastRenderedPageBreak/>
        <w:t xml:space="preserve">Use of </w:t>
      </w:r>
      <w:r w:rsidR="004C00E0">
        <w:rPr>
          <w:lang w:eastAsia="ja-JP"/>
        </w:rPr>
        <w:t>ISO 14</w:t>
      </w:r>
      <w:r w:rsidR="004C00E0">
        <w:rPr>
          <w:rFonts w:hint="eastAsia"/>
          <w:lang w:eastAsia="ja-JP"/>
        </w:rPr>
        <w:t>971</w:t>
      </w:r>
      <w:r w:rsidR="004C00E0">
        <w:rPr>
          <w:lang w:eastAsia="ja-JP"/>
        </w:rPr>
        <w:t>:20</w:t>
      </w:r>
      <w:r w:rsidR="004C00E0">
        <w:rPr>
          <w:rFonts w:hint="eastAsia"/>
          <w:lang w:eastAsia="ja-JP"/>
        </w:rPr>
        <w:t>07</w:t>
      </w:r>
      <w:r w:rsidRPr="00C46D3F">
        <w:rPr>
          <w:lang w:eastAsia="ja-JP"/>
        </w:rPr>
        <w:t xml:space="preserve"> “</w:t>
      </w:r>
      <w:r w:rsidR="004C00E0" w:rsidRPr="004C00E0">
        <w:rPr>
          <w:lang w:eastAsia="ja-JP"/>
        </w:rPr>
        <w:t>Medical devices -- Application of risk management to medical devices</w:t>
      </w:r>
      <w:r w:rsidRPr="00C46D3F">
        <w:rPr>
          <w:lang w:eastAsia="ja-JP"/>
        </w:rPr>
        <w:t>”</w:t>
      </w:r>
      <w:r>
        <w:rPr>
          <w:rFonts w:hint="eastAsia"/>
          <w:lang w:eastAsia="ja-JP"/>
        </w:rPr>
        <w:t xml:space="preserve"> in each jurisdiction</w:t>
      </w:r>
      <w:bookmarkEnd w:id="1"/>
    </w:p>
    <w:p w14:paraId="7D1D325C" w14:textId="77777777" w:rsidR="00485EEE" w:rsidRDefault="00485EEE" w:rsidP="00DF2F9D">
      <w:pPr>
        <w:keepNext/>
        <w:rPr>
          <w:b/>
          <w:bCs/>
          <w:lang w:eastAsia="ja-JP"/>
        </w:rPr>
      </w:pPr>
    </w:p>
    <w:tbl>
      <w:tblPr>
        <w:tblStyle w:val="TableGrid"/>
        <w:tblW w:w="0" w:type="auto"/>
        <w:tblLook w:val="04A0" w:firstRow="1" w:lastRow="0" w:firstColumn="1" w:lastColumn="0" w:noHBand="0" w:noVBand="1"/>
      </w:tblPr>
      <w:tblGrid>
        <w:gridCol w:w="2547"/>
        <w:gridCol w:w="6803"/>
      </w:tblGrid>
      <w:tr w:rsidR="00485EEE" w14:paraId="56802875" w14:textId="77777777" w:rsidTr="00485EEE">
        <w:tc>
          <w:tcPr>
            <w:tcW w:w="2547" w:type="dxa"/>
          </w:tcPr>
          <w:p w14:paraId="6421E3D0" w14:textId="77777777" w:rsidR="00485EEE" w:rsidRDefault="00485EEE" w:rsidP="00485EEE">
            <w:pPr>
              <w:keepNext/>
              <w:rPr>
                <w:lang w:eastAsia="ja-JP"/>
              </w:rPr>
            </w:pPr>
            <w:r>
              <w:rPr>
                <w:rFonts w:hint="eastAsia"/>
                <w:lang w:eastAsia="ja-JP"/>
              </w:rPr>
              <w:t>Australia</w:t>
            </w:r>
          </w:p>
          <w:p w14:paraId="032D8E17" w14:textId="77777777" w:rsidR="00485EEE" w:rsidRDefault="00485EEE" w:rsidP="00485EEE">
            <w:pPr>
              <w:keepNext/>
              <w:rPr>
                <w:lang w:eastAsia="ja-JP"/>
              </w:rPr>
            </w:pPr>
          </w:p>
          <w:p w14:paraId="05B0AE93" w14:textId="77777777" w:rsidR="00485EEE" w:rsidRDefault="00485EEE" w:rsidP="00485EEE">
            <w:pPr>
              <w:keepNext/>
              <w:rPr>
                <w:b/>
                <w:bCs/>
                <w:lang w:eastAsia="ja-JP"/>
              </w:rPr>
            </w:pPr>
            <w:r w:rsidRPr="00C46D3F">
              <w:rPr>
                <w:lang w:eastAsia="ja-JP"/>
              </w:rPr>
              <w:t>Therapeutic Goods Administration</w:t>
            </w:r>
            <w:r>
              <w:rPr>
                <w:rFonts w:hint="eastAsia"/>
                <w:lang w:eastAsia="ja-JP"/>
              </w:rPr>
              <w:t xml:space="preserve"> (TGA)</w:t>
            </w:r>
          </w:p>
        </w:tc>
        <w:tc>
          <w:tcPr>
            <w:tcW w:w="6803" w:type="dxa"/>
          </w:tcPr>
          <w:p w14:paraId="6625E2F1" w14:textId="577244E8" w:rsidR="00485EEE" w:rsidRDefault="00B95477" w:rsidP="00B95477">
            <w:pPr>
              <w:keepNext/>
              <w:tabs>
                <w:tab w:val="left" w:pos="666"/>
              </w:tabs>
              <w:rPr>
                <w:b/>
                <w:bCs/>
                <w:lang w:eastAsia="ja-JP"/>
              </w:rPr>
            </w:pPr>
            <w:r w:rsidRPr="00B222A7">
              <w:rPr>
                <w:bCs/>
                <w:szCs w:val="24"/>
                <w:lang w:eastAsia="ja-JP"/>
              </w:rPr>
              <w:t>All medical devices are required to meet Australian Essential Principles (EPs)</w:t>
            </w:r>
            <w:r w:rsidRPr="00B222A7">
              <w:rPr>
                <w:b/>
                <w:bCs/>
                <w:szCs w:val="24"/>
                <w:lang w:eastAsia="ja-JP"/>
              </w:rPr>
              <w:t xml:space="preserve">. </w:t>
            </w:r>
            <w:r w:rsidRPr="00B222A7">
              <w:rPr>
                <w:bCs/>
                <w:szCs w:val="24"/>
                <w:lang w:eastAsia="ja-JP"/>
              </w:rPr>
              <w:t xml:space="preserve">The TGA’s non-mandatory </w:t>
            </w:r>
            <w:r w:rsidRPr="00B222A7">
              <w:rPr>
                <w:bCs/>
                <w:i/>
                <w:szCs w:val="24"/>
                <w:lang w:eastAsia="ja-JP"/>
              </w:rPr>
              <w:t>Medical Devices Standards Order</w:t>
            </w:r>
            <w:r w:rsidRPr="00B222A7">
              <w:rPr>
                <w:bCs/>
                <w:szCs w:val="24"/>
                <w:lang w:eastAsia="ja-JP"/>
              </w:rPr>
              <w:t xml:space="preserve"> </w:t>
            </w:r>
            <w:r w:rsidRPr="00B222A7">
              <w:rPr>
                <w:bCs/>
                <w:i/>
                <w:szCs w:val="24"/>
                <w:lang w:eastAsia="ja-JP"/>
              </w:rPr>
              <w:t>(Standards for risk management)</w:t>
            </w:r>
            <w:r w:rsidRPr="00B222A7">
              <w:rPr>
                <w:bCs/>
                <w:szCs w:val="24"/>
                <w:lang w:eastAsia="ja-JP"/>
              </w:rPr>
              <w:t xml:space="preserve">, 2008 (MDSO) specifies EN ISO/ISO 14971:2000 </w:t>
            </w:r>
            <w:r w:rsidRPr="00B222A7">
              <w:rPr>
                <w:szCs w:val="24"/>
              </w:rPr>
              <w:t xml:space="preserve">Clauses 1 to 9 inclusive or </w:t>
            </w:r>
            <w:r w:rsidRPr="00B222A7">
              <w:rPr>
                <w:bCs/>
                <w:szCs w:val="24"/>
                <w:lang w:eastAsia="ja-JP"/>
              </w:rPr>
              <w:t xml:space="preserve">EN </w:t>
            </w:r>
            <w:r w:rsidRPr="00B222A7">
              <w:rPr>
                <w:szCs w:val="24"/>
              </w:rPr>
              <w:t xml:space="preserve">ISO/ISO 14971:2007 Clauses 1 to 9 inclusive </w:t>
            </w:r>
            <w:r w:rsidRPr="00B222A7">
              <w:rPr>
                <w:bCs/>
                <w:szCs w:val="24"/>
                <w:lang w:eastAsia="ja-JP"/>
              </w:rPr>
              <w:t xml:space="preserve">to be used </w:t>
            </w:r>
            <w:r w:rsidRPr="00B222A7">
              <w:rPr>
                <w:szCs w:val="24"/>
              </w:rPr>
              <w:t>a method to identify the risk associated with the use of the device (but not to be used as a specific means to implement the reduction of risks).</w:t>
            </w:r>
            <w:r w:rsidRPr="00B222A7">
              <w:rPr>
                <w:bCs/>
                <w:szCs w:val="24"/>
                <w:lang w:eastAsia="ja-JP"/>
              </w:rPr>
              <w:t xml:space="preserve"> Compliance with these standards is used as evidence of compliance with the EPs.</w:t>
            </w:r>
          </w:p>
        </w:tc>
      </w:tr>
      <w:tr w:rsidR="00485EEE" w14:paraId="0428E4A5" w14:textId="77777777" w:rsidTr="00485EEE">
        <w:tc>
          <w:tcPr>
            <w:tcW w:w="2547" w:type="dxa"/>
          </w:tcPr>
          <w:p w14:paraId="0D9CF729" w14:textId="77777777" w:rsidR="00485EEE" w:rsidRDefault="00485EEE" w:rsidP="00485EEE">
            <w:pPr>
              <w:keepNext/>
              <w:rPr>
                <w:lang w:eastAsia="ja-JP"/>
              </w:rPr>
            </w:pPr>
            <w:r>
              <w:rPr>
                <w:rFonts w:hint="eastAsia"/>
                <w:lang w:eastAsia="ja-JP"/>
              </w:rPr>
              <w:t>Brazil</w:t>
            </w:r>
          </w:p>
          <w:p w14:paraId="59C28D86" w14:textId="77777777" w:rsidR="00485EEE" w:rsidRDefault="00485EEE" w:rsidP="00485EEE">
            <w:pPr>
              <w:keepNext/>
              <w:rPr>
                <w:lang w:eastAsia="ja-JP"/>
              </w:rPr>
            </w:pPr>
          </w:p>
          <w:p w14:paraId="17BC3F46" w14:textId="77777777" w:rsidR="00485EEE" w:rsidRDefault="00485EEE" w:rsidP="00485EEE">
            <w:pPr>
              <w:keepNext/>
              <w:rPr>
                <w:b/>
                <w:bCs/>
                <w:lang w:eastAsia="ja-JP"/>
              </w:rPr>
            </w:pPr>
            <w:r w:rsidRPr="00C46D3F">
              <w:rPr>
                <w:lang w:eastAsia="ja-JP"/>
              </w:rPr>
              <w:t>National Health Surveillance Agency (ANVISA)</w:t>
            </w:r>
          </w:p>
        </w:tc>
        <w:tc>
          <w:tcPr>
            <w:tcW w:w="6803" w:type="dxa"/>
          </w:tcPr>
          <w:p w14:paraId="2BD421FE" w14:textId="7CD918FB" w:rsidR="00485EEE" w:rsidRDefault="00B95477" w:rsidP="00485EEE">
            <w:pPr>
              <w:keepNext/>
              <w:rPr>
                <w:b/>
                <w:bCs/>
                <w:lang w:eastAsia="ja-JP"/>
              </w:rPr>
            </w:pPr>
            <w:r w:rsidRPr="00B222A7">
              <w:rPr>
                <w:bCs/>
                <w:szCs w:val="24"/>
                <w:lang w:eastAsia="ja-JP"/>
              </w:rPr>
              <w:t>It is mandatory for manufacturers and importers of medical devices to have registries of risk management. ISO 14971:2007 may be employed in risk management reports. Several ANVISA regulations mention Standard 14971 and it is applicable to pre- and post-market stages.</w:t>
            </w:r>
          </w:p>
        </w:tc>
      </w:tr>
      <w:tr w:rsidR="00485EEE" w14:paraId="5E7A96F0" w14:textId="77777777" w:rsidTr="00485EEE">
        <w:tc>
          <w:tcPr>
            <w:tcW w:w="2547" w:type="dxa"/>
          </w:tcPr>
          <w:p w14:paraId="2FD8397A" w14:textId="77777777" w:rsidR="00485EEE" w:rsidRDefault="00485EEE" w:rsidP="00485EEE">
            <w:pPr>
              <w:keepNext/>
              <w:rPr>
                <w:lang w:eastAsia="ja-JP"/>
              </w:rPr>
            </w:pPr>
            <w:r>
              <w:rPr>
                <w:rFonts w:hint="eastAsia"/>
                <w:lang w:eastAsia="ja-JP"/>
              </w:rPr>
              <w:t>Canada</w:t>
            </w:r>
          </w:p>
          <w:p w14:paraId="1521C541" w14:textId="77777777" w:rsidR="00485EEE" w:rsidRDefault="00485EEE" w:rsidP="00485EEE">
            <w:pPr>
              <w:keepNext/>
              <w:rPr>
                <w:lang w:eastAsia="ja-JP"/>
              </w:rPr>
            </w:pPr>
          </w:p>
          <w:p w14:paraId="4B99107A" w14:textId="77777777" w:rsidR="00485EEE" w:rsidRDefault="00485EEE" w:rsidP="00485EEE">
            <w:pPr>
              <w:keepNext/>
              <w:rPr>
                <w:b/>
                <w:bCs/>
                <w:lang w:eastAsia="ja-JP"/>
              </w:rPr>
            </w:pPr>
            <w:r w:rsidRPr="00C46D3F">
              <w:rPr>
                <w:lang w:eastAsia="ja-JP"/>
              </w:rPr>
              <w:t>Health Canada</w:t>
            </w:r>
            <w:r>
              <w:rPr>
                <w:rFonts w:hint="eastAsia"/>
                <w:lang w:eastAsia="ja-JP"/>
              </w:rPr>
              <w:t xml:space="preserve"> (HC)</w:t>
            </w:r>
          </w:p>
        </w:tc>
        <w:tc>
          <w:tcPr>
            <w:tcW w:w="6803" w:type="dxa"/>
          </w:tcPr>
          <w:p w14:paraId="62166636" w14:textId="77777777" w:rsidR="00B95477" w:rsidRPr="00B222A7" w:rsidRDefault="00B95477" w:rsidP="00B95477">
            <w:pPr>
              <w:pStyle w:val="Default"/>
              <w:rPr>
                <w:rFonts w:ascii="Times New Roman" w:hAnsi="Times New Roman" w:cs="Times New Roman"/>
              </w:rPr>
            </w:pPr>
            <w:r w:rsidRPr="00B222A7">
              <w:rPr>
                <w:rFonts w:ascii="Times New Roman" w:hAnsi="Times New Roman" w:cs="Times New Roman"/>
              </w:rPr>
              <w:t>In Canada, conformance to specific standards is not mandatory.  However, evidence of conformity to recognised standards can be submitted to demonstrate that specific requirements of the Medical Devices Regulations have been met.  HC publishes a list of recognised standards, and the level of evidence expected is “equivalent or better” to these recognised standards.</w:t>
            </w:r>
          </w:p>
          <w:p w14:paraId="105C18F9" w14:textId="77777777" w:rsidR="00B95477" w:rsidRPr="00B222A7" w:rsidRDefault="00B95477" w:rsidP="00B95477">
            <w:pPr>
              <w:pStyle w:val="Default"/>
              <w:rPr>
                <w:rFonts w:ascii="Times New Roman" w:hAnsi="Times New Roman" w:cs="Times New Roman"/>
              </w:rPr>
            </w:pPr>
          </w:p>
          <w:p w14:paraId="3836C11B" w14:textId="77777777" w:rsidR="00B95477" w:rsidRPr="00B222A7" w:rsidRDefault="00B95477" w:rsidP="00B95477">
            <w:pPr>
              <w:pStyle w:val="Default"/>
              <w:rPr>
                <w:rFonts w:ascii="Times New Roman" w:hAnsi="Times New Roman" w:cs="Times New Roman"/>
              </w:rPr>
            </w:pPr>
            <w:r w:rsidRPr="00B222A7">
              <w:rPr>
                <w:rFonts w:ascii="Times New Roman" w:hAnsi="Times New Roman" w:cs="Times New Roman"/>
              </w:rPr>
              <w:t xml:space="preserve">ISO 14971:2007 is currently a recognised standard, and represents an accepted approach to Risk Management. A risk analysis report is required for all Class IV medical device licence applications, and for Class III and IV Investigational Testing Authorization applications. </w:t>
            </w:r>
          </w:p>
          <w:p w14:paraId="4A19E532" w14:textId="77777777" w:rsidR="00485EEE" w:rsidRPr="00B95477" w:rsidRDefault="00485EEE" w:rsidP="00485EEE">
            <w:pPr>
              <w:keepNext/>
              <w:rPr>
                <w:b/>
                <w:bCs/>
                <w:lang w:val="en-AU" w:eastAsia="ja-JP"/>
              </w:rPr>
            </w:pPr>
          </w:p>
        </w:tc>
      </w:tr>
      <w:tr w:rsidR="00485EEE" w14:paraId="4B642387" w14:textId="77777777" w:rsidTr="00485EEE">
        <w:tc>
          <w:tcPr>
            <w:tcW w:w="2547" w:type="dxa"/>
          </w:tcPr>
          <w:p w14:paraId="1FFD64FC" w14:textId="77777777" w:rsidR="00485EEE" w:rsidRDefault="00485EEE" w:rsidP="00485EEE">
            <w:pPr>
              <w:keepNext/>
              <w:rPr>
                <w:lang w:eastAsia="ja-JP"/>
              </w:rPr>
            </w:pPr>
            <w:r>
              <w:rPr>
                <w:rFonts w:hint="eastAsia"/>
                <w:lang w:eastAsia="ja-JP"/>
              </w:rPr>
              <w:t>China</w:t>
            </w:r>
          </w:p>
          <w:p w14:paraId="5717CB52" w14:textId="77777777" w:rsidR="00485EEE" w:rsidRDefault="00485EEE" w:rsidP="00485EEE">
            <w:pPr>
              <w:keepNext/>
              <w:rPr>
                <w:lang w:eastAsia="ja-JP"/>
              </w:rPr>
            </w:pPr>
          </w:p>
          <w:p w14:paraId="46DFF656" w14:textId="77777777" w:rsidR="00485EEE" w:rsidRDefault="00485EEE" w:rsidP="00485EEE">
            <w:pPr>
              <w:keepNext/>
              <w:rPr>
                <w:b/>
                <w:bCs/>
                <w:lang w:eastAsia="ja-JP"/>
              </w:rPr>
            </w:pPr>
            <w:r w:rsidRPr="00C46D3F">
              <w:rPr>
                <w:lang w:eastAsia="ja-JP"/>
              </w:rPr>
              <w:t>China Food and Drug Administration</w:t>
            </w:r>
            <w:r>
              <w:rPr>
                <w:rFonts w:hint="eastAsia"/>
                <w:lang w:eastAsia="ja-JP"/>
              </w:rPr>
              <w:t xml:space="preserve"> (CFDA)</w:t>
            </w:r>
          </w:p>
        </w:tc>
        <w:tc>
          <w:tcPr>
            <w:tcW w:w="6803" w:type="dxa"/>
          </w:tcPr>
          <w:p w14:paraId="18FA0A26" w14:textId="317660FE" w:rsidR="00485EEE" w:rsidRDefault="00B95477" w:rsidP="004C00E0">
            <w:pPr>
              <w:keepNext/>
              <w:rPr>
                <w:b/>
                <w:bCs/>
                <w:lang w:eastAsia="ja-JP"/>
              </w:rPr>
            </w:pPr>
            <w:r w:rsidRPr="00B222A7">
              <w:rPr>
                <w:color w:val="000000" w:themeColor="text1"/>
                <w:szCs w:val="24"/>
              </w:rPr>
              <w:t>The ISO14971:200</w:t>
            </w:r>
            <w:r w:rsidRPr="00B222A7">
              <w:rPr>
                <w:color w:val="000000" w:themeColor="text1"/>
                <w:szCs w:val="24"/>
                <w:lang w:eastAsia="zh-CN"/>
              </w:rPr>
              <w:t xml:space="preserve">7 had been </w:t>
            </w:r>
            <w:r w:rsidRPr="00B222A7">
              <w:rPr>
                <w:color w:val="000000" w:themeColor="text1"/>
                <w:szCs w:val="24"/>
              </w:rPr>
              <w:t xml:space="preserve">translated into </w:t>
            </w:r>
            <w:r w:rsidRPr="00B222A7">
              <w:rPr>
                <w:color w:val="000000" w:themeColor="text1"/>
                <w:szCs w:val="24"/>
                <w:lang w:eastAsia="zh-CN"/>
              </w:rPr>
              <w:t>China industry standard:</w:t>
            </w:r>
            <w:r w:rsidRPr="00B222A7">
              <w:rPr>
                <w:szCs w:val="24"/>
              </w:rPr>
              <w:t xml:space="preserve">  </w:t>
            </w:r>
            <w:r w:rsidRPr="00B222A7">
              <w:rPr>
                <w:color w:val="000000" w:themeColor="text1"/>
                <w:szCs w:val="24"/>
                <w:lang w:eastAsia="zh-CN"/>
              </w:rPr>
              <w:t xml:space="preserve">YY/T 0316-2008 </w:t>
            </w:r>
            <w:r w:rsidRPr="00B222A7">
              <w:rPr>
                <w:szCs w:val="24"/>
              </w:rPr>
              <w:t>equally</w:t>
            </w:r>
            <w:r w:rsidRPr="00B222A7">
              <w:rPr>
                <w:szCs w:val="24"/>
                <w:lang w:eastAsia="zh-CN"/>
              </w:rPr>
              <w:t xml:space="preserve"> and implement from 2009.6.1</w:t>
            </w:r>
            <w:r w:rsidRPr="00B222A7">
              <w:rPr>
                <w:color w:val="000000" w:themeColor="text1"/>
                <w:szCs w:val="24"/>
                <w:lang w:eastAsia="zh-CN"/>
              </w:rPr>
              <w:t>, it isn’t mandatory standard</w:t>
            </w:r>
            <w:r w:rsidRPr="00B222A7">
              <w:rPr>
                <w:color w:val="000000" w:themeColor="text1"/>
                <w:szCs w:val="24"/>
                <w:lang w:eastAsia="zh-CN"/>
              </w:rPr>
              <w:t>，</w:t>
            </w:r>
            <w:r w:rsidRPr="00B222A7">
              <w:rPr>
                <w:color w:val="000000" w:themeColor="text1"/>
                <w:szCs w:val="24"/>
                <w:lang w:eastAsia="zh-CN"/>
              </w:rPr>
              <w:t xml:space="preserve">and just is recommended standard. It is very important standard for industry for risk management and </w:t>
            </w:r>
            <w:proofErr w:type="gramStart"/>
            <w:r w:rsidRPr="00B222A7">
              <w:rPr>
                <w:color w:val="000000" w:themeColor="text1"/>
                <w:szCs w:val="24"/>
                <w:lang w:eastAsia="zh-CN"/>
              </w:rPr>
              <w:t>prepare</w:t>
            </w:r>
            <w:proofErr w:type="gramEnd"/>
            <w:r w:rsidRPr="00B222A7">
              <w:rPr>
                <w:color w:val="000000" w:themeColor="text1"/>
                <w:szCs w:val="24"/>
                <w:lang w:eastAsia="zh-CN"/>
              </w:rPr>
              <w:t xml:space="preserve"> the relevant documents for registration.</w:t>
            </w:r>
          </w:p>
        </w:tc>
      </w:tr>
    </w:tbl>
    <w:tbl>
      <w:tblPr>
        <w:tblStyle w:val="TableGrid"/>
        <w:tblpPr w:leftFromText="142" w:rightFromText="142" w:vertAnchor="text" w:horzAnchor="margin" w:tblpY="1"/>
        <w:tblW w:w="0" w:type="auto"/>
        <w:tblLook w:val="04A0" w:firstRow="1" w:lastRow="0" w:firstColumn="1" w:lastColumn="0" w:noHBand="0" w:noVBand="1"/>
      </w:tblPr>
      <w:tblGrid>
        <w:gridCol w:w="2547"/>
        <w:gridCol w:w="6803"/>
      </w:tblGrid>
      <w:tr w:rsidR="001C3D44" w14:paraId="77D81A63" w14:textId="77777777" w:rsidTr="001C3D44">
        <w:tc>
          <w:tcPr>
            <w:tcW w:w="2547" w:type="dxa"/>
          </w:tcPr>
          <w:p w14:paraId="5BB3D612" w14:textId="77777777" w:rsidR="001C3D44" w:rsidRDefault="001C3D44" w:rsidP="001C3D44">
            <w:pPr>
              <w:keepNext/>
              <w:rPr>
                <w:lang w:eastAsia="ja-JP"/>
              </w:rPr>
            </w:pPr>
            <w:r>
              <w:rPr>
                <w:rFonts w:hint="eastAsia"/>
                <w:lang w:eastAsia="ja-JP"/>
              </w:rPr>
              <w:t>Europe</w:t>
            </w:r>
          </w:p>
          <w:p w14:paraId="1D285D30" w14:textId="77777777" w:rsidR="001C3D44" w:rsidRDefault="001C3D44" w:rsidP="001C3D44">
            <w:pPr>
              <w:keepNext/>
              <w:rPr>
                <w:lang w:eastAsia="ja-JP"/>
              </w:rPr>
            </w:pPr>
          </w:p>
          <w:p w14:paraId="308BBC73" w14:textId="77777777" w:rsidR="001C3D44" w:rsidRDefault="001C3D44" w:rsidP="001C3D44">
            <w:pPr>
              <w:keepNext/>
              <w:rPr>
                <w:b/>
                <w:bCs/>
                <w:lang w:eastAsia="ja-JP"/>
              </w:rPr>
            </w:pPr>
            <w:r w:rsidRPr="00C46D3F">
              <w:rPr>
                <w:lang w:eastAsia="ja-JP"/>
              </w:rPr>
              <w:t>European Commission</w:t>
            </w:r>
            <w:r>
              <w:rPr>
                <w:rFonts w:hint="eastAsia"/>
                <w:lang w:eastAsia="ja-JP"/>
              </w:rPr>
              <w:t xml:space="preserve"> (EC)</w:t>
            </w:r>
          </w:p>
        </w:tc>
        <w:tc>
          <w:tcPr>
            <w:tcW w:w="6803" w:type="dxa"/>
          </w:tcPr>
          <w:p w14:paraId="6C24329A" w14:textId="41F7F34A" w:rsidR="00B95477" w:rsidRDefault="00B95477" w:rsidP="00B95477">
            <w:pPr>
              <w:rPr>
                <w:lang w:eastAsia="ja-JP"/>
              </w:rPr>
            </w:pPr>
            <w:r>
              <w:rPr>
                <w:lang w:eastAsia="ja-JP"/>
              </w:rPr>
              <w:t>The corresponding European standard EN ISO 14971:2012</w:t>
            </w:r>
            <w:r w:rsidRPr="00A22B31">
              <w:rPr>
                <w:lang w:eastAsia="ja-JP"/>
              </w:rPr>
              <w:t xml:space="preserve"> is a European harmonized standard, which </w:t>
            </w:r>
            <w:r w:rsidR="00BB5B12">
              <w:rPr>
                <w:lang w:eastAsia="ja-JP"/>
              </w:rPr>
              <w:t xml:space="preserve">provides for a </w:t>
            </w:r>
            <w:r>
              <w:rPr>
                <w:lang w:eastAsia="ja-JP"/>
              </w:rPr>
              <w:t>process</w:t>
            </w:r>
            <w:r w:rsidRPr="009F0EFF">
              <w:rPr>
                <w:lang w:eastAsia="ja-JP"/>
              </w:rPr>
              <w:t xml:space="preserve"> to</w:t>
            </w:r>
            <w:r>
              <w:rPr>
                <w:lang w:eastAsia="ja-JP"/>
              </w:rPr>
              <w:t xml:space="preserve"> </w:t>
            </w:r>
            <w:r w:rsidRPr="009F0EFF">
              <w:rPr>
                <w:lang w:eastAsia="ja-JP"/>
              </w:rPr>
              <w:t>address general risk management aspects related to medical devices which are included in the</w:t>
            </w:r>
            <w:r>
              <w:rPr>
                <w:lang w:eastAsia="ja-JP"/>
              </w:rPr>
              <w:t xml:space="preserve"> legal</w:t>
            </w:r>
            <w:r w:rsidRPr="009F0EFF">
              <w:rPr>
                <w:lang w:eastAsia="ja-JP"/>
              </w:rPr>
              <w:t xml:space="preserve"> </w:t>
            </w:r>
            <w:r>
              <w:rPr>
                <w:lang w:eastAsia="ja-JP"/>
              </w:rPr>
              <w:t>r</w:t>
            </w:r>
            <w:r w:rsidRPr="009F0EFF">
              <w:rPr>
                <w:lang w:eastAsia="ja-JP"/>
              </w:rPr>
              <w:t>equirements</w:t>
            </w:r>
            <w:r>
              <w:rPr>
                <w:lang w:eastAsia="ja-JP"/>
              </w:rPr>
              <w:t>. However</w:t>
            </w:r>
            <w:r w:rsidRPr="009F0EFF">
              <w:rPr>
                <w:lang w:eastAsia="ja-JP"/>
              </w:rPr>
              <w:t xml:space="preserve"> it is not the primary goal of the standard to </w:t>
            </w:r>
            <w:r>
              <w:rPr>
                <w:lang w:eastAsia="ja-JP"/>
              </w:rPr>
              <w:t xml:space="preserve">provide direct presumption of conformity with </w:t>
            </w:r>
            <w:r w:rsidRPr="009F0EFF">
              <w:rPr>
                <w:lang w:eastAsia="ja-JP"/>
              </w:rPr>
              <w:t>any of the</w:t>
            </w:r>
            <w:r>
              <w:rPr>
                <w:lang w:eastAsia="ja-JP"/>
              </w:rPr>
              <w:t xml:space="preserve"> specific European relevant legal requirements on devices</w:t>
            </w:r>
            <w:r w:rsidRPr="009F0EFF">
              <w:rPr>
                <w:lang w:eastAsia="ja-JP"/>
              </w:rPr>
              <w:t>. Manufacturers</w:t>
            </w:r>
            <w:r>
              <w:rPr>
                <w:lang w:eastAsia="ja-JP"/>
              </w:rPr>
              <w:t xml:space="preserve"> </w:t>
            </w:r>
            <w:r w:rsidRPr="009F0EFF">
              <w:rPr>
                <w:lang w:eastAsia="ja-JP"/>
              </w:rPr>
              <w:t xml:space="preserve">and conformity assessment bodies will need to feed the </w:t>
            </w:r>
            <w:r>
              <w:rPr>
                <w:lang w:eastAsia="ja-JP"/>
              </w:rPr>
              <w:t>specific legal r</w:t>
            </w:r>
            <w:r w:rsidRPr="009F0EFF">
              <w:rPr>
                <w:lang w:eastAsia="ja-JP"/>
              </w:rPr>
              <w:t xml:space="preserve">equirements </w:t>
            </w:r>
            <w:r>
              <w:rPr>
                <w:lang w:eastAsia="ja-JP"/>
              </w:rPr>
              <w:t xml:space="preserve">on devices </w:t>
            </w:r>
            <w:r w:rsidRPr="009F0EFF">
              <w:rPr>
                <w:lang w:eastAsia="ja-JP"/>
              </w:rPr>
              <w:t>into the risk</w:t>
            </w:r>
            <w:r>
              <w:rPr>
                <w:lang w:eastAsia="ja-JP"/>
              </w:rPr>
              <w:t xml:space="preserve"> </w:t>
            </w:r>
            <w:r w:rsidRPr="009F0EFF">
              <w:rPr>
                <w:lang w:eastAsia="ja-JP"/>
              </w:rPr>
              <w:t xml:space="preserve">management process provided by the standard. </w:t>
            </w:r>
          </w:p>
          <w:p w14:paraId="43B638E7" w14:textId="77777777" w:rsidR="00B95477" w:rsidRPr="00FD6F40" w:rsidRDefault="00B95477" w:rsidP="00B95477">
            <w:pPr>
              <w:rPr>
                <w:lang w:eastAsia="ja-JP"/>
              </w:rPr>
            </w:pPr>
            <w:r>
              <w:rPr>
                <w:lang w:eastAsia="ja-JP"/>
              </w:rPr>
              <w:lastRenderedPageBreak/>
              <w:t>T</w:t>
            </w:r>
            <w:r w:rsidRPr="00A22B31">
              <w:rPr>
                <w:lang w:eastAsia="ja-JP"/>
              </w:rPr>
              <w:t xml:space="preserve">he use of this standard </w:t>
            </w:r>
            <w:r>
              <w:rPr>
                <w:lang w:eastAsia="ja-JP"/>
              </w:rPr>
              <w:t xml:space="preserve">(to the extent specified in its Annex ZZ) </w:t>
            </w:r>
            <w:r w:rsidRPr="00A22B31">
              <w:rPr>
                <w:lang w:eastAsia="ja-JP"/>
              </w:rPr>
              <w:t>provides one solution for compliance with th</w:t>
            </w:r>
            <w:r>
              <w:rPr>
                <w:lang w:eastAsia="ja-JP"/>
              </w:rPr>
              <w:t xml:space="preserve">e relevant </w:t>
            </w:r>
            <w:r w:rsidRPr="00A22B31">
              <w:rPr>
                <w:lang w:eastAsia="ja-JP"/>
              </w:rPr>
              <w:t xml:space="preserve">legal </w:t>
            </w:r>
            <w:r>
              <w:rPr>
                <w:lang w:eastAsia="ja-JP"/>
              </w:rPr>
              <w:t>requirements</w:t>
            </w:r>
            <w:r w:rsidRPr="00A22B31">
              <w:rPr>
                <w:lang w:eastAsia="ja-JP"/>
              </w:rPr>
              <w:t xml:space="preserve">. Compliance </w:t>
            </w:r>
            <w:r w:rsidRPr="00FD6F40">
              <w:rPr>
                <w:lang w:eastAsia="ja-JP"/>
              </w:rPr>
              <w:t>with the legal requirements can however be ensured also by other means.</w:t>
            </w:r>
          </w:p>
          <w:p w14:paraId="7BC96296" w14:textId="77777777" w:rsidR="001C3D44" w:rsidRPr="00B95477" w:rsidRDefault="001C3D44" w:rsidP="001C3D44">
            <w:pPr>
              <w:keepNext/>
              <w:rPr>
                <w:b/>
                <w:bCs/>
                <w:lang w:eastAsia="ja-JP"/>
              </w:rPr>
            </w:pPr>
          </w:p>
        </w:tc>
      </w:tr>
      <w:tr w:rsidR="001C3D44" w14:paraId="6267D3A4" w14:textId="77777777" w:rsidTr="001C3D44">
        <w:tc>
          <w:tcPr>
            <w:tcW w:w="2547" w:type="dxa"/>
          </w:tcPr>
          <w:p w14:paraId="38793895" w14:textId="77777777" w:rsidR="001C3D44" w:rsidRDefault="001C3D44" w:rsidP="001C3D44">
            <w:pPr>
              <w:keepNext/>
              <w:rPr>
                <w:lang w:eastAsia="ja-JP"/>
              </w:rPr>
            </w:pPr>
            <w:r>
              <w:rPr>
                <w:rFonts w:hint="eastAsia"/>
                <w:lang w:eastAsia="ja-JP"/>
              </w:rPr>
              <w:lastRenderedPageBreak/>
              <w:t>Japan</w:t>
            </w:r>
          </w:p>
          <w:p w14:paraId="1D7C8645" w14:textId="77777777" w:rsidR="001C3D44" w:rsidRDefault="001C3D44" w:rsidP="001C3D44">
            <w:pPr>
              <w:keepNext/>
              <w:rPr>
                <w:lang w:eastAsia="ja-JP"/>
              </w:rPr>
            </w:pPr>
          </w:p>
          <w:p w14:paraId="4D37CC3F" w14:textId="77777777" w:rsidR="001C3D44" w:rsidRDefault="001C3D44" w:rsidP="001C3D44">
            <w:pPr>
              <w:keepNext/>
              <w:rPr>
                <w:lang w:eastAsia="ja-JP"/>
              </w:rPr>
            </w:pPr>
            <w:r w:rsidRPr="00C46D3F">
              <w:rPr>
                <w:lang w:eastAsia="ja-JP"/>
              </w:rPr>
              <w:t xml:space="preserve">Ministry of Health, </w:t>
            </w:r>
            <w:proofErr w:type="spellStart"/>
            <w:r w:rsidRPr="00C46D3F">
              <w:rPr>
                <w:lang w:eastAsia="ja-JP"/>
              </w:rPr>
              <w:t>Labour</w:t>
            </w:r>
            <w:proofErr w:type="spellEnd"/>
            <w:r w:rsidRPr="00C46D3F">
              <w:rPr>
                <w:lang w:eastAsia="ja-JP"/>
              </w:rPr>
              <w:t xml:space="preserve"> and Welfare</w:t>
            </w:r>
            <w:r>
              <w:rPr>
                <w:rFonts w:hint="eastAsia"/>
                <w:lang w:eastAsia="ja-JP"/>
              </w:rPr>
              <w:t xml:space="preserve"> (MHLW)</w:t>
            </w:r>
          </w:p>
          <w:p w14:paraId="70A37C27" w14:textId="77777777" w:rsidR="001C3D44" w:rsidRDefault="001C3D44" w:rsidP="001C3D44">
            <w:pPr>
              <w:keepNext/>
              <w:rPr>
                <w:b/>
                <w:bCs/>
                <w:lang w:eastAsia="ja-JP"/>
              </w:rPr>
            </w:pPr>
            <w:r w:rsidRPr="00C46D3F">
              <w:rPr>
                <w:lang w:eastAsia="ja-JP"/>
              </w:rPr>
              <w:t>Pharmaceuticals and Medical Devices Agency</w:t>
            </w:r>
            <w:r>
              <w:rPr>
                <w:rFonts w:hint="eastAsia"/>
                <w:lang w:eastAsia="ja-JP"/>
              </w:rPr>
              <w:t xml:space="preserve"> (PMDA)</w:t>
            </w:r>
          </w:p>
        </w:tc>
        <w:tc>
          <w:tcPr>
            <w:tcW w:w="6803" w:type="dxa"/>
          </w:tcPr>
          <w:p w14:paraId="4ADEDA41" w14:textId="6DA255C7" w:rsidR="001C3D44" w:rsidRPr="00A034BC" w:rsidRDefault="00A034BC" w:rsidP="0047769B">
            <w:pPr>
              <w:keepNext/>
              <w:rPr>
                <w:bCs/>
                <w:lang w:eastAsia="ja-JP"/>
              </w:rPr>
            </w:pPr>
            <w:r>
              <w:rPr>
                <w:rFonts w:hint="eastAsia"/>
                <w:bCs/>
                <w:lang w:eastAsia="ja-JP"/>
              </w:rPr>
              <w:t>All medical devices are</w:t>
            </w:r>
            <w:r w:rsidR="0076256A">
              <w:rPr>
                <w:rFonts w:hint="eastAsia"/>
                <w:bCs/>
                <w:lang w:eastAsia="ja-JP"/>
              </w:rPr>
              <w:t xml:space="preserve"> </w:t>
            </w:r>
            <w:r>
              <w:rPr>
                <w:bCs/>
                <w:lang w:eastAsia="ja-JP"/>
              </w:rPr>
              <w:t>required</w:t>
            </w:r>
            <w:r>
              <w:rPr>
                <w:rFonts w:hint="eastAsia"/>
                <w:bCs/>
                <w:lang w:eastAsia="ja-JP"/>
              </w:rPr>
              <w:t xml:space="preserve"> </w:t>
            </w:r>
            <w:r w:rsidR="0076256A">
              <w:rPr>
                <w:rFonts w:hint="eastAsia"/>
                <w:bCs/>
                <w:lang w:eastAsia="ja-JP"/>
              </w:rPr>
              <w:t>to</w:t>
            </w:r>
            <w:r w:rsidR="00BB5B12">
              <w:rPr>
                <w:rFonts w:hint="eastAsia"/>
                <w:bCs/>
                <w:lang w:eastAsia="ja-JP"/>
              </w:rPr>
              <w:t xml:space="preserve"> satisfy the EPs</w:t>
            </w:r>
            <w:r>
              <w:rPr>
                <w:rFonts w:hint="eastAsia"/>
                <w:bCs/>
                <w:lang w:eastAsia="ja-JP"/>
              </w:rPr>
              <w:t xml:space="preserve"> that align with those defined in </w:t>
            </w:r>
            <w:r>
              <w:rPr>
                <w:bCs/>
                <w:lang w:eastAsia="ja-JP"/>
              </w:rPr>
              <w:t>GHTF/SG1/N68</w:t>
            </w:r>
            <w:r w:rsidRPr="00A034BC">
              <w:rPr>
                <w:bCs/>
                <w:lang w:eastAsia="ja-JP"/>
              </w:rPr>
              <w:t>:2012</w:t>
            </w:r>
            <w:r>
              <w:rPr>
                <w:rFonts w:hint="eastAsia"/>
                <w:bCs/>
                <w:lang w:eastAsia="ja-JP"/>
              </w:rPr>
              <w:t xml:space="preserve"> </w:t>
            </w:r>
            <w:r w:rsidRPr="00A034BC">
              <w:rPr>
                <w:bCs/>
                <w:i/>
                <w:lang w:eastAsia="ja-JP"/>
              </w:rPr>
              <w:t>Essential Principles of Safety and Performance of Medical Devices</w:t>
            </w:r>
            <w:r>
              <w:rPr>
                <w:rFonts w:hint="eastAsia"/>
                <w:bCs/>
                <w:lang w:eastAsia="ja-JP"/>
              </w:rPr>
              <w:t xml:space="preserve">. ISO 14971:2007 can be used for its purpose, which is </w:t>
            </w:r>
            <w:r w:rsidR="0047769B">
              <w:rPr>
                <w:rFonts w:hint="eastAsia"/>
                <w:bCs/>
                <w:lang w:eastAsia="ja-JP"/>
              </w:rPr>
              <w:t xml:space="preserve">clearly referred to </w:t>
            </w:r>
            <w:r w:rsidR="005F1108">
              <w:rPr>
                <w:rFonts w:hint="eastAsia"/>
                <w:bCs/>
                <w:lang w:eastAsia="ja-JP"/>
              </w:rPr>
              <w:t>in checklist of E</w:t>
            </w:r>
            <w:r w:rsidR="005F1108">
              <w:rPr>
                <w:bCs/>
                <w:lang w:eastAsia="ja-JP"/>
              </w:rPr>
              <w:t>Ps</w:t>
            </w:r>
            <w:r w:rsidR="005F1108">
              <w:rPr>
                <w:rFonts w:hint="eastAsia"/>
                <w:bCs/>
                <w:lang w:eastAsia="ja-JP"/>
              </w:rPr>
              <w:t xml:space="preserve"> or </w:t>
            </w:r>
            <w:r w:rsidR="005F1108">
              <w:rPr>
                <w:bCs/>
                <w:lang w:eastAsia="ja-JP"/>
              </w:rPr>
              <w:t>certification</w:t>
            </w:r>
            <w:r w:rsidR="005F1108">
              <w:rPr>
                <w:rFonts w:hint="eastAsia"/>
                <w:bCs/>
                <w:lang w:eastAsia="ja-JP"/>
              </w:rPr>
              <w:t xml:space="preserve">/approval standards for each </w:t>
            </w:r>
            <w:r w:rsidR="005F1108">
              <w:rPr>
                <w:bCs/>
                <w:lang w:eastAsia="ja-JP"/>
              </w:rPr>
              <w:t>medical</w:t>
            </w:r>
            <w:r w:rsidR="005F1108">
              <w:rPr>
                <w:rFonts w:hint="eastAsia"/>
                <w:bCs/>
                <w:lang w:eastAsia="ja-JP"/>
              </w:rPr>
              <w:t xml:space="preserve"> device.</w:t>
            </w:r>
          </w:p>
        </w:tc>
      </w:tr>
      <w:tr w:rsidR="001C3D44" w14:paraId="17EE0995" w14:textId="77777777" w:rsidTr="001C3D44">
        <w:tc>
          <w:tcPr>
            <w:tcW w:w="2547" w:type="dxa"/>
          </w:tcPr>
          <w:p w14:paraId="442F2739" w14:textId="77777777" w:rsidR="001C3D44" w:rsidRDefault="001C3D44" w:rsidP="001C3D44">
            <w:pPr>
              <w:keepNext/>
              <w:rPr>
                <w:lang w:eastAsia="ja-JP"/>
              </w:rPr>
            </w:pPr>
            <w:r>
              <w:rPr>
                <w:rFonts w:hint="eastAsia"/>
                <w:lang w:eastAsia="ja-JP"/>
              </w:rPr>
              <w:t>Russia</w:t>
            </w:r>
          </w:p>
          <w:p w14:paraId="60009E15" w14:textId="77777777" w:rsidR="001C3D44" w:rsidRDefault="001C3D44" w:rsidP="001C3D44">
            <w:pPr>
              <w:keepNext/>
              <w:rPr>
                <w:lang w:eastAsia="ja-JP"/>
              </w:rPr>
            </w:pPr>
          </w:p>
          <w:p w14:paraId="12BD6672" w14:textId="77777777" w:rsidR="001C3D44" w:rsidRDefault="001C3D44" w:rsidP="001C3D44">
            <w:pPr>
              <w:keepNext/>
              <w:rPr>
                <w:lang w:eastAsia="ja-JP"/>
              </w:rPr>
            </w:pPr>
            <w:r w:rsidRPr="00C46D3F">
              <w:rPr>
                <w:lang w:eastAsia="ja-JP"/>
              </w:rPr>
              <w:t>Russian Min</w:t>
            </w:r>
            <w:r>
              <w:rPr>
                <w:rFonts w:hint="eastAsia"/>
                <w:lang w:eastAsia="ja-JP"/>
              </w:rPr>
              <w:t>i</w:t>
            </w:r>
            <w:r w:rsidRPr="00C46D3F">
              <w:rPr>
                <w:lang w:eastAsia="ja-JP"/>
              </w:rPr>
              <w:t>stry of Health</w:t>
            </w:r>
          </w:p>
          <w:p w14:paraId="070FDC97" w14:textId="77777777" w:rsidR="001C3D44" w:rsidRDefault="001C3D44" w:rsidP="001C3D44">
            <w:pPr>
              <w:keepNext/>
              <w:rPr>
                <w:b/>
                <w:bCs/>
                <w:lang w:eastAsia="ja-JP"/>
              </w:rPr>
            </w:pPr>
            <w:proofErr w:type="spellStart"/>
            <w:r>
              <w:rPr>
                <w:lang w:eastAsia="ja-JP"/>
              </w:rPr>
              <w:t>Roszdravnadzor</w:t>
            </w:r>
            <w:proofErr w:type="spellEnd"/>
          </w:p>
        </w:tc>
        <w:tc>
          <w:tcPr>
            <w:tcW w:w="6803" w:type="dxa"/>
          </w:tcPr>
          <w:p w14:paraId="1E0A943C" w14:textId="6626F1CF" w:rsidR="0090799C" w:rsidRPr="0090799C" w:rsidRDefault="0090799C" w:rsidP="0090799C">
            <w:pPr>
              <w:rPr>
                <w:color w:val="000000" w:themeColor="text1"/>
              </w:rPr>
            </w:pPr>
            <w:r w:rsidRPr="0090799C">
              <w:rPr>
                <w:color w:val="000000" w:themeColor="text1"/>
              </w:rPr>
              <w:t>In current regulation using of standards is voluntary in premarket MD evaluation. And Regulator does not recognize any standard which could provide presumption of conformity.</w:t>
            </w:r>
          </w:p>
          <w:p w14:paraId="068E30AD" w14:textId="776AACDC" w:rsidR="0090799C" w:rsidRPr="00D24CE6" w:rsidRDefault="0090799C" w:rsidP="0090799C">
            <w:r w:rsidRPr="0090799C">
              <w:rPr>
                <w:color w:val="000000" w:themeColor="text1"/>
              </w:rPr>
              <w:t>But when on the market, some types of MD have to be certified for particular mandatory standards (list of mandatory standards and types of MD is available on Regulator’s web site). It should be noted, that this regulation is to be canceled on 01/01/2016.</w:t>
            </w:r>
          </w:p>
        </w:tc>
      </w:tr>
      <w:tr w:rsidR="001C3D44" w14:paraId="10348058" w14:textId="77777777" w:rsidTr="001C3D44">
        <w:tc>
          <w:tcPr>
            <w:tcW w:w="2547" w:type="dxa"/>
          </w:tcPr>
          <w:p w14:paraId="21F25D77" w14:textId="77777777" w:rsidR="001C3D44" w:rsidRDefault="001C3D44" w:rsidP="001C3D44">
            <w:pPr>
              <w:keepNext/>
              <w:rPr>
                <w:lang w:eastAsia="ja-JP"/>
              </w:rPr>
            </w:pPr>
            <w:r>
              <w:rPr>
                <w:rFonts w:hint="eastAsia"/>
                <w:lang w:eastAsia="ja-JP"/>
              </w:rPr>
              <w:t>The United States of America</w:t>
            </w:r>
          </w:p>
          <w:p w14:paraId="69F86AE1" w14:textId="77777777" w:rsidR="001C3D44" w:rsidRDefault="001C3D44" w:rsidP="001C3D44">
            <w:pPr>
              <w:keepNext/>
              <w:rPr>
                <w:lang w:eastAsia="ja-JP"/>
              </w:rPr>
            </w:pPr>
          </w:p>
          <w:p w14:paraId="7A2932F8" w14:textId="77777777" w:rsidR="001C3D44" w:rsidRDefault="001C3D44" w:rsidP="001C3D44">
            <w:pPr>
              <w:keepNext/>
              <w:rPr>
                <w:b/>
                <w:bCs/>
                <w:lang w:eastAsia="ja-JP"/>
              </w:rPr>
            </w:pPr>
            <w:r w:rsidRPr="00C46D3F">
              <w:rPr>
                <w:lang w:eastAsia="ja-JP"/>
              </w:rPr>
              <w:t>US Food and Drug Administration</w:t>
            </w:r>
            <w:r>
              <w:rPr>
                <w:rFonts w:hint="eastAsia"/>
                <w:lang w:eastAsia="ja-JP"/>
              </w:rPr>
              <w:t xml:space="preserve"> (US FDA)</w:t>
            </w:r>
          </w:p>
        </w:tc>
        <w:tc>
          <w:tcPr>
            <w:tcW w:w="6803" w:type="dxa"/>
          </w:tcPr>
          <w:p w14:paraId="1C5CA207" w14:textId="28C09C58" w:rsidR="001C3D44" w:rsidRPr="00B95477" w:rsidRDefault="00B95477" w:rsidP="00B95477">
            <w:pPr>
              <w:rPr>
                <w:lang w:eastAsia="ja-JP"/>
              </w:rPr>
            </w:pPr>
            <w:r w:rsidRPr="00080B28">
              <w:rPr>
                <w:bCs/>
                <w:lang w:eastAsia="ja-JP"/>
              </w:rPr>
              <w:t xml:space="preserve">ISO 14971:2007 </w:t>
            </w:r>
            <w:r>
              <w:rPr>
                <w:bCs/>
                <w:lang w:eastAsia="ja-JP"/>
              </w:rPr>
              <w:t xml:space="preserve">is recognized by the US FDA medical device program as a consensus standard </w:t>
            </w:r>
            <w:r w:rsidRPr="006E7936">
              <w:rPr>
                <w:bCs/>
                <w:lang w:eastAsia="ja-JP"/>
              </w:rPr>
              <w:t xml:space="preserve">for which a person may submit a declaration of conformity in order to meet a premarket submission requirement or </w:t>
            </w:r>
            <w:r>
              <w:rPr>
                <w:bCs/>
                <w:lang w:eastAsia="ja-JP"/>
              </w:rPr>
              <w:t>other requirements</w:t>
            </w:r>
            <w:r w:rsidRPr="006E7936">
              <w:rPr>
                <w:bCs/>
                <w:lang w:eastAsia="ja-JP"/>
              </w:rPr>
              <w:t xml:space="preserve"> to which a standard is applicable.</w:t>
            </w:r>
            <w:r>
              <w:rPr>
                <w:bCs/>
                <w:lang w:eastAsia="ja-JP"/>
              </w:rPr>
              <w:t xml:space="preserve">  </w:t>
            </w:r>
            <w:r>
              <w:t xml:space="preserve"> </w:t>
            </w:r>
            <w:r w:rsidRPr="009B4859">
              <w:rPr>
                <w:bCs/>
                <w:lang w:eastAsia="ja-JP"/>
              </w:rPr>
              <w:t>US FDA by recognizing ISO 14971:2007 is acknowledging that the standard provides a framework to establish a risk management system and processes that are an integral part of a manufacturer’s quality management system and are applied to all stages of the lifecycle of the medical device.  The principles of risk management discussed in the standard can assist in managing the risks associated with the use of medical devices.</w:t>
            </w:r>
          </w:p>
        </w:tc>
      </w:tr>
    </w:tbl>
    <w:p w14:paraId="492C6252" w14:textId="77777777" w:rsidR="00485EEE" w:rsidRDefault="00485EEE" w:rsidP="00DF2F9D">
      <w:pPr>
        <w:keepNext/>
        <w:rPr>
          <w:b/>
          <w:bCs/>
          <w:lang w:eastAsia="ja-JP"/>
        </w:rPr>
      </w:pPr>
    </w:p>
    <w:p w14:paraId="75C1AE5F" w14:textId="7B38CE80" w:rsidR="00631083" w:rsidRPr="005F1108" w:rsidRDefault="00631083" w:rsidP="00DF353B">
      <w:pPr>
        <w:rPr>
          <w:lang w:eastAsia="ja-JP"/>
        </w:rPr>
      </w:pPr>
    </w:p>
    <w:sectPr w:rsidR="00631083" w:rsidRPr="005F1108">
      <w:headerReference w:type="default" r:id="rId13"/>
      <w:footerReference w:type="default" r:id="rId14"/>
      <w:pgSz w:w="12240" w:h="15840" w:code="1"/>
      <w:pgMar w:top="11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C6FDB" w14:textId="77777777" w:rsidR="0035172A" w:rsidRDefault="0035172A">
      <w:r>
        <w:separator/>
      </w:r>
    </w:p>
  </w:endnote>
  <w:endnote w:type="continuationSeparator" w:id="0">
    <w:p w14:paraId="5D8A67F8" w14:textId="77777777" w:rsidR="0035172A" w:rsidRDefault="0035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B42C7B" w14:paraId="755E9577" w14:textId="77777777">
      <w:tc>
        <w:tcPr>
          <w:tcW w:w="4788" w:type="dxa"/>
        </w:tcPr>
        <w:p w14:paraId="306F3557" w14:textId="76A3B7E3" w:rsidR="00B42C7B" w:rsidRDefault="0080308A">
          <w:pPr>
            <w:pStyle w:val="Footer"/>
            <w:rPr>
              <w:sz w:val="20"/>
              <w:lang w:eastAsia="ja-JP"/>
            </w:rPr>
          </w:pPr>
          <w:r>
            <w:rPr>
              <w:rFonts w:hint="eastAsia"/>
              <w:sz w:val="20"/>
              <w:lang w:eastAsia="ja-JP"/>
            </w:rPr>
            <w:t>2</w:t>
          </w:r>
          <w:r w:rsidR="00631083">
            <w:rPr>
              <w:sz w:val="20"/>
            </w:rPr>
            <w:t xml:space="preserve"> </w:t>
          </w:r>
          <w:r w:rsidR="009A612F">
            <w:rPr>
              <w:sz w:val="20"/>
              <w:lang w:eastAsia="ja-JP"/>
            </w:rPr>
            <w:t>October</w:t>
          </w:r>
          <w:r w:rsidR="00631083">
            <w:rPr>
              <w:sz w:val="20"/>
            </w:rPr>
            <w:t xml:space="preserve"> 201</w:t>
          </w:r>
          <w:r w:rsidR="00631083">
            <w:rPr>
              <w:rFonts w:hint="eastAsia"/>
              <w:sz w:val="20"/>
              <w:lang w:eastAsia="ja-JP"/>
            </w:rPr>
            <w:t>5</w:t>
          </w:r>
        </w:p>
      </w:tc>
      <w:tc>
        <w:tcPr>
          <w:tcW w:w="4788" w:type="dxa"/>
        </w:tcPr>
        <w:p w14:paraId="355E1529" w14:textId="77777777" w:rsidR="00B42C7B" w:rsidRDefault="00B42C7B">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AD6E68">
            <w:rPr>
              <w:noProof/>
              <w:snapToGrid w:val="0"/>
              <w:sz w:val="20"/>
            </w:rPr>
            <w:t>3</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AD6E68">
            <w:rPr>
              <w:noProof/>
              <w:snapToGrid w:val="0"/>
              <w:sz w:val="20"/>
            </w:rPr>
            <w:t>3</w:t>
          </w:r>
          <w:r>
            <w:rPr>
              <w:snapToGrid w:val="0"/>
              <w:sz w:val="20"/>
            </w:rPr>
            <w:fldChar w:fldCharType="end"/>
          </w:r>
        </w:p>
      </w:tc>
    </w:tr>
  </w:tbl>
  <w:p w14:paraId="4898F2B0" w14:textId="77777777" w:rsidR="00B42C7B" w:rsidRDefault="00B42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5569C" w14:textId="77777777" w:rsidR="0035172A" w:rsidRDefault="0035172A">
      <w:r>
        <w:separator/>
      </w:r>
    </w:p>
  </w:footnote>
  <w:footnote w:type="continuationSeparator" w:id="0">
    <w:p w14:paraId="2807615D" w14:textId="77777777" w:rsidR="0035172A" w:rsidRDefault="00351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848EF" w14:textId="77777777" w:rsidR="00B42C7B" w:rsidRPr="00865C12" w:rsidRDefault="00B42C7B" w:rsidP="00B42C7B">
    <w:pPr>
      <w:rPr>
        <w:b/>
      </w:rPr>
    </w:pPr>
  </w:p>
  <w:p w14:paraId="55F29692" w14:textId="77777777" w:rsidR="00B42C7B" w:rsidRDefault="00B42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1C86D" w14:textId="074616DD" w:rsidR="00DC70D4" w:rsidRDefault="00DC70D4" w:rsidP="00855EBA">
    <w:pPr>
      <w:pStyle w:val="Header"/>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16690" w14:textId="79DCAD8B" w:rsidR="00B42C7B" w:rsidRDefault="00631083">
    <w:pPr>
      <w:pStyle w:val="Header"/>
      <w:jc w:val="center"/>
      <w:rPr>
        <w:sz w:val="20"/>
        <w:lang w:eastAsia="ja-JP"/>
      </w:rPr>
    </w:pPr>
    <w:r>
      <w:rPr>
        <w:sz w:val="20"/>
      </w:rPr>
      <w:t>IMDR</w:t>
    </w:r>
    <w:r w:rsidR="00236992">
      <w:rPr>
        <w:sz w:val="20"/>
      </w:rPr>
      <w:t>F</w:t>
    </w:r>
    <w:r>
      <w:rPr>
        <w:sz w:val="20"/>
      </w:rPr>
      <w:t>/</w:t>
    </w:r>
    <w:r>
      <w:rPr>
        <w:rFonts w:hint="eastAsia"/>
        <w:sz w:val="20"/>
        <w:lang w:eastAsia="ja-JP"/>
      </w:rPr>
      <w:t>MC/</w:t>
    </w:r>
    <w:r>
      <w:rPr>
        <w:sz w:val="20"/>
      </w:rPr>
      <w:t>N</w:t>
    </w:r>
    <w:r w:rsidR="009A612F">
      <w:rPr>
        <w:rFonts w:hint="eastAsia"/>
        <w:sz w:val="20"/>
        <w:lang w:eastAsia="ja-JP"/>
      </w:rPr>
      <w:t xml:space="preserve">34 </w:t>
    </w:r>
    <w:r>
      <w:rPr>
        <w:sz w:val="20"/>
      </w:rPr>
      <w:t>FINAL:</w:t>
    </w:r>
    <w:r w:rsidR="009A612F">
      <w:rPr>
        <w:sz w:val="20"/>
      </w:rPr>
      <w:t xml:space="preserve"> </w:t>
    </w:r>
    <w:r>
      <w:rPr>
        <w:sz w:val="20"/>
      </w:rPr>
      <w:t>201</w:t>
    </w:r>
    <w:r>
      <w:rPr>
        <w:rFonts w:hint="eastAsia"/>
        <w:sz w:val="20"/>
        <w:lang w:eastAsia="ja-JP"/>
      </w:rPr>
      <w:t>5</w:t>
    </w:r>
  </w:p>
  <w:p w14:paraId="4448606E" w14:textId="77777777" w:rsidR="00B42C7B" w:rsidRPr="001732F8" w:rsidRDefault="00B42C7B">
    <w:pPr>
      <w:pStyle w:val="Header"/>
      <w:pBdr>
        <w:bottom w:val="single" w:sz="4" w:space="1" w:color="auto"/>
      </w:pBdr>
      <w:jc w:val="center"/>
      <w:rPr>
        <w:sz w:val="16"/>
        <w:szCs w:val="16"/>
      </w:rPr>
    </w:pPr>
  </w:p>
  <w:p w14:paraId="27A825B1" w14:textId="77777777" w:rsidR="00B42C7B" w:rsidRDefault="00B42C7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3059E"/>
    <w:rsid w:val="000F16FC"/>
    <w:rsid w:val="00123D25"/>
    <w:rsid w:val="001732F8"/>
    <w:rsid w:val="00176E0B"/>
    <w:rsid w:val="001C3D44"/>
    <w:rsid w:val="001F3FC4"/>
    <w:rsid w:val="002116A7"/>
    <w:rsid w:val="00221F01"/>
    <w:rsid w:val="00221F28"/>
    <w:rsid w:val="00236992"/>
    <w:rsid w:val="002705F3"/>
    <w:rsid w:val="002E7AD8"/>
    <w:rsid w:val="0035172A"/>
    <w:rsid w:val="003A3F2C"/>
    <w:rsid w:val="004340BF"/>
    <w:rsid w:val="0043538F"/>
    <w:rsid w:val="004617AC"/>
    <w:rsid w:val="004679BA"/>
    <w:rsid w:val="00474803"/>
    <w:rsid w:val="0047769B"/>
    <w:rsid w:val="00485EEE"/>
    <w:rsid w:val="004A5388"/>
    <w:rsid w:val="004A5607"/>
    <w:rsid w:val="004C00E0"/>
    <w:rsid w:val="004D2146"/>
    <w:rsid w:val="005219B9"/>
    <w:rsid w:val="005727D2"/>
    <w:rsid w:val="005E20AB"/>
    <w:rsid w:val="005F0560"/>
    <w:rsid w:val="005F1108"/>
    <w:rsid w:val="005F453C"/>
    <w:rsid w:val="00621BB0"/>
    <w:rsid w:val="00631083"/>
    <w:rsid w:val="00641029"/>
    <w:rsid w:val="00643A49"/>
    <w:rsid w:val="006B30A4"/>
    <w:rsid w:val="006D3741"/>
    <w:rsid w:val="006D721E"/>
    <w:rsid w:val="007325B5"/>
    <w:rsid w:val="0076256A"/>
    <w:rsid w:val="007679EF"/>
    <w:rsid w:val="007A4707"/>
    <w:rsid w:val="007E360C"/>
    <w:rsid w:val="0080308A"/>
    <w:rsid w:val="00825ACA"/>
    <w:rsid w:val="00830B00"/>
    <w:rsid w:val="0083586F"/>
    <w:rsid w:val="00855EBA"/>
    <w:rsid w:val="00865C12"/>
    <w:rsid w:val="008A0951"/>
    <w:rsid w:val="008C212F"/>
    <w:rsid w:val="008D097B"/>
    <w:rsid w:val="0090176F"/>
    <w:rsid w:val="0090799C"/>
    <w:rsid w:val="00933580"/>
    <w:rsid w:val="009935C1"/>
    <w:rsid w:val="009A612F"/>
    <w:rsid w:val="009C42C5"/>
    <w:rsid w:val="00A034BC"/>
    <w:rsid w:val="00A22B31"/>
    <w:rsid w:val="00A43F42"/>
    <w:rsid w:val="00A51946"/>
    <w:rsid w:val="00AC2B94"/>
    <w:rsid w:val="00AC5924"/>
    <w:rsid w:val="00AD3291"/>
    <w:rsid w:val="00AD6E68"/>
    <w:rsid w:val="00B0154B"/>
    <w:rsid w:val="00B31FE2"/>
    <w:rsid w:val="00B42C7B"/>
    <w:rsid w:val="00B56AB0"/>
    <w:rsid w:val="00B65343"/>
    <w:rsid w:val="00B95477"/>
    <w:rsid w:val="00BA1E3E"/>
    <w:rsid w:val="00BA253A"/>
    <w:rsid w:val="00BA7B80"/>
    <w:rsid w:val="00BB5B12"/>
    <w:rsid w:val="00BC61A2"/>
    <w:rsid w:val="00BC76BA"/>
    <w:rsid w:val="00C0663E"/>
    <w:rsid w:val="00C46D3F"/>
    <w:rsid w:val="00CD519C"/>
    <w:rsid w:val="00D101E8"/>
    <w:rsid w:val="00D24CE6"/>
    <w:rsid w:val="00DC70D4"/>
    <w:rsid w:val="00DF2F9D"/>
    <w:rsid w:val="00DF353B"/>
    <w:rsid w:val="00E80E08"/>
    <w:rsid w:val="00F70026"/>
    <w:rsid w:val="00FC2797"/>
    <w:rsid w:val="00FD3282"/>
    <w:rsid w:val="00FD54EB"/>
    <w:rsid w:val="00FF2B91"/>
    <w:rsid w:val="00FF4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0B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FootnoteText">
    <w:name w:val="footnote text"/>
    <w:basedOn w:val="Normal"/>
    <w:link w:val="FootnoteTextChar"/>
    <w:semiHidden/>
    <w:unhideWhenUsed/>
    <w:rsid w:val="00A43F42"/>
    <w:rPr>
      <w:sz w:val="20"/>
      <w:lang w:eastAsia="en-AU" w:bidi="he-IL"/>
    </w:rPr>
  </w:style>
  <w:style w:type="character" w:customStyle="1" w:styleId="FootnoteTextChar">
    <w:name w:val="Footnote Text Char"/>
    <w:basedOn w:val="DefaultParagraphFont"/>
    <w:link w:val="FootnoteText"/>
    <w:semiHidden/>
    <w:rsid w:val="00A43F42"/>
    <w:rPr>
      <w:lang w:eastAsia="en-AU" w:bidi="he-IL"/>
    </w:rPr>
  </w:style>
  <w:style w:type="character" w:styleId="FootnoteReference">
    <w:name w:val="footnote reference"/>
    <w:semiHidden/>
    <w:unhideWhenUsed/>
    <w:rsid w:val="00A43F42"/>
    <w:rPr>
      <w:vertAlign w:val="superscript"/>
    </w:rPr>
  </w:style>
  <w:style w:type="table" w:styleId="TableGrid">
    <w:name w:val="Table Grid"/>
    <w:basedOn w:val="TableNormal"/>
    <w:uiPriority w:val="59"/>
    <w:rsid w:val="0063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F1108"/>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9C42C5"/>
  </w:style>
  <w:style w:type="character" w:styleId="Hyperlink">
    <w:name w:val="Hyperlink"/>
    <w:basedOn w:val="DefaultParagraphFont"/>
    <w:uiPriority w:val="99"/>
    <w:unhideWhenUsed/>
    <w:rsid w:val="009C42C5"/>
    <w:rPr>
      <w:color w:val="0000FF" w:themeColor="hyperlink"/>
      <w:u w:val="single"/>
    </w:rPr>
  </w:style>
  <w:style w:type="character" w:styleId="CommentReference">
    <w:name w:val="annotation reference"/>
    <w:basedOn w:val="DefaultParagraphFont"/>
    <w:uiPriority w:val="99"/>
    <w:semiHidden/>
    <w:unhideWhenUsed/>
    <w:rsid w:val="004A5607"/>
    <w:rPr>
      <w:sz w:val="18"/>
      <w:szCs w:val="18"/>
    </w:rPr>
  </w:style>
  <w:style w:type="paragraph" w:styleId="CommentText">
    <w:name w:val="annotation text"/>
    <w:basedOn w:val="Normal"/>
    <w:link w:val="CommentTextChar"/>
    <w:uiPriority w:val="99"/>
    <w:semiHidden/>
    <w:unhideWhenUsed/>
    <w:rsid w:val="004A5607"/>
  </w:style>
  <w:style w:type="character" w:customStyle="1" w:styleId="CommentTextChar">
    <w:name w:val="Comment Text Char"/>
    <w:basedOn w:val="DefaultParagraphFont"/>
    <w:link w:val="CommentText"/>
    <w:uiPriority w:val="99"/>
    <w:semiHidden/>
    <w:rsid w:val="004A5607"/>
    <w:rPr>
      <w:sz w:val="24"/>
    </w:rPr>
  </w:style>
  <w:style w:type="paragraph" w:styleId="CommentSubject">
    <w:name w:val="annotation subject"/>
    <w:basedOn w:val="CommentText"/>
    <w:next w:val="CommentText"/>
    <w:link w:val="CommentSubjectChar"/>
    <w:uiPriority w:val="99"/>
    <w:semiHidden/>
    <w:unhideWhenUsed/>
    <w:rsid w:val="004A5607"/>
    <w:rPr>
      <w:b/>
      <w:bCs/>
    </w:rPr>
  </w:style>
  <w:style w:type="character" w:customStyle="1" w:styleId="CommentSubjectChar">
    <w:name w:val="Comment Subject Char"/>
    <w:basedOn w:val="CommentTextChar"/>
    <w:link w:val="CommentSubject"/>
    <w:uiPriority w:val="99"/>
    <w:semiHidden/>
    <w:rsid w:val="004A5607"/>
    <w:rPr>
      <w:b/>
      <w:bCs/>
      <w:sz w:val="24"/>
    </w:rPr>
  </w:style>
  <w:style w:type="character" w:customStyle="1" w:styleId="st1">
    <w:name w:val="st1"/>
    <w:basedOn w:val="DefaultParagraphFont"/>
    <w:rsid w:val="00AC2B94"/>
  </w:style>
  <w:style w:type="paragraph" w:customStyle="1" w:styleId="Default">
    <w:name w:val="Default"/>
    <w:rsid w:val="00B95477"/>
    <w:pPr>
      <w:autoSpaceDE w:val="0"/>
      <w:autoSpaceDN w:val="0"/>
      <w:adjustRightInd w:val="0"/>
    </w:pPr>
    <w:rPr>
      <w:rFonts w:ascii="Arial" w:hAnsi="Arial" w:cs="Arial"/>
      <w:color w:val="000000"/>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FootnoteText">
    <w:name w:val="footnote text"/>
    <w:basedOn w:val="Normal"/>
    <w:link w:val="FootnoteTextChar"/>
    <w:semiHidden/>
    <w:unhideWhenUsed/>
    <w:rsid w:val="00A43F42"/>
    <w:rPr>
      <w:sz w:val="20"/>
      <w:lang w:eastAsia="en-AU" w:bidi="he-IL"/>
    </w:rPr>
  </w:style>
  <w:style w:type="character" w:customStyle="1" w:styleId="FootnoteTextChar">
    <w:name w:val="Footnote Text Char"/>
    <w:basedOn w:val="DefaultParagraphFont"/>
    <w:link w:val="FootnoteText"/>
    <w:semiHidden/>
    <w:rsid w:val="00A43F42"/>
    <w:rPr>
      <w:lang w:eastAsia="en-AU" w:bidi="he-IL"/>
    </w:rPr>
  </w:style>
  <w:style w:type="character" w:styleId="FootnoteReference">
    <w:name w:val="footnote reference"/>
    <w:semiHidden/>
    <w:unhideWhenUsed/>
    <w:rsid w:val="00A43F42"/>
    <w:rPr>
      <w:vertAlign w:val="superscript"/>
    </w:rPr>
  </w:style>
  <w:style w:type="table" w:styleId="TableGrid">
    <w:name w:val="Table Grid"/>
    <w:basedOn w:val="TableNormal"/>
    <w:uiPriority w:val="59"/>
    <w:rsid w:val="0063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F1108"/>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9C42C5"/>
  </w:style>
  <w:style w:type="character" w:styleId="Hyperlink">
    <w:name w:val="Hyperlink"/>
    <w:basedOn w:val="DefaultParagraphFont"/>
    <w:uiPriority w:val="99"/>
    <w:unhideWhenUsed/>
    <w:rsid w:val="009C42C5"/>
    <w:rPr>
      <w:color w:val="0000FF" w:themeColor="hyperlink"/>
      <w:u w:val="single"/>
    </w:rPr>
  </w:style>
  <w:style w:type="character" w:styleId="CommentReference">
    <w:name w:val="annotation reference"/>
    <w:basedOn w:val="DefaultParagraphFont"/>
    <w:uiPriority w:val="99"/>
    <w:semiHidden/>
    <w:unhideWhenUsed/>
    <w:rsid w:val="004A5607"/>
    <w:rPr>
      <w:sz w:val="18"/>
      <w:szCs w:val="18"/>
    </w:rPr>
  </w:style>
  <w:style w:type="paragraph" w:styleId="CommentText">
    <w:name w:val="annotation text"/>
    <w:basedOn w:val="Normal"/>
    <w:link w:val="CommentTextChar"/>
    <w:uiPriority w:val="99"/>
    <w:semiHidden/>
    <w:unhideWhenUsed/>
    <w:rsid w:val="004A5607"/>
  </w:style>
  <w:style w:type="character" w:customStyle="1" w:styleId="CommentTextChar">
    <w:name w:val="Comment Text Char"/>
    <w:basedOn w:val="DefaultParagraphFont"/>
    <w:link w:val="CommentText"/>
    <w:uiPriority w:val="99"/>
    <w:semiHidden/>
    <w:rsid w:val="004A5607"/>
    <w:rPr>
      <w:sz w:val="24"/>
    </w:rPr>
  </w:style>
  <w:style w:type="paragraph" w:styleId="CommentSubject">
    <w:name w:val="annotation subject"/>
    <w:basedOn w:val="CommentText"/>
    <w:next w:val="CommentText"/>
    <w:link w:val="CommentSubjectChar"/>
    <w:uiPriority w:val="99"/>
    <w:semiHidden/>
    <w:unhideWhenUsed/>
    <w:rsid w:val="004A5607"/>
    <w:rPr>
      <w:b/>
      <w:bCs/>
    </w:rPr>
  </w:style>
  <w:style w:type="character" w:customStyle="1" w:styleId="CommentSubjectChar">
    <w:name w:val="Comment Subject Char"/>
    <w:basedOn w:val="CommentTextChar"/>
    <w:link w:val="CommentSubject"/>
    <w:uiPriority w:val="99"/>
    <w:semiHidden/>
    <w:rsid w:val="004A5607"/>
    <w:rPr>
      <w:b/>
      <w:bCs/>
      <w:sz w:val="24"/>
    </w:rPr>
  </w:style>
  <w:style w:type="character" w:customStyle="1" w:styleId="st1">
    <w:name w:val="st1"/>
    <w:basedOn w:val="DefaultParagraphFont"/>
    <w:rsid w:val="00AC2B94"/>
  </w:style>
  <w:style w:type="paragraph" w:customStyle="1" w:styleId="Default">
    <w:name w:val="Default"/>
    <w:rsid w:val="00B95477"/>
    <w:pPr>
      <w:autoSpaceDE w:val="0"/>
      <w:autoSpaceDN w:val="0"/>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5870">
      <w:bodyDiv w:val="1"/>
      <w:marLeft w:val="0"/>
      <w:marRight w:val="0"/>
      <w:marTop w:val="0"/>
      <w:marBottom w:val="0"/>
      <w:divBdr>
        <w:top w:val="none" w:sz="0" w:space="0" w:color="auto"/>
        <w:left w:val="none" w:sz="0" w:space="0" w:color="auto"/>
        <w:bottom w:val="none" w:sz="0" w:space="0" w:color="auto"/>
        <w:right w:val="none" w:sz="0" w:space="0" w:color="auto"/>
      </w:divBdr>
    </w:div>
    <w:div w:id="600994032">
      <w:bodyDiv w:val="1"/>
      <w:marLeft w:val="0"/>
      <w:marRight w:val="0"/>
      <w:marTop w:val="0"/>
      <w:marBottom w:val="0"/>
      <w:divBdr>
        <w:top w:val="none" w:sz="0" w:space="0" w:color="auto"/>
        <w:left w:val="none" w:sz="0" w:space="0" w:color="auto"/>
        <w:bottom w:val="none" w:sz="0" w:space="0" w:color="auto"/>
        <w:right w:val="none" w:sz="0" w:space="0" w:color="auto"/>
      </w:divBdr>
    </w:div>
    <w:div w:id="940256495">
      <w:bodyDiv w:val="1"/>
      <w:marLeft w:val="0"/>
      <w:marRight w:val="0"/>
      <w:marTop w:val="0"/>
      <w:marBottom w:val="0"/>
      <w:divBdr>
        <w:top w:val="none" w:sz="0" w:space="0" w:color="auto"/>
        <w:left w:val="none" w:sz="0" w:space="0" w:color="auto"/>
        <w:bottom w:val="none" w:sz="0" w:space="0" w:color="auto"/>
        <w:right w:val="none" w:sz="0" w:space="0" w:color="auto"/>
      </w:divBdr>
    </w:div>
    <w:div w:id="181864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DAAAF-80B3-449F-A828-E37097BE8DA8}">
  <ds:schemaRefs>
    <ds:schemaRef ds:uri="http://schemas.microsoft.com/office/2006/customDocumentInformationPanel"/>
  </ds:schemaRefs>
</ds:datastoreItem>
</file>

<file path=customXml/itemProps2.xml><?xml version="1.0" encoding="utf-8"?>
<ds:datastoreItem xmlns:ds="http://schemas.openxmlformats.org/officeDocument/2006/customXml" ds:itemID="{351BDE44-1021-49FB-810D-B05A51FF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16</TotalTime>
  <Pages>3</Pages>
  <Words>798</Words>
  <Characters>4554</Characters>
  <Application>Microsoft Office Word</Application>
  <DocSecurity>0</DocSecurity>
  <Lines>37</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Statement regarding Use of ISO 14155:2011 “Clinical investigation of medical devices for human subjects – Good clinical practice” </vt:lpstr>
      <vt:lpstr>Statement regarding Use of ISO 14155:2011 “Clinical investigation of medical devices for human subjects – Good clinical practice” </vt:lpstr>
    </vt:vector>
  </TitlesOfParts>
  <Company>IMDRF</Company>
  <LinksUpToDate>false</LinksUpToDate>
  <CharactersWithSpaces>5342</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regarding Use of ISO 14155:2011 “Clinical investigation of medical devices for human subjects – Good clinical practice” </dc:title>
  <dc:subject>procedural document</dc:subject>
  <dc:creator>International Medical Device Regulators Forum</dc:creator>
  <cp:keywords>medical devices, regulation, imdrf</cp:keywords>
  <cp:lastModifiedBy>Sheppard, Fran</cp:lastModifiedBy>
  <cp:revision>7</cp:revision>
  <cp:lastPrinted>2015-09-01T01:23:00Z</cp:lastPrinted>
  <dcterms:created xsi:type="dcterms:W3CDTF">2015-09-29T03:01:00Z</dcterms:created>
  <dcterms:modified xsi:type="dcterms:W3CDTF">2015-10-19T10:33:00Z</dcterms:modified>
</cp:coreProperties>
</file>