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A4C" w:rsidRDefault="00CD53AD" w:rsidP="00CD53AD">
      <w:pPr>
        <w:pBdr>
          <w:top w:val="single" w:sz="6" w:space="0" w:color="000000"/>
          <w:left w:val="single" w:sz="6" w:space="0" w:color="000000"/>
          <w:bottom w:val="single" w:sz="6" w:space="0" w:color="000000"/>
          <w:right w:val="single" w:sz="6" w:space="0" w:color="000000"/>
        </w:pBdr>
        <w:wordWrap w:val="0"/>
        <w:jc w:val="right"/>
        <w:rPr>
          <w:sz w:val="28"/>
        </w:rPr>
      </w:pPr>
      <w:r>
        <w:rPr>
          <w:b/>
        </w:rPr>
        <w:t>IMDRF/RPS WG/N32 FINAL: 2015</w:t>
      </w:r>
    </w:p>
    <w:p w:rsidR="00534A4C" w:rsidRDefault="00534A4C" w:rsidP="009C4B4B">
      <w:pPr>
        <w:pBdr>
          <w:top w:val="single" w:sz="6" w:space="0" w:color="000000"/>
          <w:left w:val="single" w:sz="6" w:space="0" w:color="000000"/>
          <w:bottom w:val="single" w:sz="6" w:space="0" w:color="000000"/>
          <w:right w:val="single" w:sz="6" w:space="0" w:color="000000"/>
        </w:pBdr>
        <w:jc w:val="right"/>
        <w:rPr>
          <w:sz w:val="28"/>
        </w:rPr>
      </w:pPr>
    </w:p>
    <w:p w:rsidR="00534A4C" w:rsidRDefault="009C4B4B" w:rsidP="009C4B4B">
      <w:pPr>
        <w:pBdr>
          <w:top w:val="single" w:sz="6" w:space="0" w:color="000000"/>
          <w:left w:val="single" w:sz="6" w:space="0" w:color="000000"/>
          <w:bottom w:val="single" w:sz="6" w:space="0" w:color="000000"/>
          <w:right w:val="single" w:sz="6" w:space="0" w:color="000000"/>
        </w:pBdr>
        <w:tabs>
          <w:tab w:val="left" w:pos="9384"/>
        </w:tabs>
        <w:rPr>
          <w:sz w:val="28"/>
        </w:rPr>
      </w:pPr>
      <w:r>
        <w:rPr>
          <w:sz w:val="28"/>
        </w:rPr>
        <w:tab/>
      </w:r>
    </w:p>
    <w:p w:rsidR="006E1608" w:rsidRDefault="006E1608" w:rsidP="009C4B4B">
      <w:pPr>
        <w:pBdr>
          <w:top w:val="single" w:sz="6" w:space="0" w:color="000000"/>
          <w:left w:val="single" w:sz="6" w:space="0" w:color="000000"/>
          <w:bottom w:val="single" w:sz="6" w:space="0" w:color="000000"/>
          <w:right w:val="single" w:sz="6" w:space="0" w:color="000000"/>
        </w:pBdr>
        <w:tabs>
          <w:tab w:val="left" w:pos="9384"/>
        </w:tabs>
        <w:rPr>
          <w:sz w:val="28"/>
        </w:rPr>
      </w:pPr>
    </w:p>
    <w:p w:rsidR="00534A4C" w:rsidRDefault="00534A4C" w:rsidP="00534A4C">
      <w:pPr>
        <w:pBdr>
          <w:top w:val="single" w:sz="6" w:space="0" w:color="000000"/>
          <w:left w:val="single" w:sz="6" w:space="0" w:color="000000"/>
          <w:bottom w:val="single" w:sz="6" w:space="0" w:color="000000"/>
          <w:right w:val="single" w:sz="6" w:space="0" w:color="000000"/>
        </w:pBdr>
        <w:rPr>
          <w:sz w:val="28"/>
        </w:rPr>
      </w:pPr>
    </w:p>
    <w:p w:rsidR="00534A4C" w:rsidRDefault="00534A4C" w:rsidP="00534A4C">
      <w:pPr>
        <w:pBdr>
          <w:top w:val="single" w:sz="6" w:space="0" w:color="000000"/>
          <w:left w:val="single" w:sz="6" w:space="0" w:color="000000"/>
          <w:bottom w:val="single" w:sz="6" w:space="0" w:color="000000"/>
          <w:right w:val="single" w:sz="6" w:space="0" w:color="000000"/>
        </w:pBdr>
        <w:rPr>
          <w:sz w:val="28"/>
        </w:rPr>
      </w:pPr>
    </w:p>
    <w:p w:rsidR="00534A4C" w:rsidRDefault="00DE6000" w:rsidP="00E92C3F">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2B622564" wp14:editId="6F4124C6">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34A4C" w:rsidRDefault="00534A4C" w:rsidP="00534A4C">
      <w:pPr>
        <w:pBdr>
          <w:top w:val="single" w:sz="6" w:space="0" w:color="000000"/>
          <w:left w:val="single" w:sz="6" w:space="0" w:color="000000"/>
          <w:bottom w:val="single" w:sz="6" w:space="0" w:color="000000"/>
          <w:right w:val="single" w:sz="6" w:space="0" w:color="000000"/>
        </w:pBdr>
        <w:jc w:val="center"/>
        <w:rPr>
          <w:sz w:val="28"/>
        </w:rPr>
      </w:pPr>
    </w:p>
    <w:p w:rsidR="00534A4C" w:rsidRDefault="00534A4C" w:rsidP="00534A4C">
      <w:pPr>
        <w:pBdr>
          <w:top w:val="single" w:sz="6" w:space="0" w:color="000000"/>
          <w:left w:val="single" w:sz="6" w:space="0" w:color="000000"/>
          <w:bottom w:val="single" w:sz="6" w:space="0" w:color="000000"/>
          <w:right w:val="single" w:sz="6" w:space="0" w:color="000000"/>
        </w:pBdr>
        <w:rPr>
          <w:sz w:val="28"/>
        </w:rPr>
      </w:pPr>
    </w:p>
    <w:p w:rsidR="00534A4C" w:rsidRDefault="00534A4C" w:rsidP="00534A4C">
      <w:pPr>
        <w:pBdr>
          <w:top w:val="single" w:sz="6" w:space="0" w:color="000000"/>
          <w:left w:val="single" w:sz="6" w:space="0" w:color="000000"/>
          <w:bottom w:val="single" w:sz="6" w:space="0" w:color="000000"/>
          <w:right w:val="single" w:sz="6" w:space="0" w:color="000000"/>
        </w:pBdr>
        <w:rPr>
          <w:sz w:val="28"/>
        </w:rPr>
      </w:pPr>
    </w:p>
    <w:p w:rsidR="00DE6000" w:rsidRDefault="00DE6000" w:rsidP="00E92C3F">
      <w:pPr>
        <w:pBdr>
          <w:top w:val="single" w:sz="6" w:space="0" w:color="000000"/>
          <w:left w:val="single" w:sz="6" w:space="0" w:color="000000"/>
          <w:bottom w:val="single" w:sz="6" w:space="0" w:color="000000"/>
          <w:right w:val="single" w:sz="6" w:space="0" w:color="000000"/>
        </w:pBdr>
        <w:jc w:val="center"/>
        <w:rPr>
          <w:sz w:val="28"/>
        </w:rPr>
      </w:pPr>
    </w:p>
    <w:p w:rsidR="00DE6000" w:rsidRDefault="00CD53AD" w:rsidP="00DE6000">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w:t>
      </w:r>
      <w:r w:rsidR="00DE6000">
        <w:rPr>
          <w:b/>
          <w:sz w:val="40"/>
        </w:rPr>
        <w:t xml:space="preserve"> DOCUMENT</w:t>
      </w:r>
    </w:p>
    <w:p w:rsidR="00DE6000" w:rsidRDefault="00DE6000" w:rsidP="00447F5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32"/>
        </w:rPr>
      </w:pPr>
      <w:r>
        <w:rPr>
          <w:b/>
          <w:sz w:val="32"/>
        </w:rPr>
        <w:t>International Medical Device Regulators Forum</w:t>
      </w:r>
    </w:p>
    <w:p w:rsidR="00534A4C" w:rsidRDefault="00534A4C" w:rsidP="00534A4C">
      <w:pPr>
        <w:pBdr>
          <w:top w:val="single" w:sz="6" w:space="0" w:color="000000"/>
          <w:left w:val="single" w:sz="6" w:space="0" w:color="000000"/>
          <w:bottom w:val="single" w:sz="6" w:space="0" w:color="000000"/>
          <w:right w:val="single" w:sz="6" w:space="0" w:color="000000"/>
        </w:pBdr>
        <w:rPr>
          <w:b/>
          <w:sz w:val="32"/>
        </w:rPr>
      </w:pPr>
    </w:p>
    <w:p w:rsidR="00534A4C" w:rsidRDefault="00534A4C" w:rsidP="00534A4C">
      <w:pPr>
        <w:pBdr>
          <w:top w:val="single" w:sz="6" w:space="0" w:color="000000"/>
          <w:left w:val="single" w:sz="6" w:space="0" w:color="000000"/>
          <w:bottom w:val="single" w:sz="6" w:space="0" w:color="000000"/>
          <w:right w:val="single" w:sz="6" w:space="0" w:color="000000"/>
        </w:pBdr>
        <w:rPr>
          <w:b/>
          <w:sz w:val="32"/>
        </w:rPr>
      </w:pPr>
    </w:p>
    <w:p w:rsidR="00534A4C" w:rsidRDefault="00534A4C" w:rsidP="00534A4C">
      <w:pPr>
        <w:pBdr>
          <w:top w:val="single" w:sz="6" w:space="0" w:color="000000"/>
          <w:left w:val="single" w:sz="6" w:space="0" w:color="000000"/>
          <w:bottom w:val="single" w:sz="6" w:space="0" w:color="000000"/>
          <w:right w:val="single" w:sz="6" w:space="0" w:color="000000"/>
        </w:pBdr>
        <w:rPr>
          <w:b/>
          <w:sz w:val="32"/>
        </w:rPr>
      </w:pPr>
    </w:p>
    <w:p w:rsidR="00534A4C" w:rsidRDefault="00534A4C" w:rsidP="00534A4C">
      <w:pPr>
        <w:pBdr>
          <w:top w:val="single" w:sz="6" w:space="0" w:color="000000"/>
          <w:left w:val="single" w:sz="6" w:space="0" w:color="000000"/>
          <w:bottom w:val="single" w:sz="6" w:space="0" w:color="000000"/>
          <w:right w:val="single" w:sz="6" w:space="0" w:color="000000"/>
        </w:pBdr>
        <w:rPr>
          <w:b/>
          <w:sz w:val="32"/>
        </w:rPr>
      </w:pPr>
      <w:r>
        <w:rPr>
          <w:b/>
          <w:sz w:val="28"/>
        </w:rPr>
        <w:t xml:space="preserve">   Title: </w:t>
      </w:r>
      <w:bookmarkStart w:id="0" w:name="_GoBack"/>
      <w:r w:rsidR="009E276C">
        <w:rPr>
          <w:b/>
          <w:sz w:val="28"/>
        </w:rPr>
        <w:t xml:space="preserve">Strategic Assessment of </w:t>
      </w:r>
      <w:r>
        <w:rPr>
          <w:b/>
          <w:sz w:val="28"/>
        </w:rPr>
        <w:t>Electronic Submission</w:t>
      </w:r>
      <w:r w:rsidR="009E276C">
        <w:rPr>
          <w:b/>
          <w:sz w:val="28"/>
        </w:rPr>
        <w:t xml:space="preserve"> Messaging Formats</w:t>
      </w:r>
      <w:r>
        <w:rPr>
          <w:sz w:val="28"/>
        </w:rPr>
        <w:t xml:space="preserve"> </w:t>
      </w:r>
      <w:bookmarkEnd w:id="0"/>
    </w:p>
    <w:p w:rsidR="00534A4C" w:rsidRDefault="00534A4C" w:rsidP="00534A4C">
      <w:pPr>
        <w:pBdr>
          <w:top w:val="single" w:sz="6" w:space="0" w:color="000000"/>
          <w:left w:val="single" w:sz="6" w:space="0" w:color="000000"/>
          <w:bottom w:val="single" w:sz="6" w:space="0" w:color="000000"/>
          <w:right w:val="single" w:sz="6" w:space="0" w:color="000000"/>
        </w:pBdr>
        <w:rPr>
          <w:b/>
          <w:sz w:val="32"/>
        </w:rPr>
      </w:pPr>
    </w:p>
    <w:p w:rsidR="00534A4C" w:rsidRDefault="00534A4C" w:rsidP="00534A4C">
      <w:pPr>
        <w:pBdr>
          <w:top w:val="single" w:sz="6" w:space="0" w:color="000000"/>
          <w:left w:val="single" w:sz="6" w:space="0" w:color="000000"/>
          <w:bottom w:val="single" w:sz="6" w:space="0" w:color="000000"/>
          <w:right w:val="single" w:sz="6" w:space="0" w:color="000000"/>
        </w:pBdr>
        <w:rPr>
          <w:sz w:val="28"/>
        </w:rPr>
      </w:pPr>
      <w:r>
        <w:rPr>
          <w:b/>
          <w:sz w:val="28"/>
        </w:rPr>
        <w:t xml:space="preserve">   Authoring Group: </w:t>
      </w:r>
      <w:r>
        <w:rPr>
          <w:sz w:val="28"/>
        </w:rPr>
        <w:t>IMDRF RPS WG</w:t>
      </w:r>
    </w:p>
    <w:p w:rsidR="00534A4C" w:rsidRDefault="00534A4C" w:rsidP="00534A4C">
      <w:pPr>
        <w:pBdr>
          <w:top w:val="single" w:sz="6" w:space="0" w:color="000000"/>
          <w:left w:val="single" w:sz="6" w:space="0" w:color="000000"/>
          <w:bottom w:val="single" w:sz="6" w:space="0" w:color="000000"/>
          <w:right w:val="single" w:sz="6" w:space="0" w:color="000000"/>
        </w:pBdr>
        <w:rPr>
          <w:b/>
          <w:sz w:val="28"/>
        </w:rPr>
      </w:pPr>
    </w:p>
    <w:p w:rsidR="00534A4C" w:rsidRDefault="00534A4C" w:rsidP="00534A4C">
      <w:pPr>
        <w:pBdr>
          <w:top w:val="single" w:sz="6" w:space="0" w:color="000000"/>
          <w:left w:val="single" w:sz="6" w:space="0" w:color="000000"/>
          <w:bottom w:val="single" w:sz="6" w:space="0" w:color="000000"/>
          <w:right w:val="single" w:sz="6" w:space="0" w:color="000000"/>
        </w:pBdr>
        <w:rPr>
          <w:sz w:val="28"/>
        </w:rPr>
      </w:pPr>
      <w:r>
        <w:rPr>
          <w:b/>
          <w:sz w:val="28"/>
        </w:rPr>
        <w:t xml:space="preserve">   Date: </w:t>
      </w:r>
      <w:r w:rsidR="006C62C1">
        <w:rPr>
          <w:sz w:val="28"/>
        </w:rPr>
        <w:t>2</w:t>
      </w:r>
      <w:r w:rsidR="00CD53AD">
        <w:rPr>
          <w:sz w:val="28"/>
        </w:rPr>
        <w:t xml:space="preserve"> </w:t>
      </w:r>
      <w:r w:rsidR="006C62C1">
        <w:rPr>
          <w:sz w:val="28"/>
        </w:rPr>
        <w:t>October</w:t>
      </w:r>
      <w:r w:rsidR="00D27A5A">
        <w:rPr>
          <w:sz w:val="28"/>
        </w:rPr>
        <w:t xml:space="preserve"> 2015</w:t>
      </w:r>
    </w:p>
    <w:p w:rsidR="00534A4C" w:rsidRDefault="00534A4C" w:rsidP="00534A4C">
      <w:pPr>
        <w:pBdr>
          <w:top w:val="single" w:sz="6" w:space="0" w:color="000000"/>
          <w:left w:val="single" w:sz="6" w:space="0" w:color="000000"/>
          <w:bottom w:val="single" w:sz="6" w:space="0" w:color="000000"/>
          <w:right w:val="single" w:sz="6" w:space="0" w:color="000000"/>
        </w:pBdr>
        <w:rPr>
          <w:sz w:val="28"/>
        </w:rPr>
      </w:pPr>
    </w:p>
    <w:p w:rsidR="00534A4C" w:rsidRDefault="00534A4C" w:rsidP="00534A4C">
      <w:pPr>
        <w:pBdr>
          <w:top w:val="single" w:sz="6" w:space="0" w:color="000000"/>
          <w:left w:val="single" w:sz="6" w:space="0" w:color="000000"/>
          <w:bottom w:val="single" w:sz="6" w:space="0" w:color="000000"/>
          <w:right w:val="single" w:sz="6" w:space="0" w:color="000000"/>
        </w:pBdr>
        <w:rPr>
          <w:sz w:val="28"/>
        </w:rPr>
      </w:pPr>
    </w:p>
    <w:p w:rsidR="00534A4C" w:rsidRDefault="00534A4C" w:rsidP="00534A4C">
      <w:pPr>
        <w:pBdr>
          <w:top w:val="single" w:sz="6" w:space="0" w:color="000000"/>
          <w:left w:val="single" w:sz="6" w:space="0" w:color="000000"/>
          <w:bottom w:val="single" w:sz="6" w:space="0" w:color="000000"/>
          <w:right w:val="single" w:sz="6" w:space="0" w:color="000000"/>
        </w:pBdr>
        <w:rPr>
          <w:sz w:val="28"/>
        </w:rPr>
      </w:pPr>
    </w:p>
    <w:p w:rsidR="00CD53AD" w:rsidRDefault="00CD53AD" w:rsidP="00CD53AD">
      <w:pPr>
        <w:pBdr>
          <w:top w:val="single" w:sz="6" w:space="0" w:color="000000"/>
          <w:left w:val="single" w:sz="6" w:space="0" w:color="000000"/>
          <w:bottom w:val="single" w:sz="6" w:space="0" w:color="000000"/>
          <w:right w:val="single" w:sz="6" w:space="0" w:color="000000"/>
        </w:pBdr>
        <w:wordWrap w:val="0"/>
        <w:jc w:val="right"/>
        <w:rPr>
          <w:sz w:val="28"/>
        </w:rPr>
      </w:pPr>
      <w:proofErr w:type="spellStart"/>
      <w:r>
        <w:rPr>
          <w:rFonts w:hint="eastAsia"/>
          <w:sz w:val="28"/>
          <w:lang w:val="en-CA" w:eastAsia="ja-JP"/>
        </w:rPr>
        <w:t>Toshiyoshi</w:t>
      </w:r>
      <w:proofErr w:type="spellEnd"/>
      <w:r>
        <w:rPr>
          <w:rFonts w:hint="eastAsia"/>
          <w:sz w:val="28"/>
          <w:lang w:val="en-CA" w:eastAsia="ja-JP"/>
        </w:rPr>
        <w:t xml:space="preserve"> </w:t>
      </w:r>
      <w:proofErr w:type="spellStart"/>
      <w:r>
        <w:rPr>
          <w:rFonts w:hint="eastAsia"/>
          <w:sz w:val="28"/>
          <w:lang w:val="en-CA" w:eastAsia="ja-JP"/>
        </w:rPr>
        <w:t>Tominaga</w:t>
      </w:r>
      <w:proofErr w:type="spellEnd"/>
      <w:r>
        <w:rPr>
          <w:sz w:val="28"/>
          <w:lang w:val="en-CA"/>
        </w:rPr>
        <w:t>, IMDRF Chair</w:t>
      </w:r>
    </w:p>
    <w:p w:rsidR="00CD53AD" w:rsidRDefault="00CD53AD" w:rsidP="00CD53AD">
      <w:pPr>
        <w:pBdr>
          <w:top w:val="single" w:sz="6" w:space="0" w:color="000000"/>
          <w:left w:val="single" w:sz="6" w:space="0" w:color="000000"/>
          <w:bottom w:val="single" w:sz="6" w:space="0" w:color="000000"/>
          <w:right w:val="single" w:sz="6" w:space="0" w:color="000000"/>
        </w:pBdr>
        <w:rPr>
          <w:sz w:val="28"/>
        </w:rPr>
      </w:pPr>
    </w:p>
    <w:p w:rsidR="00CD53AD" w:rsidRDefault="00CD53AD" w:rsidP="00CD53AD">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t xml:space="preserve">This document was produced by the International Medical Device Regulators Forum. </w:t>
      </w:r>
      <w:r>
        <w:rPr>
          <w:szCs w:val="24"/>
          <w:lang w:val="en-CA"/>
        </w:rPr>
        <w:br/>
      </w:r>
      <w:r>
        <w:rPr>
          <w:szCs w:val="24"/>
          <w:lang w:val="en-CA"/>
        </w:rPr>
        <w:tab/>
        <w:t xml:space="preserve">There are no restrictions on the reproduction or use of this document; however, </w:t>
      </w:r>
      <w:r>
        <w:rPr>
          <w:szCs w:val="24"/>
          <w:lang w:val="en-CA"/>
        </w:rPr>
        <w:br/>
      </w:r>
      <w:r>
        <w:rPr>
          <w:szCs w:val="24"/>
          <w:lang w:val="en-CA"/>
        </w:rPr>
        <w:tab/>
        <w:t xml:space="preserve">incorporation of this document, in part or in whole, into another document, or its </w:t>
      </w:r>
      <w:r>
        <w:rPr>
          <w:szCs w:val="24"/>
          <w:lang w:val="en-CA"/>
        </w:rPr>
        <w:br/>
      </w:r>
      <w:r>
        <w:rPr>
          <w:szCs w:val="24"/>
          <w:lang w:val="en-CA"/>
        </w:rPr>
        <w:tab/>
        <w:t xml:space="preserve">translation into languages other than English, does not convey or represent an </w:t>
      </w:r>
      <w:r>
        <w:rPr>
          <w:szCs w:val="24"/>
          <w:lang w:val="en-CA"/>
        </w:rPr>
        <w:br/>
      </w:r>
      <w:r>
        <w:rPr>
          <w:szCs w:val="24"/>
          <w:lang w:val="en-CA"/>
        </w:rPr>
        <w:tab/>
        <w:t>endorsement of any kind by the International Medical Device Regulators Forum.</w:t>
      </w:r>
    </w:p>
    <w:p w:rsidR="00CD53AD" w:rsidRDefault="00CD53AD" w:rsidP="00CD53AD">
      <w:pPr>
        <w:pBdr>
          <w:top w:val="single" w:sz="6" w:space="0" w:color="000000"/>
          <w:left w:val="single" w:sz="6" w:space="0" w:color="000000"/>
          <w:bottom w:val="single" w:sz="6" w:space="0" w:color="000000"/>
          <w:right w:val="single" w:sz="6" w:space="0" w:color="000000"/>
        </w:pBdr>
        <w:tabs>
          <w:tab w:val="left" w:pos="993"/>
        </w:tabs>
        <w:rPr>
          <w:szCs w:val="24"/>
          <w:lang w:val="en-CA"/>
        </w:rPr>
      </w:pPr>
    </w:p>
    <w:p w:rsidR="00CD53AD" w:rsidRDefault="00CD53AD" w:rsidP="00CD53AD">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r>
      <w:proofErr w:type="gramStart"/>
      <w:r>
        <w:rPr>
          <w:szCs w:val="24"/>
          <w:lang w:eastAsia="en-AU"/>
        </w:rPr>
        <w:t>Copyright © 201</w:t>
      </w:r>
      <w:r>
        <w:rPr>
          <w:rFonts w:hint="eastAsia"/>
          <w:szCs w:val="24"/>
          <w:lang w:eastAsia="ja-JP"/>
        </w:rPr>
        <w:t>5</w:t>
      </w:r>
      <w:r>
        <w:rPr>
          <w:szCs w:val="24"/>
          <w:lang w:eastAsia="en-AU"/>
        </w:rPr>
        <w:t xml:space="preserve"> by the International Medical Device Regulators Forum.</w:t>
      </w:r>
      <w:proofErr w:type="gramEnd"/>
    </w:p>
    <w:p w:rsidR="00534A4C" w:rsidRDefault="00534A4C" w:rsidP="00534A4C">
      <w:pPr>
        <w:pBdr>
          <w:top w:val="single" w:sz="6" w:space="0" w:color="000000"/>
          <w:left w:val="single" w:sz="6" w:space="0" w:color="000000"/>
          <w:bottom w:val="single" w:sz="6" w:space="0" w:color="000000"/>
          <w:right w:val="single" w:sz="6" w:space="0" w:color="000000"/>
        </w:pBdr>
        <w:rPr>
          <w:sz w:val="28"/>
        </w:rPr>
      </w:pPr>
    </w:p>
    <w:p w:rsidR="00534A4C" w:rsidRDefault="00534A4C" w:rsidP="00534A4C">
      <w:pPr>
        <w:pBdr>
          <w:top w:val="single" w:sz="6" w:space="0" w:color="000000"/>
          <w:left w:val="single" w:sz="6" w:space="0" w:color="000000"/>
          <w:bottom w:val="single" w:sz="6" w:space="0" w:color="000000"/>
          <w:right w:val="single" w:sz="6" w:space="0" w:color="000000"/>
        </w:pBdr>
        <w:rPr>
          <w:sz w:val="28"/>
        </w:rPr>
      </w:pPr>
    </w:p>
    <w:p w:rsidR="00534A4C" w:rsidRDefault="00534A4C" w:rsidP="00534A4C">
      <w:pPr>
        <w:pBdr>
          <w:top w:val="single" w:sz="6" w:space="0" w:color="000000"/>
          <w:left w:val="single" w:sz="6" w:space="0" w:color="000000"/>
          <w:bottom w:val="single" w:sz="6" w:space="0" w:color="000000"/>
          <w:right w:val="single" w:sz="6" w:space="0" w:color="000000"/>
        </w:pBdr>
        <w:rPr>
          <w:sz w:val="22"/>
        </w:rPr>
      </w:pPr>
    </w:p>
    <w:p w:rsidR="00534A4C" w:rsidRDefault="00534A4C" w:rsidP="00534A4C">
      <w:pPr>
        <w:pBdr>
          <w:top w:val="single" w:sz="6" w:space="0" w:color="000000"/>
          <w:left w:val="single" w:sz="6" w:space="0" w:color="000000"/>
          <w:bottom w:val="single" w:sz="6" w:space="0" w:color="000000"/>
          <w:right w:val="single" w:sz="6" w:space="0" w:color="000000"/>
        </w:pBdr>
        <w:rPr>
          <w:sz w:val="22"/>
        </w:rPr>
      </w:pPr>
    </w:p>
    <w:p w:rsidR="00534A4C" w:rsidRDefault="00534A4C" w:rsidP="00534A4C">
      <w:pPr>
        <w:sectPr w:rsidR="00534A4C" w:rsidSect="009C4B4B">
          <w:headerReference w:type="default" r:id="rId14"/>
          <w:footerReference w:type="default" r:id="rId15"/>
          <w:headerReference w:type="first" r:id="rId16"/>
          <w:pgSz w:w="12240" w:h="15840" w:code="1"/>
          <w:pgMar w:top="720" w:right="1440" w:bottom="720" w:left="720" w:header="720" w:footer="720" w:gutter="0"/>
          <w:cols w:space="720"/>
          <w:titlePg/>
          <w:docGrid w:linePitch="326"/>
        </w:sectPr>
      </w:pPr>
    </w:p>
    <w:p w:rsidR="00534A4C" w:rsidRDefault="00534A4C" w:rsidP="00534A4C">
      <w:pPr>
        <w:pStyle w:val="Heading4"/>
      </w:pPr>
      <w:r>
        <w:lastRenderedPageBreak/>
        <w:t>Preface</w:t>
      </w:r>
    </w:p>
    <w:p w:rsidR="00534A4C" w:rsidRDefault="00534A4C" w:rsidP="00534A4C">
      <w:pPr>
        <w:rPr>
          <w:b/>
          <w:sz w:val="28"/>
        </w:rPr>
      </w:pPr>
    </w:p>
    <w:p w:rsidR="003B07C6" w:rsidRDefault="003B07C6" w:rsidP="003B07C6">
      <w:r>
        <w:t xml:space="preserve">The document herein was produced by the International Medical Device Regulators Forum (IMDRF), </w:t>
      </w:r>
      <w:r w:rsidRPr="00D42425">
        <w:t>a voluntary group of medical device r</w:t>
      </w:r>
      <w:r>
        <w:t>egulators from around the world.  The document has been subject to consultation throughout its development.</w:t>
      </w:r>
    </w:p>
    <w:p w:rsidR="003B07C6" w:rsidRDefault="003B07C6" w:rsidP="003B07C6"/>
    <w:p w:rsidR="003B07C6" w:rsidRDefault="003B07C6" w:rsidP="003B07C6">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3B07C6" w:rsidRDefault="003B07C6" w:rsidP="00534A4C"/>
    <w:p w:rsidR="00F056E3" w:rsidRDefault="00534A4C">
      <w:pPr>
        <w:spacing w:after="200" w:line="276" w:lineRule="auto"/>
        <w:rPr>
          <w:rFonts w:asciiTheme="majorHAnsi" w:eastAsiaTheme="majorEastAsia" w:hAnsiTheme="majorHAnsi" w:cstheme="majorBidi"/>
          <w:b/>
          <w:bCs/>
          <w:color w:val="365F91" w:themeColor="accent1" w:themeShade="BF"/>
          <w:sz w:val="28"/>
          <w:szCs w:val="28"/>
        </w:rPr>
      </w:pPr>
      <w:r>
        <w:br w:type="page"/>
      </w:r>
    </w:p>
    <w:sdt>
      <w:sdtPr>
        <w:rPr>
          <w:rFonts w:ascii="Times New Roman" w:eastAsia="Times New Roman" w:hAnsi="Times New Roman" w:cs="Times New Roman"/>
          <w:b w:val="0"/>
          <w:bCs w:val="0"/>
          <w:color w:val="auto"/>
          <w:sz w:val="24"/>
          <w:szCs w:val="20"/>
          <w:lang w:eastAsia="en-US"/>
        </w:rPr>
        <w:id w:val="-857114962"/>
        <w:docPartObj>
          <w:docPartGallery w:val="Table of Contents"/>
          <w:docPartUnique/>
        </w:docPartObj>
      </w:sdtPr>
      <w:sdtEndPr>
        <w:rPr>
          <w:rFonts w:eastAsiaTheme="minorEastAsia"/>
          <w:noProof/>
        </w:rPr>
      </w:sdtEndPr>
      <w:sdtContent>
        <w:p w:rsidR="00F056E3" w:rsidRDefault="00F056E3">
          <w:pPr>
            <w:pStyle w:val="TOCHeading"/>
          </w:pPr>
          <w:r>
            <w:t>Table of Contents</w:t>
          </w:r>
        </w:p>
        <w:p w:rsidR="00F0686C" w:rsidRDefault="00AA2FD4">
          <w:pPr>
            <w:pStyle w:val="TOC1"/>
            <w:tabs>
              <w:tab w:val="left" w:pos="480"/>
              <w:tab w:val="right" w:leader="dot" w:pos="10070"/>
            </w:tabs>
            <w:rPr>
              <w:rFonts w:asciiTheme="minorHAnsi" w:hAnsiTheme="minorHAnsi" w:cstheme="minorBidi"/>
              <w:noProof/>
              <w:sz w:val="22"/>
              <w:szCs w:val="22"/>
            </w:rPr>
          </w:pPr>
          <w:r>
            <w:fldChar w:fldCharType="begin"/>
          </w:r>
          <w:r w:rsidR="00F056E3">
            <w:instrText xml:space="preserve"> TOC \o "1-3" \h \z \u </w:instrText>
          </w:r>
          <w:r>
            <w:fldChar w:fldCharType="separate"/>
          </w:r>
          <w:hyperlink w:anchor="_Toc425422208" w:history="1">
            <w:r w:rsidR="00F0686C" w:rsidRPr="00E40EE0">
              <w:rPr>
                <w:rStyle w:val="Hyperlink"/>
                <w:noProof/>
              </w:rPr>
              <w:t>1</w:t>
            </w:r>
            <w:r w:rsidR="00F0686C">
              <w:rPr>
                <w:rFonts w:asciiTheme="minorHAnsi" w:hAnsiTheme="minorHAnsi" w:cstheme="minorBidi"/>
                <w:noProof/>
                <w:sz w:val="22"/>
                <w:szCs w:val="22"/>
              </w:rPr>
              <w:tab/>
            </w:r>
            <w:r w:rsidR="00F0686C" w:rsidRPr="00E40EE0">
              <w:rPr>
                <w:rStyle w:val="Hyperlink"/>
                <w:noProof/>
              </w:rPr>
              <w:t>Background</w:t>
            </w:r>
            <w:r w:rsidR="00F0686C">
              <w:rPr>
                <w:noProof/>
                <w:webHidden/>
              </w:rPr>
              <w:tab/>
            </w:r>
            <w:r w:rsidR="00F0686C">
              <w:rPr>
                <w:noProof/>
                <w:webHidden/>
              </w:rPr>
              <w:fldChar w:fldCharType="begin"/>
            </w:r>
            <w:r w:rsidR="00F0686C">
              <w:rPr>
                <w:noProof/>
                <w:webHidden/>
              </w:rPr>
              <w:instrText xml:space="preserve"> PAGEREF _Toc425422208 \h </w:instrText>
            </w:r>
            <w:r w:rsidR="00F0686C">
              <w:rPr>
                <w:noProof/>
                <w:webHidden/>
              </w:rPr>
            </w:r>
            <w:r w:rsidR="00F0686C">
              <w:rPr>
                <w:noProof/>
                <w:webHidden/>
              </w:rPr>
              <w:fldChar w:fldCharType="separate"/>
            </w:r>
            <w:r w:rsidR="00B36C15">
              <w:rPr>
                <w:noProof/>
                <w:webHidden/>
              </w:rPr>
              <w:t>4</w:t>
            </w:r>
            <w:r w:rsidR="00F0686C">
              <w:rPr>
                <w:noProof/>
                <w:webHidden/>
              </w:rPr>
              <w:fldChar w:fldCharType="end"/>
            </w:r>
          </w:hyperlink>
        </w:p>
        <w:p w:rsidR="00F0686C" w:rsidRDefault="00F966E2">
          <w:pPr>
            <w:pStyle w:val="TOC1"/>
            <w:tabs>
              <w:tab w:val="left" w:pos="480"/>
              <w:tab w:val="right" w:leader="dot" w:pos="10070"/>
            </w:tabs>
            <w:rPr>
              <w:rFonts w:asciiTheme="minorHAnsi" w:hAnsiTheme="minorHAnsi" w:cstheme="minorBidi"/>
              <w:noProof/>
              <w:sz w:val="22"/>
              <w:szCs w:val="22"/>
            </w:rPr>
          </w:pPr>
          <w:hyperlink w:anchor="_Toc425422209" w:history="1">
            <w:r w:rsidR="00F0686C" w:rsidRPr="00E40EE0">
              <w:rPr>
                <w:rStyle w:val="Hyperlink"/>
                <w:noProof/>
              </w:rPr>
              <w:t>2</w:t>
            </w:r>
            <w:r w:rsidR="00F0686C">
              <w:rPr>
                <w:rFonts w:asciiTheme="minorHAnsi" w:hAnsiTheme="minorHAnsi" w:cstheme="minorBidi"/>
                <w:noProof/>
                <w:sz w:val="22"/>
                <w:szCs w:val="22"/>
              </w:rPr>
              <w:tab/>
            </w:r>
            <w:r w:rsidR="00F0686C" w:rsidRPr="00E40EE0">
              <w:rPr>
                <w:rStyle w:val="Hyperlink"/>
                <w:noProof/>
              </w:rPr>
              <w:t>Scope</w:t>
            </w:r>
            <w:r w:rsidR="00F0686C">
              <w:rPr>
                <w:noProof/>
                <w:webHidden/>
              </w:rPr>
              <w:tab/>
            </w:r>
            <w:r w:rsidR="00F0686C">
              <w:rPr>
                <w:noProof/>
                <w:webHidden/>
              </w:rPr>
              <w:fldChar w:fldCharType="begin"/>
            </w:r>
            <w:r w:rsidR="00F0686C">
              <w:rPr>
                <w:noProof/>
                <w:webHidden/>
              </w:rPr>
              <w:instrText xml:space="preserve"> PAGEREF _Toc425422209 \h </w:instrText>
            </w:r>
            <w:r w:rsidR="00F0686C">
              <w:rPr>
                <w:noProof/>
                <w:webHidden/>
              </w:rPr>
            </w:r>
            <w:r w:rsidR="00F0686C">
              <w:rPr>
                <w:noProof/>
                <w:webHidden/>
              </w:rPr>
              <w:fldChar w:fldCharType="separate"/>
            </w:r>
            <w:r w:rsidR="00B36C15">
              <w:rPr>
                <w:noProof/>
                <w:webHidden/>
              </w:rPr>
              <w:t>4</w:t>
            </w:r>
            <w:r w:rsidR="00F0686C">
              <w:rPr>
                <w:noProof/>
                <w:webHidden/>
              </w:rPr>
              <w:fldChar w:fldCharType="end"/>
            </w:r>
          </w:hyperlink>
        </w:p>
        <w:p w:rsidR="00F0686C" w:rsidRDefault="00F966E2">
          <w:pPr>
            <w:pStyle w:val="TOC1"/>
            <w:tabs>
              <w:tab w:val="left" w:pos="480"/>
              <w:tab w:val="right" w:leader="dot" w:pos="10070"/>
            </w:tabs>
            <w:rPr>
              <w:rFonts w:asciiTheme="minorHAnsi" w:hAnsiTheme="minorHAnsi" w:cstheme="minorBidi"/>
              <w:noProof/>
              <w:sz w:val="22"/>
              <w:szCs w:val="22"/>
            </w:rPr>
          </w:pPr>
          <w:hyperlink w:anchor="_Toc425422210" w:history="1">
            <w:r w:rsidR="00F0686C" w:rsidRPr="00E40EE0">
              <w:rPr>
                <w:rStyle w:val="Hyperlink"/>
                <w:noProof/>
              </w:rPr>
              <w:t>3</w:t>
            </w:r>
            <w:r w:rsidR="00F0686C">
              <w:rPr>
                <w:rFonts w:asciiTheme="minorHAnsi" w:hAnsiTheme="minorHAnsi" w:cstheme="minorBidi"/>
                <w:noProof/>
                <w:sz w:val="22"/>
                <w:szCs w:val="22"/>
              </w:rPr>
              <w:tab/>
            </w:r>
            <w:r w:rsidR="00F0686C" w:rsidRPr="00E40EE0">
              <w:rPr>
                <w:rStyle w:val="Hyperlink"/>
                <w:noProof/>
              </w:rPr>
              <w:t>Definitions</w:t>
            </w:r>
            <w:r w:rsidR="00F0686C">
              <w:rPr>
                <w:noProof/>
                <w:webHidden/>
              </w:rPr>
              <w:tab/>
            </w:r>
            <w:r w:rsidR="00F0686C">
              <w:rPr>
                <w:noProof/>
                <w:webHidden/>
              </w:rPr>
              <w:fldChar w:fldCharType="begin"/>
            </w:r>
            <w:r w:rsidR="00F0686C">
              <w:rPr>
                <w:noProof/>
                <w:webHidden/>
              </w:rPr>
              <w:instrText xml:space="preserve"> PAGEREF _Toc425422210 \h </w:instrText>
            </w:r>
            <w:r w:rsidR="00F0686C">
              <w:rPr>
                <w:noProof/>
                <w:webHidden/>
              </w:rPr>
            </w:r>
            <w:r w:rsidR="00F0686C">
              <w:rPr>
                <w:noProof/>
                <w:webHidden/>
              </w:rPr>
              <w:fldChar w:fldCharType="separate"/>
            </w:r>
            <w:r w:rsidR="00B36C15">
              <w:rPr>
                <w:noProof/>
                <w:webHidden/>
              </w:rPr>
              <w:t>5</w:t>
            </w:r>
            <w:r w:rsidR="00F0686C">
              <w:rPr>
                <w:noProof/>
                <w:webHidden/>
              </w:rPr>
              <w:fldChar w:fldCharType="end"/>
            </w:r>
          </w:hyperlink>
        </w:p>
        <w:p w:rsidR="00F0686C" w:rsidRDefault="00F966E2">
          <w:pPr>
            <w:pStyle w:val="TOC1"/>
            <w:tabs>
              <w:tab w:val="left" w:pos="480"/>
              <w:tab w:val="right" w:leader="dot" w:pos="10070"/>
            </w:tabs>
            <w:rPr>
              <w:rFonts w:asciiTheme="minorHAnsi" w:hAnsiTheme="minorHAnsi" w:cstheme="minorBidi"/>
              <w:noProof/>
              <w:sz w:val="22"/>
              <w:szCs w:val="22"/>
            </w:rPr>
          </w:pPr>
          <w:hyperlink w:anchor="_Toc425422211" w:history="1">
            <w:r w:rsidR="00F0686C" w:rsidRPr="00E40EE0">
              <w:rPr>
                <w:rStyle w:val="Hyperlink"/>
                <w:noProof/>
              </w:rPr>
              <w:t>4</w:t>
            </w:r>
            <w:r w:rsidR="00F0686C">
              <w:rPr>
                <w:rFonts w:asciiTheme="minorHAnsi" w:hAnsiTheme="minorHAnsi" w:cstheme="minorBidi"/>
                <w:noProof/>
                <w:sz w:val="22"/>
                <w:szCs w:val="22"/>
              </w:rPr>
              <w:tab/>
            </w:r>
            <w:r w:rsidR="00F0686C" w:rsidRPr="00E40EE0">
              <w:rPr>
                <w:rStyle w:val="Hyperlink"/>
                <w:noProof/>
              </w:rPr>
              <w:t>Executive Summary</w:t>
            </w:r>
            <w:r w:rsidR="00F0686C">
              <w:rPr>
                <w:noProof/>
                <w:webHidden/>
              </w:rPr>
              <w:tab/>
            </w:r>
            <w:r w:rsidR="00F0686C">
              <w:rPr>
                <w:noProof/>
                <w:webHidden/>
              </w:rPr>
              <w:fldChar w:fldCharType="begin"/>
            </w:r>
            <w:r w:rsidR="00F0686C">
              <w:rPr>
                <w:noProof/>
                <w:webHidden/>
              </w:rPr>
              <w:instrText xml:space="preserve"> PAGEREF _Toc425422211 \h </w:instrText>
            </w:r>
            <w:r w:rsidR="00F0686C">
              <w:rPr>
                <w:noProof/>
                <w:webHidden/>
              </w:rPr>
            </w:r>
            <w:r w:rsidR="00F0686C">
              <w:rPr>
                <w:noProof/>
                <w:webHidden/>
              </w:rPr>
              <w:fldChar w:fldCharType="separate"/>
            </w:r>
            <w:r w:rsidR="00B36C15">
              <w:rPr>
                <w:noProof/>
                <w:webHidden/>
              </w:rPr>
              <w:t>5</w:t>
            </w:r>
            <w:r w:rsidR="00F0686C">
              <w:rPr>
                <w:noProof/>
                <w:webHidden/>
              </w:rPr>
              <w:fldChar w:fldCharType="end"/>
            </w:r>
          </w:hyperlink>
        </w:p>
        <w:p w:rsidR="00F0686C" w:rsidRDefault="00F966E2">
          <w:pPr>
            <w:pStyle w:val="TOC1"/>
            <w:tabs>
              <w:tab w:val="left" w:pos="480"/>
              <w:tab w:val="right" w:leader="dot" w:pos="10070"/>
            </w:tabs>
            <w:rPr>
              <w:rFonts w:asciiTheme="minorHAnsi" w:hAnsiTheme="minorHAnsi" w:cstheme="minorBidi"/>
              <w:noProof/>
              <w:sz w:val="22"/>
              <w:szCs w:val="22"/>
            </w:rPr>
          </w:pPr>
          <w:hyperlink w:anchor="_Toc425422212" w:history="1">
            <w:r w:rsidR="00F0686C" w:rsidRPr="00E40EE0">
              <w:rPr>
                <w:rStyle w:val="Hyperlink"/>
                <w:noProof/>
              </w:rPr>
              <w:t>5</w:t>
            </w:r>
            <w:r w:rsidR="00F0686C">
              <w:rPr>
                <w:rFonts w:asciiTheme="minorHAnsi" w:hAnsiTheme="minorHAnsi" w:cstheme="minorBidi"/>
                <w:noProof/>
                <w:sz w:val="22"/>
                <w:szCs w:val="22"/>
              </w:rPr>
              <w:tab/>
            </w:r>
            <w:r w:rsidR="00F0686C" w:rsidRPr="00E40EE0">
              <w:rPr>
                <w:rStyle w:val="Hyperlink"/>
                <w:noProof/>
              </w:rPr>
              <w:t>Business Drivers &amp; Requirements</w:t>
            </w:r>
            <w:r w:rsidR="00F0686C">
              <w:rPr>
                <w:noProof/>
                <w:webHidden/>
              </w:rPr>
              <w:tab/>
            </w:r>
            <w:r w:rsidR="00F0686C">
              <w:rPr>
                <w:noProof/>
                <w:webHidden/>
              </w:rPr>
              <w:fldChar w:fldCharType="begin"/>
            </w:r>
            <w:r w:rsidR="00F0686C">
              <w:rPr>
                <w:noProof/>
                <w:webHidden/>
              </w:rPr>
              <w:instrText xml:space="preserve"> PAGEREF _Toc425422212 \h </w:instrText>
            </w:r>
            <w:r w:rsidR="00F0686C">
              <w:rPr>
                <w:noProof/>
                <w:webHidden/>
              </w:rPr>
            </w:r>
            <w:r w:rsidR="00F0686C">
              <w:rPr>
                <w:noProof/>
                <w:webHidden/>
              </w:rPr>
              <w:fldChar w:fldCharType="separate"/>
            </w:r>
            <w:r w:rsidR="00B36C15">
              <w:rPr>
                <w:noProof/>
                <w:webHidden/>
              </w:rPr>
              <w:t>6</w:t>
            </w:r>
            <w:r w:rsidR="00F0686C">
              <w:rPr>
                <w:noProof/>
                <w:webHidden/>
              </w:rPr>
              <w:fldChar w:fldCharType="end"/>
            </w:r>
          </w:hyperlink>
        </w:p>
        <w:p w:rsidR="00F0686C" w:rsidRDefault="00F966E2">
          <w:pPr>
            <w:pStyle w:val="TOC1"/>
            <w:tabs>
              <w:tab w:val="left" w:pos="480"/>
              <w:tab w:val="right" w:leader="dot" w:pos="10070"/>
            </w:tabs>
            <w:rPr>
              <w:rFonts w:asciiTheme="minorHAnsi" w:hAnsiTheme="minorHAnsi" w:cstheme="minorBidi"/>
              <w:noProof/>
              <w:sz w:val="22"/>
              <w:szCs w:val="22"/>
            </w:rPr>
          </w:pPr>
          <w:hyperlink w:anchor="_Toc425422213" w:history="1">
            <w:r w:rsidR="00F0686C" w:rsidRPr="00E40EE0">
              <w:rPr>
                <w:rStyle w:val="Hyperlink"/>
                <w:noProof/>
              </w:rPr>
              <w:t>6</w:t>
            </w:r>
            <w:r w:rsidR="00F0686C">
              <w:rPr>
                <w:rFonts w:asciiTheme="minorHAnsi" w:hAnsiTheme="minorHAnsi" w:cstheme="minorBidi"/>
                <w:noProof/>
                <w:sz w:val="22"/>
                <w:szCs w:val="22"/>
              </w:rPr>
              <w:tab/>
            </w:r>
            <w:r w:rsidR="00F0686C" w:rsidRPr="00E40EE0">
              <w:rPr>
                <w:rStyle w:val="Hyperlink"/>
                <w:noProof/>
              </w:rPr>
              <w:t>Stakeholders</w:t>
            </w:r>
            <w:r w:rsidR="00F0686C">
              <w:rPr>
                <w:noProof/>
                <w:webHidden/>
              </w:rPr>
              <w:tab/>
            </w:r>
            <w:r w:rsidR="00F0686C">
              <w:rPr>
                <w:noProof/>
                <w:webHidden/>
              </w:rPr>
              <w:fldChar w:fldCharType="begin"/>
            </w:r>
            <w:r w:rsidR="00F0686C">
              <w:rPr>
                <w:noProof/>
                <w:webHidden/>
              </w:rPr>
              <w:instrText xml:space="preserve"> PAGEREF _Toc425422213 \h </w:instrText>
            </w:r>
            <w:r w:rsidR="00F0686C">
              <w:rPr>
                <w:noProof/>
                <w:webHidden/>
              </w:rPr>
            </w:r>
            <w:r w:rsidR="00F0686C">
              <w:rPr>
                <w:noProof/>
                <w:webHidden/>
              </w:rPr>
              <w:fldChar w:fldCharType="separate"/>
            </w:r>
            <w:r w:rsidR="00B36C15">
              <w:rPr>
                <w:noProof/>
                <w:webHidden/>
              </w:rPr>
              <w:t>15</w:t>
            </w:r>
            <w:r w:rsidR="00F0686C">
              <w:rPr>
                <w:noProof/>
                <w:webHidden/>
              </w:rPr>
              <w:fldChar w:fldCharType="end"/>
            </w:r>
          </w:hyperlink>
        </w:p>
        <w:p w:rsidR="00F0686C" w:rsidRDefault="00F966E2">
          <w:pPr>
            <w:pStyle w:val="TOC1"/>
            <w:tabs>
              <w:tab w:val="left" w:pos="480"/>
              <w:tab w:val="right" w:leader="dot" w:pos="10070"/>
            </w:tabs>
            <w:rPr>
              <w:rFonts w:asciiTheme="minorHAnsi" w:hAnsiTheme="minorHAnsi" w:cstheme="minorBidi"/>
              <w:noProof/>
              <w:sz w:val="22"/>
              <w:szCs w:val="22"/>
            </w:rPr>
          </w:pPr>
          <w:hyperlink w:anchor="_Toc425422214" w:history="1">
            <w:r w:rsidR="00F0686C" w:rsidRPr="00E40EE0">
              <w:rPr>
                <w:rStyle w:val="Hyperlink"/>
                <w:noProof/>
              </w:rPr>
              <w:t>7</w:t>
            </w:r>
            <w:r w:rsidR="00F0686C">
              <w:rPr>
                <w:rFonts w:asciiTheme="minorHAnsi" w:hAnsiTheme="minorHAnsi" w:cstheme="minorBidi"/>
                <w:noProof/>
                <w:sz w:val="22"/>
                <w:szCs w:val="22"/>
              </w:rPr>
              <w:tab/>
            </w:r>
            <w:r w:rsidR="00F0686C" w:rsidRPr="00E40EE0">
              <w:rPr>
                <w:rStyle w:val="Hyperlink"/>
                <w:noProof/>
              </w:rPr>
              <w:t>Technology Analysis and Recommendation</w:t>
            </w:r>
            <w:r w:rsidR="00F0686C">
              <w:rPr>
                <w:noProof/>
                <w:webHidden/>
              </w:rPr>
              <w:tab/>
            </w:r>
            <w:r w:rsidR="00F0686C">
              <w:rPr>
                <w:noProof/>
                <w:webHidden/>
              </w:rPr>
              <w:fldChar w:fldCharType="begin"/>
            </w:r>
            <w:r w:rsidR="00F0686C">
              <w:rPr>
                <w:noProof/>
                <w:webHidden/>
              </w:rPr>
              <w:instrText xml:space="preserve"> PAGEREF _Toc425422214 \h </w:instrText>
            </w:r>
            <w:r w:rsidR="00F0686C">
              <w:rPr>
                <w:noProof/>
                <w:webHidden/>
              </w:rPr>
            </w:r>
            <w:r w:rsidR="00F0686C">
              <w:rPr>
                <w:noProof/>
                <w:webHidden/>
              </w:rPr>
              <w:fldChar w:fldCharType="separate"/>
            </w:r>
            <w:r w:rsidR="00B36C15">
              <w:rPr>
                <w:noProof/>
                <w:webHidden/>
              </w:rPr>
              <w:t>16</w:t>
            </w:r>
            <w:r w:rsidR="00F0686C">
              <w:rPr>
                <w:noProof/>
                <w:webHidden/>
              </w:rPr>
              <w:fldChar w:fldCharType="end"/>
            </w:r>
          </w:hyperlink>
        </w:p>
        <w:p w:rsidR="00F0686C" w:rsidRDefault="00F966E2">
          <w:pPr>
            <w:pStyle w:val="TOC2"/>
            <w:tabs>
              <w:tab w:val="left" w:pos="880"/>
              <w:tab w:val="right" w:leader="dot" w:pos="10070"/>
            </w:tabs>
            <w:rPr>
              <w:rFonts w:asciiTheme="minorHAnsi" w:hAnsiTheme="minorHAnsi" w:cstheme="minorBidi"/>
              <w:noProof/>
              <w:sz w:val="22"/>
              <w:szCs w:val="22"/>
            </w:rPr>
          </w:pPr>
          <w:hyperlink w:anchor="_Toc425422215" w:history="1">
            <w:r w:rsidR="00F0686C" w:rsidRPr="00E40EE0">
              <w:rPr>
                <w:rStyle w:val="Hyperlink"/>
                <w:noProof/>
              </w:rPr>
              <w:t>7.1</w:t>
            </w:r>
            <w:r w:rsidR="00F0686C">
              <w:rPr>
                <w:rFonts w:asciiTheme="minorHAnsi" w:hAnsiTheme="minorHAnsi" w:cstheme="minorBidi"/>
                <w:noProof/>
                <w:sz w:val="22"/>
                <w:szCs w:val="22"/>
              </w:rPr>
              <w:tab/>
            </w:r>
            <w:r w:rsidR="00F0686C" w:rsidRPr="00E40EE0">
              <w:rPr>
                <w:rStyle w:val="Hyperlink"/>
                <w:noProof/>
              </w:rPr>
              <w:t>Technology Options</w:t>
            </w:r>
            <w:r w:rsidR="00F0686C">
              <w:rPr>
                <w:noProof/>
                <w:webHidden/>
              </w:rPr>
              <w:tab/>
            </w:r>
            <w:r w:rsidR="00F0686C">
              <w:rPr>
                <w:noProof/>
                <w:webHidden/>
              </w:rPr>
              <w:fldChar w:fldCharType="begin"/>
            </w:r>
            <w:r w:rsidR="00F0686C">
              <w:rPr>
                <w:noProof/>
                <w:webHidden/>
              </w:rPr>
              <w:instrText xml:space="preserve"> PAGEREF _Toc425422215 \h </w:instrText>
            </w:r>
            <w:r w:rsidR="00F0686C">
              <w:rPr>
                <w:noProof/>
                <w:webHidden/>
              </w:rPr>
            </w:r>
            <w:r w:rsidR="00F0686C">
              <w:rPr>
                <w:noProof/>
                <w:webHidden/>
              </w:rPr>
              <w:fldChar w:fldCharType="separate"/>
            </w:r>
            <w:r w:rsidR="00B36C15">
              <w:rPr>
                <w:noProof/>
                <w:webHidden/>
              </w:rPr>
              <w:t>16</w:t>
            </w:r>
            <w:r w:rsidR="00F0686C">
              <w:rPr>
                <w:noProof/>
                <w:webHidden/>
              </w:rPr>
              <w:fldChar w:fldCharType="end"/>
            </w:r>
          </w:hyperlink>
        </w:p>
        <w:p w:rsidR="00F0686C" w:rsidRDefault="00F966E2">
          <w:pPr>
            <w:pStyle w:val="TOC2"/>
            <w:tabs>
              <w:tab w:val="left" w:pos="880"/>
              <w:tab w:val="right" w:leader="dot" w:pos="10070"/>
            </w:tabs>
            <w:rPr>
              <w:rFonts w:asciiTheme="minorHAnsi" w:hAnsiTheme="minorHAnsi" w:cstheme="minorBidi"/>
              <w:noProof/>
              <w:sz w:val="22"/>
              <w:szCs w:val="22"/>
            </w:rPr>
          </w:pPr>
          <w:hyperlink w:anchor="_Toc425422216" w:history="1">
            <w:r w:rsidR="00F0686C" w:rsidRPr="00E40EE0">
              <w:rPr>
                <w:rStyle w:val="Hyperlink"/>
                <w:noProof/>
              </w:rPr>
              <w:t>7.2</w:t>
            </w:r>
            <w:r w:rsidR="00F0686C">
              <w:rPr>
                <w:rFonts w:asciiTheme="minorHAnsi" w:hAnsiTheme="minorHAnsi" w:cstheme="minorBidi"/>
                <w:noProof/>
                <w:sz w:val="22"/>
                <w:szCs w:val="22"/>
              </w:rPr>
              <w:tab/>
            </w:r>
            <w:r w:rsidR="00F0686C" w:rsidRPr="00E40EE0">
              <w:rPr>
                <w:rStyle w:val="Hyperlink"/>
                <w:noProof/>
              </w:rPr>
              <w:t>Evaluation Methodology</w:t>
            </w:r>
            <w:r w:rsidR="00F0686C">
              <w:rPr>
                <w:noProof/>
                <w:webHidden/>
              </w:rPr>
              <w:tab/>
            </w:r>
            <w:r w:rsidR="00F0686C">
              <w:rPr>
                <w:noProof/>
                <w:webHidden/>
              </w:rPr>
              <w:fldChar w:fldCharType="begin"/>
            </w:r>
            <w:r w:rsidR="00F0686C">
              <w:rPr>
                <w:noProof/>
                <w:webHidden/>
              </w:rPr>
              <w:instrText xml:space="preserve"> PAGEREF _Toc425422216 \h </w:instrText>
            </w:r>
            <w:r w:rsidR="00F0686C">
              <w:rPr>
                <w:noProof/>
                <w:webHidden/>
              </w:rPr>
            </w:r>
            <w:r w:rsidR="00F0686C">
              <w:rPr>
                <w:noProof/>
                <w:webHidden/>
              </w:rPr>
              <w:fldChar w:fldCharType="separate"/>
            </w:r>
            <w:r w:rsidR="00B36C15">
              <w:rPr>
                <w:noProof/>
                <w:webHidden/>
              </w:rPr>
              <w:t>17</w:t>
            </w:r>
            <w:r w:rsidR="00F0686C">
              <w:rPr>
                <w:noProof/>
                <w:webHidden/>
              </w:rPr>
              <w:fldChar w:fldCharType="end"/>
            </w:r>
          </w:hyperlink>
        </w:p>
        <w:p w:rsidR="00F0686C" w:rsidRDefault="00F966E2">
          <w:pPr>
            <w:pStyle w:val="TOC2"/>
            <w:tabs>
              <w:tab w:val="left" w:pos="880"/>
              <w:tab w:val="right" w:leader="dot" w:pos="10070"/>
            </w:tabs>
            <w:rPr>
              <w:rFonts w:asciiTheme="minorHAnsi" w:hAnsiTheme="minorHAnsi" w:cstheme="minorBidi"/>
              <w:noProof/>
              <w:sz w:val="22"/>
              <w:szCs w:val="22"/>
            </w:rPr>
          </w:pPr>
          <w:hyperlink w:anchor="_Toc425422217" w:history="1">
            <w:r w:rsidR="00F0686C" w:rsidRPr="00E40EE0">
              <w:rPr>
                <w:rStyle w:val="Hyperlink"/>
                <w:noProof/>
              </w:rPr>
              <w:t>7.3</w:t>
            </w:r>
            <w:r w:rsidR="00F0686C">
              <w:rPr>
                <w:rFonts w:asciiTheme="minorHAnsi" w:hAnsiTheme="minorHAnsi" w:cstheme="minorBidi"/>
                <w:noProof/>
                <w:sz w:val="22"/>
                <w:szCs w:val="22"/>
              </w:rPr>
              <w:tab/>
            </w:r>
            <w:r w:rsidR="00F0686C" w:rsidRPr="00E40EE0">
              <w:rPr>
                <w:rStyle w:val="Hyperlink"/>
                <w:noProof/>
              </w:rPr>
              <w:t>Evaluation of Technology Options</w:t>
            </w:r>
            <w:r w:rsidR="00F0686C">
              <w:rPr>
                <w:noProof/>
                <w:webHidden/>
              </w:rPr>
              <w:tab/>
            </w:r>
            <w:r w:rsidR="00F0686C">
              <w:rPr>
                <w:noProof/>
                <w:webHidden/>
              </w:rPr>
              <w:fldChar w:fldCharType="begin"/>
            </w:r>
            <w:r w:rsidR="00F0686C">
              <w:rPr>
                <w:noProof/>
                <w:webHidden/>
              </w:rPr>
              <w:instrText xml:space="preserve"> PAGEREF _Toc425422217 \h </w:instrText>
            </w:r>
            <w:r w:rsidR="00F0686C">
              <w:rPr>
                <w:noProof/>
                <w:webHidden/>
              </w:rPr>
            </w:r>
            <w:r w:rsidR="00F0686C">
              <w:rPr>
                <w:noProof/>
                <w:webHidden/>
              </w:rPr>
              <w:fldChar w:fldCharType="separate"/>
            </w:r>
            <w:r w:rsidR="00B36C15">
              <w:rPr>
                <w:noProof/>
                <w:webHidden/>
              </w:rPr>
              <w:t>18</w:t>
            </w:r>
            <w:r w:rsidR="00F0686C">
              <w:rPr>
                <w:noProof/>
                <w:webHidden/>
              </w:rPr>
              <w:fldChar w:fldCharType="end"/>
            </w:r>
          </w:hyperlink>
        </w:p>
        <w:p w:rsidR="00F0686C" w:rsidRDefault="00F966E2">
          <w:pPr>
            <w:pStyle w:val="TOC3"/>
            <w:tabs>
              <w:tab w:val="left" w:pos="1320"/>
              <w:tab w:val="right" w:leader="dot" w:pos="10070"/>
            </w:tabs>
            <w:rPr>
              <w:rFonts w:asciiTheme="minorHAnsi" w:hAnsiTheme="minorHAnsi" w:cstheme="minorBidi"/>
              <w:noProof/>
              <w:sz w:val="22"/>
              <w:szCs w:val="22"/>
            </w:rPr>
          </w:pPr>
          <w:hyperlink w:anchor="_Toc425422218" w:history="1">
            <w:r w:rsidR="00F0686C" w:rsidRPr="00E40EE0">
              <w:rPr>
                <w:rStyle w:val="Hyperlink"/>
                <w:noProof/>
              </w:rPr>
              <w:t>7.3.1</w:t>
            </w:r>
            <w:r w:rsidR="00F0686C">
              <w:rPr>
                <w:rFonts w:asciiTheme="minorHAnsi" w:hAnsiTheme="minorHAnsi" w:cstheme="minorBidi"/>
                <w:noProof/>
                <w:sz w:val="22"/>
                <w:szCs w:val="22"/>
              </w:rPr>
              <w:tab/>
            </w:r>
            <w:r w:rsidR="00F0686C" w:rsidRPr="00E40EE0">
              <w:rPr>
                <w:rStyle w:val="Hyperlink"/>
                <w:noProof/>
              </w:rPr>
              <w:t>Industry Scoring Feedback</w:t>
            </w:r>
            <w:r w:rsidR="00F0686C">
              <w:rPr>
                <w:noProof/>
                <w:webHidden/>
              </w:rPr>
              <w:tab/>
            </w:r>
            <w:r w:rsidR="00F0686C">
              <w:rPr>
                <w:noProof/>
                <w:webHidden/>
              </w:rPr>
              <w:fldChar w:fldCharType="begin"/>
            </w:r>
            <w:r w:rsidR="00F0686C">
              <w:rPr>
                <w:noProof/>
                <w:webHidden/>
              </w:rPr>
              <w:instrText xml:space="preserve"> PAGEREF _Toc425422218 \h </w:instrText>
            </w:r>
            <w:r w:rsidR="00F0686C">
              <w:rPr>
                <w:noProof/>
                <w:webHidden/>
              </w:rPr>
            </w:r>
            <w:r w:rsidR="00F0686C">
              <w:rPr>
                <w:noProof/>
                <w:webHidden/>
              </w:rPr>
              <w:fldChar w:fldCharType="separate"/>
            </w:r>
            <w:r w:rsidR="00B36C15">
              <w:rPr>
                <w:noProof/>
                <w:webHidden/>
              </w:rPr>
              <w:t>18</w:t>
            </w:r>
            <w:r w:rsidR="00F0686C">
              <w:rPr>
                <w:noProof/>
                <w:webHidden/>
              </w:rPr>
              <w:fldChar w:fldCharType="end"/>
            </w:r>
          </w:hyperlink>
        </w:p>
        <w:p w:rsidR="00F0686C" w:rsidRDefault="00F966E2">
          <w:pPr>
            <w:pStyle w:val="TOC3"/>
            <w:tabs>
              <w:tab w:val="left" w:pos="1320"/>
              <w:tab w:val="right" w:leader="dot" w:pos="10070"/>
            </w:tabs>
            <w:rPr>
              <w:rFonts w:asciiTheme="minorHAnsi" w:hAnsiTheme="minorHAnsi" w:cstheme="minorBidi"/>
              <w:noProof/>
              <w:sz w:val="22"/>
              <w:szCs w:val="22"/>
            </w:rPr>
          </w:pPr>
          <w:hyperlink w:anchor="_Toc425422219" w:history="1">
            <w:r w:rsidR="00F0686C" w:rsidRPr="00E40EE0">
              <w:rPr>
                <w:rStyle w:val="Hyperlink"/>
                <w:noProof/>
              </w:rPr>
              <w:t>7.3.2</w:t>
            </w:r>
            <w:r w:rsidR="00F0686C">
              <w:rPr>
                <w:rFonts w:asciiTheme="minorHAnsi" w:hAnsiTheme="minorHAnsi" w:cstheme="minorBidi"/>
                <w:noProof/>
                <w:sz w:val="22"/>
                <w:szCs w:val="22"/>
              </w:rPr>
              <w:tab/>
            </w:r>
            <w:r w:rsidR="00F0686C" w:rsidRPr="00E40EE0">
              <w:rPr>
                <w:rStyle w:val="Hyperlink"/>
                <w:noProof/>
              </w:rPr>
              <w:t>Regulator Scoring Feedback</w:t>
            </w:r>
            <w:r w:rsidR="00F0686C">
              <w:rPr>
                <w:noProof/>
                <w:webHidden/>
              </w:rPr>
              <w:tab/>
            </w:r>
            <w:r w:rsidR="00F0686C">
              <w:rPr>
                <w:noProof/>
                <w:webHidden/>
              </w:rPr>
              <w:fldChar w:fldCharType="begin"/>
            </w:r>
            <w:r w:rsidR="00F0686C">
              <w:rPr>
                <w:noProof/>
                <w:webHidden/>
              </w:rPr>
              <w:instrText xml:space="preserve"> PAGEREF _Toc425422219 \h </w:instrText>
            </w:r>
            <w:r w:rsidR="00F0686C">
              <w:rPr>
                <w:noProof/>
                <w:webHidden/>
              </w:rPr>
            </w:r>
            <w:r w:rsidR="00F0686C">
              <w:rPr>
                <w:noProof/>
                <w:webHidden/>
              </w:rPr>
              <w:fldChar w:fldCharType="separate"/>
            </w:r>
            <w:r w:rsidR="00B36C15">
              <w:rPr>
                <w:noProof/>
                <w:webHidden/>
              </w:rPr>
              <w:t>22</w:t>
            </w:r>
            <w:r w:rsidR="00F0686C">
              <w:rPr>
                <w:noProof/>
                <w:webHidden/>
              </w:rPr>
              <w:fldChar w:fldCharType="end"/>
            </w:r>
          </w:hyperlink>
        </w:p>
        <w:p w:rsidR="00F0686C" w:rsidRDefault="00F966E2">
          <w:pPr>
            <w:pStyle w:val="TOC3"/>
            <w:tabs>
              <w:tab w:val="left" w:pos="1320"/>
              <w:tab w:val="right" w:leader="dot" w:pos="10070"/>
            </w:tabs>
            <w:rPr>
              <w:rFonts w:asciiTheme="minorHAnsi" w:hAnsiTheme="minorHAnsi" w:cstheme="minorBidi"/>
              <w:noProof/>
              <w:sz w:val="22"/>
              <w:szCs w:val="22"/>
            </w:rPr>
          </w:pPr>
          <w:hyperlink w:anchor="_Toc425422220" w:history="1">
            <w:r w:rsidR="00F0686C" w:rsidRPr="00E40EE0">
              <w:rPr>
                <w:rStyle w:val="Hyperlink"/>
                <w:noProof/>
              </w:rPr>
              <w:t>7.3.3</w:t>
            </w:r>
            <w:r w:rsidR="00F0686C">
              <w:rPr>
                <w:rFonts w:asciiTheme="minorHAnsi" w:hAnsiTheme="minorHAnsi" w:cstheme="minorBidi"/>
                <w:noProof/>
                <w:sz w:val="22"/>
                <w:szCs w:val="22"/>
              </w:rPr>
              <w:tab/>
            </w:r>
            <w:r w:rsidR="00F0686C" w:rsidRPr="00E40EE0">
              <w:rPr>
                <w:rStyle w:val="Hyperlink"/>
                <w:noProof/>
              </w:rPr>
              <w:t>Overall Scoring Analysis</w:t>
            </w:r>
            <w:r w:rsidR="00F0686C">
              <w:rPr>
                <w:noProof/>
                <w:webHidden/>
              </w:rPr>
              <w:tab/>
            </w:r>
            <w:r w:rsidR="00F0686C">
              <w:rPr>
                <w:noProof/>
                <w:webHidden/>
              </w:rPr>
              <w:fldChar w:fldCharType="begin"/>
            </w:r>
            <w:r w:rsidR="00F0686C">
              <w:rPr>
                <w:noProof/>
                <w:webHidden/>
              </w:rPr>
              <w:instrText xml:space="preserve"> PAGEREF _Toc425422220 \h </w:instrText>
            </w:r>
            <w:r w:rsidR="00F0686C">
              <w:rPr>
                <w:noProof/>
                <w:webHidden/>
              </w:rPr>
            </w:r>
            <w:r w:rsidR="00F0686C">
              <w:rPr>
                <w:noProof/>
                <w:webHidden/>
              </w:rPr>
              <w:fldChar w:fldCharType="separate"/>
            </w:r>
            <w:r w:rsidR="00B36C15">
              <w:rPr>
                <w:noProof/>
                <w:webHidden/>
              </w:rPr>
              <w:t>23</w:t>
            </w:r>
            <w:r w:rsidR="00F0686C">
              <w:rPr>
                <w:noProof/>
                <w:webHidden/>
              </w:rPr>
              <w:fldChar w:fldCharType="end"/>
            </w:r>
          </w:hyperlink>
        </w:p>
        <w:p w:rsidR="00F0686C" w:rsidRDefault="00F966E2">
          <w:pPr>
            <w:pStyle w:val="TOC1"/>
            <w:tabs>
              <w:tab w:val="left" w:pos="480"/>
              <w:tab w:val="right" w:leader="dot" w:pos="10070"/>
            </w:tabs>
            <w:rPr>
              <w:rFonts w:asciiTheme="minorHAnsi" w:hAnsiTheme="minorHAnsi" w:cstheme="minorBidi"/>
              <w:noProof/>
              <w:sz w:val="22"/>
              <w:szCs w:val="22"/>
            </w:rPr>
          </w:pPr>
          <w:hyperlink w:anchor="_Toc425422221" w:history="1">
            <w:r w:rsidR="00F0686C" w:rsidRPr="00E40EE0">
              <w:rPr>
                <w:rStyle w:val="Hyperlink"/>
                <w:noProof/>
              </w:rPr>
              <w:t>8</w:t>
            </w:r>
            <w:r w:rsidR="00F0686C">
              <w:rPr>
                <w:rFonts w:asciiTheme="minorHAnsi" w:hAnsiTheme="minorHAnsi" w:cstheme="minorBidi"/>
                <w:noProof/>
                <w:sz w:val="22"/>
                <w:szCs w:val="22"/>
              </w:rPr>
              <w:tab/>
            </w:r>
            <w:r w:rsidR="00F0686C" w:rsidRPr="00E40EE0">
              <w:rPr>
                <w:rStyle w:val="Hyperlink"/>
                <w:noProof/>
              </w:rPr>
              <w:t>Final Recommendation</w:t>
            </w:r>
            <w:r w:rsidR="00F0686C">
              <w:rPr>
                <w:noProof/>
                <w:webHidden/>
              </w:rPr>
              <w:tab/>
            </w:r>
            <w:r w:rsidR="00F0686C">
              <w:rPr>
                <w:noProof/>
                <w:webHidden/>
              </w:rPr>
              <w:fldChar w:fldCharType="begin"/>
            </w:r>
            <w:r w:rsidR="00F0686C">
              <w:rPr>
                <w:noProof/>
                <w:webHidden/>
              </w:rPr>
              <w:instrText xml:space="preserve"> PAGEREF _Toc425422221 \h </w:instrText>
            </w:r>
            <w:r w:rsidR="00F0686C">
              <w:rPr>
                <w:noProof/>
                <w:webHidden/>
              </w:rPr>
            </w:r>
            <w:r w:rsidR="00F0686C">
              <w:rPr>
                <w:noProof/>
                <w:webHidden/>
              </w:rPr>
              <w:fldChar w:fldCharType="separate"/>
            </w:r>
            <w:r w:rsidR="00B36C15">
              <w:rPr>
                <w:noProof/>
                <w:webHidden/>
              </w:rPr>
              <w:t>24</w:t>
            </w:r>
            <w:r w:rsidR="00F0686C">
              <w:rPr>
                <w:noProof/>
                <w:webHidden/>
              </w:rPr>
              <w:fldChar w:fldCharType="end"/>
            </w:r>
          </w:hyperlink>
        </w:p>
        <w:p w:rsidR="00F0686C" w:rsidRDefault="00F966E2">
          <w:pPr>
            <w:pStyle w:val="TOC2"/>
            <w:tabs>
              <w:tab w:val="left" w:pos="880"/>
              <w:tab w:val="right" w:leader="dot" w:pos="10070"/>
            </w:tabs>
            <w:rPr>
              <w:rFonts w:asciiTheme="minorHAnsi" w:hAnsiTheme="minorHAnsi" w:cstheme="minorBidi"/>
              <w:noProof/>
              <w:sz w:val="22"/>
              <w:szCs w:val="22"/>
            </w:rPr>
          </w:pPr>
          <w:hyperlink w:anchor="_Toc425422222" w:history="1">
            <w:r w:rsidR="00F0686C" w:rsidRPr="00E40EE0">
              <w:rPr>
                <w:rStyle w:val="Hyperlink"/>
                <w:noProof/>
              </w:rPr>
              <w:t>8.1</w:t>
            </w:r>
            <w:r w:rsidR="00F0686C">
              <w:rPr>
                <w:rFonts w:asciiTheme="minorHAnsi" w:hAnsiTheme="minorHAnsi" w:cstheme="minorBidi"/>
                <w:noProof/>
                <w:sz w:val="22"/>
                <w:szCs w:val="22"/>
              </w:rPr>
              <w:tab/>
            </w:r>
            <w:r w:rsidR="00F0686C" w:rsidRPr="00E40EE0">
              <w:rPr>
                <w:rStyle w:val="Hyperlink"/>
                <w:noProof/>
              </w:rPr>
              <w:t>Next Steps</w:t>
            </w:r>
            <w:r w:rsidR="00F0686C">
              <w:rPr>
                <w:noProof/>
                <w:webHidden/>
              </w:rPr>
              <w:tab/>
            </w:r>
            <w:r w:rsidR="00F0686C">
              <w:rPr>
                <w:noProof/>
                <w:webHidden/>
              </w:rPr>
              <w:fldChar w:fldCharType="begin"/>
            </w:r>
            <w:r w:rsidR="00F0686C">
              <w:rPr>
                <w:noProof/>
                <w:webHidden/>
              </w:rPr>
              <w:instrText xml:space="preserve"> PAGEREF _Toc425422222 \h </w:instrText>
            </w:r>
            <w:r w:rsidR="00F0686C">
              <w:rPr>
                <w:noProof/>
                <w:webHidden/>
              </w:rPr>
            </w:r>
            <w:r w:rsidR="00F0686C">
              <w:rPr>
                <w:noProof/>
                <w:webHidden/>
              </w:rPr>
              <w:fldChar w:fldCharType="separate"/>
            </w:r>
            <w:r w:rsidR="00B36C15">
              <w:rPr>
                <w:noProof/>
                <w:webHidden/>
              </w:rPr>
              <w:t>24</w:t>
            </w:r>
            <w:r w:rsidR="00F0686C">
              <w:rPr>
                <w:noProof/>
                <w:webHidden/>
              </w:rPr>
              <w:fldChar w:fldCharType="end"/>
            </w:r>
          </w:hyperlink>
        </w:p>
        <w:p w:rsidR="00F0686C" w:rsidRDefault="00F966E2">
          <w:pPr>
            <w:pStyle w:val="TOC1"/>
            <w:tabs>
              <w:tab w:val="left" w:pos="480"/>
              <w:tab w:val="right" w:leader="dot" w:pos="10070"/>
            </w:tabs>
            <w:rPr>
              <w:rFonts w:asciiTheme="minorHAnsi" w:hAnsiTheme="minorHAnsi" w:cstheme="minorBidi"/>
              <w:noProof/>
              <w:sz w:val="22"/>
              <w:szCs w:val="22"/>
            </w:rPr>
          </w:pPr>
          <w:hyperlink w:anchor="_Toc425422223" w:history="1">
            <w:r w:rsidR="00F0686C" w:rsidRPr="00E40EE0">
              <w:rPr>
                <w:rStyle w:val="Hyperlink"/>
                <w:noProof/>
              </w:rPr>
              <w:t>9</w:t>
            </w:r>
            <w:r w:rsidR="00F0686C">
              <w:rPr>
                <w:rFonts w:asciiTheme="minorHAnsi" w:hAnsiTheme="minorHAnsi" w:cstheme="minorBidi"/>
                <w:noProof/>
                <w:sz w:val="22"/>
                <w:szCs w:val="22"/>
              </w:rPr>
              <w:tab/>
            </w:r>
            <w:r w:rsidR="00F0686C" w:rsidRPr="00E40EE0">
              <w:rPr>
                <w:rStyle w:val="Hyperlink"/>
                <w:noProof/>
              </w:rPr>
              <w:t>Appendix A:  Detailed Scoring of Technology Options</w:t>
            </w:r>
            <w:r w:rsidR="00F0686C">
              <w:rPr>
                <w:noProof/>
                <w:webHidden/>
              </w:rPr>
              <w:tab/>
            </w:r>
            <w:r w:rsidR="00F0686C">
              <w:rPr>
                <w:noProof/>
                <w:webHidden/>
              </w:rPr>
              <w:fldChar w:fldCharType="begin"/>
            </w:r>
            <w:r w:rsidR="00F0686C">
              <w:rPr>
                <w:noProof/>
                <w:webHidden/>
              </w:rPr>
              <w:instrText xml:space="preserve"> PAGEREF _Toc425422223 \h </w:instrText>
            </w:r>
            <w:r w:rsidR="00F0686C">
              <w:rPr>
                <w:noProof/>
                <w:webHidden/>
              </w:rPr>
            </w:r>
            <w:r w:rsidR="00F0686C">
              <w:rPr>
                <w:noProof/>
                <w:webHidden/>
              </w:rPr>
              <w:fldChar w:fldCharType="separate"/>
            </w:r>
            <w:r w:rsidR="00B36C15">
              <w:rPr>
                <w:noProof/>
                <w:webHidden/>
              </w:rPr>
              <w:t>26</w:t>
            </w:r>
            <w:r w:rsidR="00F0686C">
              <w:rPr>
                <w:noProof/>
                <w:webHidden/>
              </w:rPr>
              <w:fldChar w:fldCharType="end"/>
            </w:r>
          </w:hyperlink>
        </w:p>
        <w:p w:rsidR="00F0686C" w:rsidRDefault="00F966E2">
          <w:pPr>
            <w:pStyle w:val="TOC2"/>
            <w:tabs>
              <w:tab w:val="left" w:pos="880"/>
              <w:tab w:val="right" w:leader="dot" w:pos="10070"/>
            </w:tabs>
            <w:rPr>
              <w:rFonts w:asciiTheme="minorHAnsi" w:hAnsiTheme="minorHAnsi" w:cstheme="minorBidi"/>
              <w:noProof/>
              <w:sz w:val="22"/>
              <w:szCs w:val="22"/>
            </w:rPr>
          </w:pPr>
          <w:hyperlink w:anchor="_Toc425422224" w:history="1">
            <w:r w:rsidR="00F0686C" w:rsidRPr="00E40EE0">
              <w:rPr>
                <w:rStyle w:val="Hyperlink"/>
                <w:rFonts w:eastAsiaTheme="majorEastAsia"/>
                <w:noProof/>
              </w:rPr>
              <w:t>9.1</w:t>
            </w:r>
            <w:r w:rsidR="00F0686C">
              <w:rPr>
                <w:rFonts w:asciiTheme="minorHAnsi" w:hAnsiTheme="minorHAnsi" w:cstheme="minorBidi"/>
                <w:noProof/>
                <w:sz w:val="22"/>
                <w:szCs w:val="22"/>
              </w:rPr>
              <w:tab/>
            </w:r>
            <w:r w:rsidR="00F0686C" w:rsidRPr="00E40EE0">
              <w:rPr>
                <w:rStyle w:val="Hyperlink"/>
                <w:rFonts w:eastAsiaTheme="majorEastAsia"/>
                <w:noProof/>
              </w:rPr>
              <w:t>Regulators With Tools</w:t>
            </w:r>
            <w:r w:rsidR="00F0686C">
              <w:rPr>
                <w:noProof/>
                <w:webHidden/>
              </w:rPr>
              <w:tab/>
            </w:r>
            <w:r w:rsidR="00F0686C">
              <w:rPr>
                <w:noProof/>
                <w:webHidden/>
              </w:rPr>
              <w:fldChar w:fldCharType="begin"/>
            </w:r>
            <w:r w:rsidR="00F0686C">
              <w:rPr>
                <w:noProof/>
                <w:webHidden/>
              </w:rPr>
              <w:instrText xml:space="preserve"> PAGEREF _Toc425422224 \h </w:instrText>
            </w:r>
            <w:r w:rsidR="00F0686C">
              <w:rPr>
                <w:noProof/>
                <w:webHidden/>
              </w:rPr>
            </w:r>
            <w:r w:rsidR="00F0686C">
              <w:rPr>
                <w:noProof/>
                <w:webHidden/>
              </w:rPr>
              <w:fldChar w:fldCharType="separate"/>
            </w:r>
            <w:r w:rsidR="00B36C15">
              <w:rPr>
                <w:noProof/>
                <w:webHidden/>
              </w:rPr>
              <w:t>26</w:t>
            </w:r>
            <w:r w:rsidR="00F0686C">
              <w:rPr>
                <w:noProof/>
                <w:webHidden/>
              </w:rPr>
              <w:fldChar w:fldCharType="end"/>
            </w:r>
          </w:hyperlink>
        </w:p>
        <w:p w:rsidR="00F0686C" w:rsidRDefault="00F966E2">
          <w:pPr>
            <w:pStyle w:val="TOC2"/>
            <w:tabs>
              <w:tab w:val="left" w:pos="880"/>
              <w:tab w:val="right" w:leader="dot" w:pos="10070"/>
            </w:tabs>
            <w:rPr>
              <w:rFonts w:asciiTheme="minorHAnsi" w:hAnsiTheme="minorHAnsi" w:cstheme="minorBidi"/>
              <w:noProof/>
              <w:sz w:val="22"/>
              <w:szCs w:val="22"/>
            </w:rPr>
          </w:pPr>
          <w:hyperlink w:anchor="_Toc425422225" w:history="1">
            <w:r w:rsidR="00F0686C" w:rsidRPr="00E40EE0">
              <w:rPr>
                <w:rStyle w:val="Hyperlink"/>
                <w:rFonts w:eastAsiaTheme="majorEastAsia"/>
                <w:noProof/>
              </w:rPr>
              <w:t>9.2</w:t>
            </w:r>
            <w:r w:rsidR="00F0686C">
              <w:rPr>
                <w:rFonts w:asciiTheme="minorHAnsi" w:hAnsiTheme="minorHAnsi" w:cstheme="minorBidi"/>
                <w:noProof/>
                <w:sz w:val="22"/>
                <w:szCs w:val="22"/>
              </w:rPr>
              <w:tab/>
            </w:r>
            <w:r w:rsidR="00F0686C" w:rsidRPr="00E40EE0">
              <w:rPr>
                <w:rStyle w:val="Hyperlink"/>
                <w:rFonts w:eastAsiaTheme="majorEastAsia"/>
                <w:noProof/>
              </w:rPr>
              <w:t>Regulators Without Tools</w:t>
            </w:r>
            <w:r w:rsidR="00F0686C">
              <w:rPr>
                <w:noProof/>
                <w:webHidden/>
              </w:rPr>
              <w:tab/>
            </w:r>
            <w:r w:rsidR="00F0686C">
              <w:rPr>
                <w:noProof/>
                <w:webHidden/>
              </w:rPr>
              <w:fldChar w:fldCharType="begin"/>
            </w:r>
            <w:r w:rsidR="00F0686C">
              <w:rPr>
                <w:noProof/>
                <w:webHidden/>
              </w:rPr>
              <w:instrText xml:space="preserve"> PAGEREF _Toc425422225 \h </w:instrText>
            </w:r>
            <w:r w:rsidR="00F0686C">
              <w:rPr>
                <w:noProof/>
                <w:webHidden/>
              </w:rPr>
            </w:r>
            <w:r w:rsidR="00F0686C">
              <w:rPr>
                <w:noProof/>
                <w:webHidden/>
              </w:rPr>
              <w:fldChar w:fldCharType="separate"/>
            </w:r>
            <w:r w:rsidR="00B36C15">
              <w:rPr>
                <w:noProof/>
                <w:webHidden/>
              </w:rPr>
              <w:t>28</w:t>
            </w:r>
            <w:r w:rsidR="00F0686C">
              <w:rPr>
                <w:noProof/>
                <w:webHidden/>
              </w:rPr>
              <w:fldChar w:fldCharType="end"/>
            </w:r>
          </w:hyperlink>
        </w:p>
        <w:p w:rsidR="00F0686C" w:rsidRDefault="00F966E2">
          <w:pPr>
            <w:pStyle w:val="TOC2"/>
            <w:tabs>
              <w:tab w:val="left" w:pos="880"/>
              <w:tab w:val="right" w:leader="dot" w:pos="10070"/>
            </w:tabs>
            <w:rPr>
              <w:rFonts w:asciiTheme="minorHAnsi" w:hAnsiTheme="minorHAnsi" w:cstheme="minorBidi"/>
              <w:noProof/>
              <w:sz w:val="22"/>
              <w:szCs w:val="22"/>
            </w:rPr>
          </w:pPr>
          <w:hyperlink w:anchor="_Toc425422226" w:history="1">
            <w:r w:rsidR="00F0686C" w:rsidRPr="00E40EE0">
              <w:rPr>
                <w:rStyle w:val="Hyperlink"/>
                <w:rFonts w:eastAsiaTheme="majorEastAsia"/>
                <w:noProof/>
              </w:rPr>
              <w:t>9.3</w:t>
            </w:r>
            <w:r w:rsidR="00F0686C">
              <w:rPr>
                <w:rFonts w:asciiTheme="minorHAnsi" w:hAnsiTheme="minorHAnsi" w:cstheme="minorBidi"/>
                <w:noProof/>
                <w:sz w:val="22"/>
                <w:szCs w:val="22"/>
              </w:rPr>
              <w:tab/>
            </w:r>
            <w:r w:rsidR="00F0686C" w:rsidRPr="00E40EE0">
              <w:rPr>
                <w:rStyle w:val="Hyperlink"/>
                <w:rFonts w:eastAsiaTheme="majorEastAsia"/>
                <w:noProof/>
              </w:rPr>
              <w:t>Industry with Tools or eCTD Support</w:t>
            </w:r>
            <w:r w:rsidR="00F0686C">
              <w:rPr>
                <w:noProof/>
                <w:webHidden/>
              </w:rPr>
              <w:tab/>
            </w:r>
            <w:r w:rsidR="00F0686C">
              <w:rPr>
                <w:noProof/>
                <w:webHidden/>
              </w:rPr>
              <w:fldChar w:fldCharType="begin"/>
            </w:r>
            <w:r w:rsidR="00F0686C">
              <w:rPr>
                <w:noProof/>
                <w:webHidden/>
              </w:rPr>
              <w:instrText xml:space="preserve"> PAGEREF _Toc425422226 \h </w:instrText>
            </w:r>
            <w:r w:rsidR="00F0686C">
              <w:rPr>
                <w:noProof/>
                <w:webHidden/>
              </w:rPr>
            </w:r>
            <w:r w:rsidR="00F0686C">
              <w:rPr>
                <w:noProof/>
                <w:webHidden/>
              </w:rPr>
              <w:fldChar w:fldCharType="separate"/>
            </w:r>
            <w:r w:rsidR="00B36C15">
              <w:rPr>
                <w:noProof/>
                <w:webHidden/>
              </w:rPr>
              <w:t>30</w:t>
            </w:r>
            <w:r w:rsidR="00F0686C">
              <w:rPr>
                <w:noProof/>
                <w:webHidden/>
              </w:rPr>
              <w:fldChar w:fldCharType="end"/>
            </w:r>
          </w:hyperlink>
        </w:p>
        <w:p w:rsidR="00F0686C" w:rsidRDefault="00F966E2">
          <w:pPr>
            <w:pStyle w:val="TOC2"/>
            <w:tabs>
              <w:tab w:val="left" w:pos="880"/>
              <w:tab w:val="right" w:leader="dot" w:pos="10070"/>
            </w:tabs>
            <w:rPr>
              <w:rFonts w:asciiTheme="minorHAnsi" w:hAnsiTheme="minorHAnsi" w:cstheme="minorBidi"/>
              <w:noProof/>
              <w:sz w:val="22"/>
              <w:szCs w:val="22"/>
            </w:rPr>
          </w:pPr>
          <w:hyperlink w:anchor="_Toc425422227" w:history="1">
            <w:r w:rsidR="00F0686C" w:rsidRPr="00E40EE0">
              <w:rPr>
                <w:rStyle w:val="Hyperlink"/>
                <w:rFonts w:eastAsiaTheme="majorEastAsia"/>
                <w:noProof/>
              </w:rPr>
              <w:t>9.4</w:t>
            </w:r>
            <w:r w:rsidR="00F0686C">
              <w:rPr>
                <w:rFonts w:asciiTheme="minorHAnsi" w:hAnsiTheme="minorHAnsi" w:cstheme="minorBidi"/>
                <w:noProof/>
                <w:sz w:val="22"/>
                <w:szCs w:val="22"/>
              </w:rPr>
              <w:tab/>
            </w:r>
            <w:r w:rsidR="00F0686C" w:rsidRPr="00E40EE0">
              <w:rPr>
                <w:rStyle w:val="Hyperlink"/>
                <w:rFonts w:eastAsiaTheme="majorEastAsia"/>
                <w:noProof/>
              </w:rPr>
              <w:t>Industry – Complex Submissions</w:t>
            </w:r>
            <w:r w:rsidR="00F0686C">
              <w:rPr>
                <w:noProof/>
                <w:webHidden/>
              </w:rPr>
              <w:tab/>
            </w:r>
            <w:r w:rsidR="00F0686C">
              <w:rPr>
                <w:noProof/>
                <w:webHidden/>
              </w:rPr>
              <w:fldChar w:fldCharType="begin"/>
            </w:r>
            <w:r w:rsidR="00F0686C">
              <w:rPr>
                <w:noProof/>
                <w:webHidden/>
              </w:rPr>
              <w:instrText xml:space="preserve"> PAGEREF _Toc425422227 \h </w:instrText>
            </w:r>
            <w:r w:rsidR="00F0686C">
              <w:rPr>
                <w:noProof/>
                <w:webHidden/>
              </w:rPr>
            </w:r>
            <w:r w:rsidR="00F0686C">
              <w:rPr>
                <w:noProof/>
                <w:webHidden/>
              </w:rPr>
              <w:fldChar w:fldCharType="separate"/>
            </w:r>
            <w:r w:rsidR="00B36C15">
              <w:rPr>
                <w:noProof/>
                <w:webHidden/>
              </w:rPr>
              <w:t>32</w:t>
            </w:r>
            <w:r w:rsidR="00F0686C">
              <w:rPr>
                <w:noProof/>
                <w:webHidden/>
              </w:rPr>
              <w:fldChar w:fldCharType="end"/>
            </w:r>
          </w:hyperlink>
        </w:p>
        <w:p w:rsidR="00F0686C" w:rsidRDefault="00F966E2">
          <w:pPr>
            <w:pStyle w:val="TOC2"/>
            <w:tabs>
              <w:tab w:val="left" w:pos="880"/>
              <w:tab w:val="right" w:leader="dot" w:pos="10070"/>
            </w:tabs>
            <w:rPr>
              <w:rFonts w:asciiTheme="minorHAnsi" w:hAnsiTheme="minorHAnsi" w:cstheme="minorBidi"/>
              <w:noProof/>
              <w:sz w:val="22"/>
              <w:szCs w:val="22"/>
            </w:rPr>
          </w:pPr>
          <w:hyperlink w:anchor="_Toc425422228" w:history="1">
            <w:r w:rsidR="00F0686C" w:rsidRPr="00E40EE0">
              <w:rPr>
                <w:rStyle w:val="Hyperlink"/>
                <w:rFonts w:eastAsiaTheme="majorEastAsia"/>
                <w:noProof/>
              </w:rPr>
              <w:t>9.5</w:t>
            </w:r>
            <w:r w:rsidR="00F0686C">
              <w:rPr>
                <w:rFonts w:asciiTheme="minorHAnsi" w:hAnsiTheme="minorHAnsi" w:cstheme="minorBidi"/>
                <w:noProof/>
                <w:sz w:val="22"/>
                <w:szCs w:val="22"/>
              </w:rPr>
              <w:tab/>
            </w:r>
            <w:r w:rsidR="00F0686C" w:rsidRPr="00E40EE0">
              <w:rPr>
                <w:rStyle w:val="Hyperlink"/>
                <w:rFonts w:eastAsiaTheme="majorEastAsia"/>
                <w:noProof/>
              </w:rPr>
              <w:t>Industry – Simple Submissions</w:t>
            </w:r>
            <w:r w:rsidR="00F0686C">
              <w:rPr>
                <w:noProof/>
                <w:webHidden/>
              </w:rPr>
              <w:tab/>
            </w:r>
            <w:r w:rsidR="00F0686C">
              <w:rPr>
                <w:noProof/>
                <w:webHidden/>
              </w:rPr>
              <w:fldChar w:fldCharType="begin"/>
            </w:r>
            <w:r w:rsidR="00F0686C">
              <w:rPr>
                <w:noProof/>
                <w:webHidden/>
              </w:rPr>
              <w:instrText xml:space="preserve"> PAGEREF _Toc425422228 \h </w:instrText>
            </w:r>
            <w:r w:rsidR="00F0686C">
              <w:rPr>
                <w:noProof/>
                <w:webHidden/>
              </w:rPr>
            </w:r>
            <w:r w:rsidR="00F0686C">
              <w:rPr>
                <w:noProof/>
                <w:webHidden/>
              </w:rPr>
              <w:fldChar w:fldCharType="separate"/>
            </w:r>
            <w:r w:rsidR="00B36C15">
              <w:rPr>
                <w:noProof/>
                <w:webHidden/>
              </w:rPr>
              <w:t>34</w:t>
            </w:r>
            <w:r w:rsidR="00F0686C">
              <w:rPr>
                <w:noProof/>
                <w:webHidden/>
              </w:rPr>
              <w:fldChar w:fldCharType="end"/>
            </w:r>
          </w:hyperlink>
        </w:p>
        <w:p w:rsidR="00F0686C" w:rsidRDefault="00F966E2">
          <w:pPr>
            <w:pStyle w:val="TOC1"/>
            <w:tabs>
              <w:tab w:val="left" w:pos="480"/>
              <w:tab w:val="right" w:leader="dot" w:pos="10070"/>
            </w:tabs>
            <w:rPr>
              <w:rFonts w:asciiTheme="minorHAnsi" w:hAnsiTheme="minorHAnsi" w:cstheme="minorBidi"/>
              <w:noProof/>
              <w:sz w:val="22"/>
              <w:szCs w:val="22"/>
            </w:rPr>
          </w:pPr>
          <w:hyperlink w:anchor="_Toc425422229" w:history="1">
            <w:r w:rsidR="00F0686C" w:rsidRPr="00E40EE0">
              <w:rPr>
                <w:rStyle w:val="Hyperlink"/>
                <w:noProof/>
              </w:rPr>
              <w:t>10</w:t>
            </w:r>
            <w:r w:rsidR="00F0686C">
              <w:rPr>
                <w:rFonts w:asciiTheme="minorHAnsi" w:hAnsiTheme="minorHAnsi" w:cstheme="minorBidi"/>
                <w:noProof/>
                <w:sz w:val="22"/>
                <w:szCs w:val="22"/>
              </w:rPr>
              <w:tab/>
            </w:r>
            <w:r w:rsidR="00F0686C" w:rsidRPr="00E40EE0">
              <w:rPr>
                <w:rStyle w:val="Hyperlink"/>
                <w:noProof/>
              </w:rPr>
              <w:t>Appendix B:  Breakdown of Stakeholder Group and Subgroup Weighting Formulas</w:t>
            </w:r>
            <w:r w:rsidR="00F0686C">
              <w:rPr>
                <w:noProof/>
                <w:webHidden/>
              </w:rPr>
              <w:tab/>
            </w:r>
            <w:r w:rsidR="00F0686C">
              <w:rPr>
                <w:noProof/>
                <w:webHidden/>
              </w:rPr>
              <w:fldChar w:fldCharType="begin"/>
            </w:r>
            <w:r w:rsidR="00F0686C">
              <w:rPr>
                <w:noProof/>
                <w:webHidden/>
              </w:rPr>
              <w:instrText xml:space="preserve"> PAGEREF _Toc425422229 \h </w:instrText>
            </w:r>
            <w:r w:rsidR="00F0686C">
              <w:rPr>
                <w:noProof/>
                <w:webHidden/>
              </w:rPr>
            </w:r>
            <w:r w:rsidR="00F0686C">
              <w:rPr>
                <w:noProof/>
                <w:webHidden/>
              </w:rPr>
              <w:fldChar w:fldCharType="separate"/>
            </w:r>
            <w:r w:rsidR="00B36C15">
              <w:rPr>
                <w:noProof/>
                <w:webHidden/>
              </w:rPr>
              <w:t>36</w:t>
            </w:r>
            <w:r w:rsidR="00F0686C">
              <w:rPr>
                <w:noProof/>
                <w:webHidden/>
              </w:rPr>
              <w:fldChar w:fldCharType="end"/>
            </w:r>
          </w:hyperlink>
        </w:p>
        <w:p w:rsidR="00F056E3" w:rsidRDefault="00AA2FD4">
          <w:r>
            <w:rPr>
              <w:b/>
              <w:bCs/>
              <w:noProof/>
            </w:rPr>
            <w:fldChar w:fldCharType="end"/>
          </w:r>
        </w:p>
      </w:sdtContent>
    </w:sdt>
    <w:p w:rsidR="00F056E3" w:rsidRDefault="00F056E3">
      <w:pPr>
        <w:spacing w:after="200" w:line="276" w:lineRule="auto"/>
        <w:rPr>
          <w:rFonts w:asciiTheme="majorHAnsi" w:eastAsiaTheme="majorEastAsia" w:hAnsiTheme="majorHAnsi" w:cstheme="majorBidi"/>
          <w:b/>
          <w:bCs/>
          <w:color w:val="365F91" w:themeColor="accent1" w:themeShade="BF"/>
          <w:sz w:val="28"/>
          <w:szCs w:val="28"/>
        </w:rPr>
      </w:pPr>
      <w:r>
        <w:br w:type="page"/>
      </w:r>
    </w:p>
    <w:p w:rsidR="00534A4C" w:rsidRDefault="00534A4C" w:rsidP="00CD53AD">
      <w:pPr>
        <w:pStyle w:val="Heading1"/>
        <w:ind w:left="599" w:hangingChars="213" w:hanging="599"/>
      </w:pPr>
      <w:bookmarkStart w:id="1" w:name="_Toc425422208"/>
      <w:r>
        <w:lastRenderedPageBreak/>
        <w:t>Background</w:t>
      </w:r>
      <w:bookmarkEnd w:id="1"/>
    </w:p>
    <w:p w:rsidR="00534A4C" w:rsidRDefault="00534A4C" w:rsidP="00534A4C">
      <w:r>
        <w:t>The International Medical Device Regulators Forum (IMDRF) was conceived in February 2011 as a forum to discuss future directions in medical device regulatory harmonization.</w:t>
      </w:r>
      <w:r w:rsidR="004E4EF2">
        <w:t xml:space="preserve">  </w:t>
      </w:r>
      <w:r>
        <w:t>It is a voluntary group of medical device regulators from around the world who have come together to build on the strong foundational work of the Global Harmonization Task Force on Medical Devices (GHTF), and to accelerate international medical device regulatory harmonization and convergence.  The IMDRF Management Committee (MC) sponsors and approves work through the formation of Working Groups.</w:t>
      </w:r>
    </w:p>
    <w:p w:rsidR="00534A4C" w:rsidRDefault="00534A4C" w:rsidP="00534A4C">
      <w:pPr>
        <w:pStyle w:val="NormalWeb"/>
      </w:pPr>
      <w:r>
        <w:t xml:space="preserve">The IMDRF RPS Working Group </w:t>
      </w:r>
      <w:r w:rsidR="004E4EF2">
        <w:t xml:space="preserve">(RPS WG) </w:t>
      </w:r>
      <w:r>
        <w:t>was convened by the IMDRF MC in 2012 to evaluate the HL7 RPS standard under development</w:t>
      </w:r>
      <w:r w:rsidR="00A16770">
        <w:t>,</w:t>
      </w:r>
      <w:r>
        <w:t xml:space="preserve"> and </w:t>
      </w:r>
      <w:r w:rsidR="00A16770">
        <w:t xml:space="preserve">to </w:t>
      </w:r>
      <w:r>
        <w:t>determine whether it was fit for use to support medical device submissions.  The group was also asked to define a common ‘Table of Contents’ (TOC) for medical device regulatory submissions as a first step in defining a common data set</w:t>
      </w:r>
      <w:r w:rsidR="00A16770">
        <w:t xml:space="preserve"> capable of supporting a harmonize</w:t>
      </w:r>
      <w:r w:rsidR="009E276C">
        <w:t>d</w:t>
      </w:r>
      <w:r w:rsidR="00A16770">
        <w:t xml:space="preserve"> electronic submission format</w:t>
      </w:r>
      <w:r>
        <w:t>.</w:t>
      </w:r>
      <w:r w:rsidRPr="005B4AD6">
        <w:t xml:space="preserve"> </w:t>
      </w:r>
    </w:p>
    <w:p w:rsidR="00571E0C" w:rsidRDefault="00534A4C" w:rsidP="00571E0C">
      <w:pPr>
        <w:pStyle w:val="NormalWeb"/>
      </w:pPr>
      <w:r>
        <w:t xml:space="preserve">The HL7 RPS standard was approved as a normative standard in the fall of 2014.  </w:t>
      </w:r>
      <w:r w:rsidR="00A16770">
        <w:t>Based on work done by the RPS WG, a</w:t>
      </w:r>
      <w:r>
        <w:t>dditional requirements were included in the final standard to support medical device submissions.  The IMDRF TOC was approved as a final guidance document and pilots of the guidance are currently underway in some regions, and planned in others.</w:t>
      </w:r>
      <w:bookmarkStart w:id="2" w:name="_Toc405985137"/>
    </w:p>
    <w:p w:rsidR="00534A4C" w:rsidRDefault="00534A4C" w:rsidP="00571E0C">
      <w:pPr>
        <w:pStyle w:val="Heading1"/>
      </w:pPr>
      <w:bookmarkStart w:id="3" w:name="_Toc425422209"/>
      <w:r>
        <w:t>Scope</w:t>
      </w:r>
      <w:bookmarkEnd w:id="2"/>
      <w:bookmarkEnd w:id="3"/>
    </w:p>
    <w:p w:rsidR="00534A4C" w:rsidRDefault="00AB7639" w:rsidP="00534A4C">
      <w:pPr>
        <w:rPr>
          <w:szCs w:val="24"/>
        </w:rPr>
      </w:pPr>
      <w:r>
        <w:t xml:space="preserve">This document provides a strategic analysis of alternative electronic information exchange formats against medical device business objectives from both regulators and industry.  </w:t>
      </w:r>
      <w:r w:rsidR="00E57758">
        <w:rPr>
          <w:szCs w:val="24"/>
        </w:rPr>
        <w:t xml:space="preserve">Implementation of the IMDRF TOC is assumed for all options analyzed.  As a result, benefits and challenges discussed in this document pertain only </w:t>
      </w:r>
      <w:r w:rsidR="00A16770">
        <w:rPr>
          <w:szCs w:val="24"/>
        </w:rPr>
        <w:t xml:space="preserve">to </w:t>
      </w:r>
      <w:r w:rsidR="00E57758">
        <w:rPr>
          <w:szCs w:val="24"/>
        </w:rPr>
        <w:t>the electronic information exchange format</w:t>
      </w:r>
      <w:r w:rsidR="00A16770">
        <w:rPr>
          <w:szCs w:val="24"/>
        </w:rPr>
        <w:t>, not the IMDRF TOC.</w:t>
      </w:r>
    </w:p>
    <w:p w:rsidR="00534A4C" w:rsidRPr="00534A4C" w:rsidRDefault="00534A4C" w:rsidP="00534A4C">
      <w:r>
        <w:rPr>
          <w:szCs w:val="24"/>
        </w:rPr>
        <w:t xml:space="preserve"> </w:t>
      </w:r>
    </w:p>
    <w:p w:rsidR="00534A4C" w:rsidRPr="000D564D" w:rsidRDefault="00534A4C" w:rsidP="00534A4C">
      <w:r w:rsidRPr="000D564D">
        <w:t xml:space="preserve">The scope of this document is limited to </w:t>
      </w:r>
      <w:r w:rsidR="00141B18">
        <w:t xml:space="preserve">premarket </w:t>
      </w:r>
      <w:r w:rsidRPr="000D564D">
        <w:t>medical device submissions and secondary use</w:t>
      </w:r>
      <w:r w:rsidR="00B7068C" w:rsidRPr="000D564D">
        <w:t>s</w:t>
      </w:r>
      <w:r w:rsidRPr="000D564D">
        <w:t xml:space="preserve"> of </w:t>
      </w:r>
      <w:r w:rsidR="000D564D">
        <w:t xml:space="preserve">regulatory </w:t>
      </w:r>
      <w:r w:rsidR="00B7068C" w:rsidRPr="000D564D">
        <w:t xml:space="preserve">submission </w:t>
      </w:r>
      <w:r w:rsidRPr="000D564D">
        <w:t xml:space="preserve">data. </w:t>
      </w:r>
      <w:r w:rsidR="00B7068C" w:rsidRPr="000D564D">
        <w:t xml:space="preserve">The following topics are out of scope: </w:t>
      </w:r>
      <w:r w:rsidR="00141B18">
        <w:t>P</w:t>
      </w:r>
      <w:r w:rsidRPr="000D564D">
        <w:t xml:space="preserve">harmaceutical and combination product submissions; </w:t>
      </w:r>
      <w:r w:rsidR="000D564D">
        <w:t xml:space="preserve">and </w:t>
      </w:r>
      <w:r w:rsidR="00B7068C" w:rsidRPr="003D7CE5">
        <w:t xml:space="preserve">software solutions used to implement the exchange standard. </w:t>
      </w:r>
    </w:p>
    <w:p w:rsidR="00534A4C" w:rsidRPr="000D564D" w:rsidRDefault="00534A4C" w:rsidP="00534A4C"/>
    <w:p w:rsidR="00AB7639" w:rsidRDefault="00AB7639" w:rsidP="000A6142">
      <w:r>
        <w:t>Full implementation of any electronic submission messaging format will take time, and will involve multiple key milestones and decision points.  This document provides a recommended strategic direction.  It does not include analysis of cost for any solution.  Cost analysis require</w:t>
      </w:r>
      <w:r w:rsidR="00D34D2F">
        <w:t>s</w:t>
      </w:r>
      <w:r>
        <w:t xml:space="preserve"> implementation planning for the alternative formats, and engagement from software vendors</w:t>
      </w:r>
      <w:r w:rsidR="00D34D2F">
        <w:t xml:space="preserve"> that </w:t>
      </w:r>
      <w:r w:rsidR="00D9532A">
        <w:t xml:space="preserve">is </w:t>
      </w:r>
      <w:r w:rsidR="00D34D2F">
        <w:t xml:space="preserve">considered </w:t>
      </w:r>
      <w:r>
        <w:t xml:space="preserve">pre-mature without strategic alignment on a messaging format.  </w:t>
      </w:r>
    </w:p>
    <w:p w:rsidR="00AB7639" w:rsidRDefault="00AB7639" w:rsidP="000A6142"/>
    <w:p w:rsidR="000A6142" w:rsidRPr="000A6142" w:rsidRDefault="000A6142" w:rsidP="000A6142">
      <w:r w:rsidRPr="000A6142">
        <w:t xml:space="preserve">Although </w:t>
      </w:r>
      <w:r w:rsidR="00D5065E">
        <w:t xml:space="preserve">software solutions and </w:t>
      </w:r>
      <w:r w:rsidRPr="000A6142">
        <w:t>combination products are out of scope, the recommendation still includes:</w:t>
      </w:r>
    </w:p>
    <w:p w:rsidR="000A6142" w:rsidRPr="000A6142" w:rsidRDefault="004E4EF2" w:rsidP="003D7CE5">
      <w:pPr>
        <w:pStyle w:val="ListParagraph"/>
        <w:numPr>
          <w:ilvl w:val="0"/>
          <w:numId w:val="21"/>
        </w:numPr>
      </w:pPr>
      <w:proofErr w:type="gramStart"/>
      <w:r>
        <w:t>Discussion</w:t>
      </w:r>
      <w:proofErr w:type="gramEnd"/>
      <w:r>
        <w:t xml:space="preserve"> of r</w:t>
      </w:r>
      <w:r w:rsidR="000A6142" w:rsidRPr="000A6142">
        <w:t>equirements to ensure software solutions t</w:t>
      </w:r>
      <w:r w:rsidR="007D72EE">
        <w:t>hat</w:t>
      </w:r>
      <w:r w:rsidR="000A6142" w:rsidRPr="000A6142">
        <w:t xml:space="preserve"> support </w:t>
      </w:r>
      <w:r w:rsidR="00D21327">
        <w:t>the recommendation</w:t>
      </w:r>
      <w:r w:rsidR="000A6142" w:rsidRPr="000A6142">
        <w:t xml:space="preserve"> are accessible to all stakeholders regardless of their means or capability.</w:t>
      </w:r>
    </w:p>
    <w:p w:rsidR="00B7068C" w:rsidRPr="003D7CE5" w:rsidRDefault="000A6142" w:rsidP="003D7CE5">
      <w:pPr>
        <w:pStyle w:val="ListParagraph"/>
        <w:numPr>
          <w:ilvl w:val="0"/>
          <w:numId w:val="21"/>
        </w:numPr>
      </w:pPr>
      <w:r w:rsidRPr="000A6142">
        <w:t xml:space="preserve">Comment on the benefits or risks </w:t>
      </w:r>
      <w:r w:rsidR="00D21327">
        <w:t>of the recommendation</w:t>
      </w:r>
      <w:r w:rsidR="00E57758">
        <w:t xml:space="preserve"> </w:t>
      </w:r>
      <w:r w:rsidRPr="000A6142">
        <w:t>may have on future combination product submissions.</w:t>
      </w:r>
    </w:p>
    <w:p w:rsidR="00534A4C" w:rsidRDefault="00534A4C" w:rsidP="00534A4C"/>
    <w:p w:rsidR="00534A4C" w:rsidRDefault="00534A4C" w:rsidP="00534A4C">
      <w:pPr>
        <w:pStyle w:val="Heading1"/>
        <w:tabs>
          <w:tab w:val="num" w:pos="858"/>
        </w:tabs>
      </w:pPr>
      <w:bookmarkStart w:id="4" w:name="_Toc405985139"/>
      <w:bookmarkStart w:id="5" w:name="_Toc425422210"/>
      <w:r>
        <w:lastRenderedPageBreak/>
        <w:t>Definitions</w:t>
      </w:r>
      <w:bookmarkEnd w:id="4"/>
      <w:bookmarkEnd w:id="5"/>
    </w:p>
    <w:p w:rsidR="0089755B" w:rsidRDefault="0089755B" w:rsidP="0089755B">
      <w:r w:rsidRPr="002227EC">
        <w:rPr>
          <w:b/>
        </w:rPr>
        <w:t>HL7</w:t>
      </w:r>
      <w:r>
        <w:t xml:space="preserve"> – Health Level 7; an accredited standard development organization focused on electronic messaging standards that support healthcare.</w:t>
      </w:r>
    </w:p>
    <w:p w:rsidR="00EF63D0" w:rsidRDefault="00EF63D0" w:rsidP="0089755B"/>
    <w:p w:rsidR="0089755B" w:rsidRDefault="00EF63D0" w:rsidP="00534A4C">
      <w:pPr>
        <w:rPr>
          <w:b/>
        </w:rPr>
      </w:pPr>
      <w:r>
        <w:rPr>
          <w:b/>
        </w:rPr>
        <w:t xml:space="preserve">ICH – </w:t>
      </w:r>
      <w:r w:rsidRPr="00EF63D0">
        <w:t>International Conference on Harmonisation</w:t>
      </w:r>
    </w:p>
    <w:p w:rsidR="00534A4C" w:rsidRDefault="00534A4C" w:rsidP="00D5065E">
      <w:pPr>
        <w:spacing w:before="240"/>
      </w:pPr>
      <w:r w:rsidRPr="005E12FD">
        <w:rPr>
          <w:b/>
        </w:rPr>
        <w:t>IMDRF</w:t>
      </w:r>
      <w:r>
        <w:t xml:space="preserve"> – International Medical Device Regulators Forum</w:t>
      </w:r>
    </w:p>
    <w:p w:rsidR="00534A4C" w:rsidRDefault="00534A4C" w:rsidP="00534A4C">
      <w:pPr>
        <w:rPr>
          <w:b/>
        </w:rPr>
      </w:pPr>
    </w:p>
    <w:p w:rsidR="00534A4C" w:rsidRDefault="00534A4C" w:rsidP="00534A4C">
      <w:r w:rsidRPr="005E12FD">
        <w:rPr>
          <w:b/>
        </w:rPr>
        <w:t>IMDRF TOC</w:t>
      </w:r>
      <w:r>
        <w:t xml:space="preserve"> – a harmonized table of content</w:t>
      </w:r>
      <w:r w:rsidR="00A16770">
        <w:t>s</w:t>
      </w:r>
      <w:r>
        <w:t xml:space="preserve"> structure that may be used for pre-market medical device submissions</w:t>
      </w:r>
      <w:r w:rsidR="00841EBD">
        <w:t>.</w:t>
      </w:r>
    </w:p>
    <w:p w:rsidR="0089755B" w:rsidRDefault="0089755B" w:rsidP="0089755B">
      <w:pPr>
        <w:rPr>
          <w:b/>
        </w:rPr>
      </w:pPr>
    </w:p>
    <w:p w:rsidR="0089755B" w:rsidRDefault="0089755B" w:rsidP="0089755B">
      <w:r w:rsidRPr="005E12FD">
        <w:rPr>
          <w:b/>
        </w:rPr>
        <w:t>RPS</w:t>
      </w:r>
      <w:r>
        <w:t xml:space="preserve"> – Regulated Product Submissions, an HL7 messaging standard that supports submission of information for regulated products.</w:t>
      </w:r>
    </w:p>
    <w:p w:rsidR="00534A4C" w:rsidRDefault="00534A4C" w:rsidP="00534A4C"/>
    <w:p w:rsidR="0089755B" w:rsidRDefault="0089755B" w:rsidP="00534A4C">
      <w:proofErr w:type="spellStart"/>
      <w:r w:rsidRPr="0089755B">
        <w:rPr>
          <w:b/>
        </w:rPr>
        <w:t>SmartForm</w:t>
      </w:r>
      <w:proofErr w:type="spellEnd"/>
      <w:r>
        <w:t xml:space="preserve"> – a PDF fillable form to collect information about the submission, to</w:t>
      </w:r>
      <w:r w:rsidR="009B2346">
        <w:t xml:space="preserve"> supplement</w:t>
      </w:r>
      <w:r>
        <w:t xml:space="preserve"> the structured data that is found in an electronic exchange message.</w:t>
      </w:r>
    </w:p>
    <w:p w:rsidR="00534A4C" w:rsidRDefault="00534A4C" w:rsidP="00534A4C">
      <w:pPr>
        <w:pStyle w:val="Heading1"/>
      </w:pPr>
      <w:bookmarkStart w:id="6" w:name="_Toc405985141"/>
      <w:bookmarkStart w:id="7" w:name="_Toc425422211"/>
      <w:r>
        <w:t>Executive Summary</w:t>
      </w:r>
      <w:bookmarkEnd w:id="6"/>
      <w:bookmarkEnd w:id="7"/>
    </w:p>
    <w:p w:rsidR="0048520F" w:rsidRDefault="0048520F" w:rsidP="00EE5245">
      <w:r>
        <w:t xml:space="preserve">The RPS WG recommends that </w:t>
      </w:r>
      <w:r w:rsidR="002E22C0">
        <w:t xml:space="preserve">the IMDRF MC endorse </w:t>
      </w:r>
      <w:r>
        <w:t xml:space="preserve">implementation of the RPS standard for medical devices.  Implementation of RPS </w:t>
      </w:r>
      <w:r w:rsidR="00AB7639">
        <w:t>is a multi-year effort</w:t>
      </w:r>
      <w:r>
        <w:t>, and there are concerns around cost and burden within a large segment of industry.  As a result, we further recommend that</w:t>
      </w:r>
      <w:r w:rsidR="00EF63D0">
        <w:t xml:space="preserve"> incremental steps be taken to implement</w:t>
      </w:r>
      <w:r w:rsidR="00D5065E">
        <w:t xml:space="preserve"> the HL7 RPS Message Standard that</w:t>
      </w:r>
      <w:r w:rsidR="00EF63D0">
        <w:t xml:space="preserve"> </w:t>
      </w:r>
      <w:proofErr w:type="gramStart"/>
      <w:r w:rsidR="00EF63D0">
        <w:t>help</w:t>
      </w:r>
      <w:proofErr w:type="gramEnd"/>
      <w:r w:rsidR="00EF63D0">
        <w:t xml:space="preserve"> address </w:t>
      </w:r>
      <w:r>
        <w:t>industry concerns.</w:t>
      </w:r>
    </w:p>
    <w:p w:rsidR="0048520F" w:rsidRDefault="0048520F" w:rsidP="00EE5245"/>
    <w:p w:rsidR="002E22C0" w:rsidRDefault="0048520F" w:rsidP="00EE5245">
      <w:r>
        <w:t>This recommendation</w:t>
      </w:r>
      <w:r w:rsidR="002E22C0">
        <w:t xml:space="preserve"> is based on an evaluation of three possible electronic submission format options: a harmonized folder structure, a custom IMDRF messaging standard, and the HL7 RPS standard.  </w:t>
      </w:r>
    </w:p>
    <w:p w:rsidR="002E22C0" w:rsidRDefault="002E22C0" w:rsidP="00EE5245"/>
    <w:p w:rsidR="00D5065E" w:rsidRDefault="002E22C0" w:rsidP="00EE5245">
      <w:r>
        <w:t>Each of these options was evaluated by multiple industry and regulator stakeholders.  Scoring was based on how well the options met defined business objectives compared to current submission formats (i.e. paper, eCopy, etc</w:t>
      </w:r>
      <w:r w:rsidR="00841EBD">
        <w:t>.</w:t>
      </w:r>
      <w:r>
        <w:t>).  Final scores</w:t>
      </w:r>
      <w:r w:rsidR="005B127B">
        <w:t xml:space="preserve"> were weighted to e</w:t>
      </w:r>
      <w:r>
        <w:t>nsure perspectives from regulators and industry were given equal consideration.  Industry scores were weigh</w:t>
      </w:r>
      <w:r w:rsidR="00A24259">
        <w:t>ted to reflect industry composi</w:t>
      </w:r>
      <w:r>
        <w:t>tion.  Regulatory scores were weighted to reflect the RPS WG regulator membership.</w:t>
      </w:r>
      <w:r w:rsidR="004C2044">
        <w:t xml:space="preserve"> Higher scores reflect the more desirable option</w:t>
      </w:r>
      <w:r w:rsidR="00294D03">
        <w:t xml:space="preserve">. </w:t>
      </w:r>
    </w:p>
    <w:p w:rsidR="00D5065E" w:rsidRDefault="00D5065E" w:rsidP="00EE5245"/>
    <w:p w:rsidR="002E22C0" w:rsidRDefault="002E22C0" w:rsidP="00EE5245">
      <w:r>
        <w:t xml:space="preserve">Final scores for each option are shown below.  </w:t>
      </w:r>
    </w:p>
    <w:tbl>
      <w:tblPr>
        <w:tblStyle w:val="TableGrid"/>
        <w:tblW w:w="0" w:type="auto"/>
        <w:tblInd w:w="564" w:type="dxa"/>
        <w:tblLook w:val="04A0" w:firstRow="1" w:lastRow="0" w:firstColumn="1" w:lastColumn="0" w:noHBand="0" w:noVBand="1"/>
      </w:tblPr>
      <w:tblGrid>
        <w:gridCol w:w="2394"/>
        <w:gridCol w:w="2394"/>
        <w:gridCol w:w="2394"/>
        <w:gridCol w:w="2394"/>
      </w:tblGrid>
      <w:tr w:rsidR="004C2044" w:rsidTr="00A24259">
        <w:trPr>
          <w:trHeight w:val="998"/>
        </w:trPr>
        <w:tc>
          <w:tcPr>
            <w:tcW w:w="2394" w:type="dxa"/>
            <w:shd w:val="clear" w:color="auto" w:fill="BFBFBF" w:themeFill="background1" w:themeFillShade="BF"/>
          </w:tcPr>
          <w:p w:rsidR="004C2044" w:rsidRPr="00E92C3F" w:rsidRDefault="004C2044" w:rsidP="004C2044">
            <w:pPr>
              <w:autoSpaceDE w:val="0"/>
              <w:autoSpaceDN w:val="0"/>
              <w:adjustRightInd w:val="0"/>
              <w:spacing w:before="120" w:after="120"/>
              <w:jc w:val="center"/>
              <w:rPr>
                <w:rFonts w:ascii="Calibri" w:hAnsi="Calibri" w:cs="Arial"/>
                <w:b/>
                <w:bCs/>
                <w:kern w:val="24"/>
                <w:lang w:val="en-CA"/>
              </w:rPr>
            </w:pPr>
            <w:r w:rsidRPr="00E92C3F">
              <w:rPr>
                <w:rFonts w:ascii="Calibri" w:hAnsi="Calibri" w:cs="Arial"/>
                <w:b/>
                <w:bCs/>
                <w:kern w:val="24"/>
                <w:lang w:val="en-CA"/>
              </w:rPr>
              <w:t>Option 1</w:t>
            </w:r>
          </w:p>
          <w:p w:rsidR="004C2044" w:rsidRDefault="004C2044" w:rsidP="00A24259">
            <w:pPr>
              <w:autoSpaceDE w:val="0"/>
              <w:autoSpaceDN w:val="0"/>
              <w:adjustRightInd w:val="0"/>
              <w:spacing w:before="120" w:after="120"/>
              <w:jc w:val="center"/>
            </w:pPr>
            <w:r w:rsidRPr="00E92C3F">
              <w:rPr>
                <w:rFonts w:ascii="Calibri" w:hAnsi="Calibri" w:cs="Arial"/>
                <w:b/>
                <w:bCs/>
                <w:kern w:val="24"/>
                <w:lang w:val="en-CA"/>
              </w:rPr>
              <w:t>Status Quo (Baseline)</w:t>
            </w:r>
          </w:p>
        </w:tc>
        <w:tc>
          <w:tcPr>
            <w:tcW w:w="2394" w:type="dxa"/>
            <w:shd w:val="clear" w:color="auto" w:fill="BFBFBF" w:themeFill="background1" w:themeFillShade="BF"/>
          </w:tcPr>
          <w:p w:rsidR="004C2044" w:rsidRPr="00447F5C" w:rsidRDefault="004C2044" w:rsidP="004C2044">
            <w:pPr>
              <w:pStyle w:val="NormalWeb"/>
              <w:spacing w:before="0" w:beforeAutospacing="0" w:after="0" w:afterAutospacing="0"/>
              <w:jc w:val="center"/>
              <w:rPr>
                <w:rFonts w:ascii="Arial" w:hAnsi="Arial" w:cs="Arial"/>
                <w:sz w:val="36"/>
                <w:szCs w:val="36"/>
              </w:rPr>
            </w:pPr>
            <w:r w:rsidRPr="00E92C3F">
              <w:rPr>
                <w:rFonts w:ascii="Calibri" w:hAnsi="Calibri" w:cs="Arial"/>
                <w:b/>
                <w:bCs/>
                <w:kern w:val="24"/>
                <w:lang w:val="en-CA"/>
              </w:rPr>
              <w:t>Option 2</w:t>
            </w:r>
          </w:p>
          <w:p w:rsidR="004C2044" w:rsidRDefault="004C2044" w:rsidP="00A24259">
            <w:pPr>
              <w:jc w:val="center"/>
            </w:pPr>
            <w:r w:rsidRPr="00E92C3F">
              <w:rPr>
                <w:rFonts w:ascii="Calibri" w:hAnsi="Calibri" w:cs="Arial"/>
                <w:b/>
                <w:bCs/>
                <w:kern w:val="24"/>
                <w:lang w:val="en-CA"/>
              </w:rPr>
              <w:t>Harmonized Folder structure</w:t>
            </w:r>
          </w:p>
        </w:tc>
        <w:tc>
          <w:tcPr>
            <w:tcW w:w="2394" w:type="dxa"/>
            <w:shd w:val="clear" w:color="auto" w:fill="BFBFBF" w:themeFill="background1" w:themeFillShade="BF"/>
          </w:tcPr>
          <w:p w:rsidR="004C2044" w:rsidRPr="00447F5C" w:rsidRDefault="004C2044" w:rsidP="004C2044">
            <w:pPr>
              <w:pStyle w:val="NormalWeb"/>
              <w:spacing w:before="0" w:beforeAutospacing="0" w:after="0" w:afterAutospacing="0"/>
              <w:jc w:val="center"/>
              <w:rPr>
                <w:rFonts w:ascii="Arial" w:hAnsi="Arial" w:cs="Arial"/>
                <w:sz w:val="36"/>
                <w:szCs w:val="36"/>
              </w:rPr>
            </w:pPr>
            <w:r w:rsidRPr="00E92C3F">
              <w:rPr>
                <w:rFonts w:ascii="Calibri" w:hAnsi="Calibri" w:cs="Arial"/>
                <w:b/>
                <w:bCs/>
                <w:kern w:val="24"/>
                <w:lang w:val="en-CA"/>
              </w:rPr>
              <w:t>Option 3</w:t>
            </w:r>
          </w:p>
          <w:p w:rsidR="004C2044" w:rsidRDefault="004C2044" w:rsidP="00A24259">
            <w:pPr>
              <w:jc w:val="center"/>
            </w:pPr>
            <w:r w:rsidRPr="00E92C3F">
              <w:rPr>
                <w:rFonts w:ascii="Calibri" w:hAnsi="Calibri" w:cs="Arial"/>
                <w:b/>
                <w:bCs/>
                <w:kern w:val="24"/>
                <w:lang w:val="en-CA"/>
              </w:rPr>
              <w:t>Custom IMDRF Message Standard</w:t>
            </w:r>
          </w:p>
        </w:tc>
        <w:tc>
          <w:tcPr>
            <w:tcW w:w="2394" w:type="dxa"/>
            <w:shd w:val="clear" w:color="auto" w:fill="BFBFBF" w:themeFill="background1" w:themeFillShade="BF"/>
          </w:tcPr>
          <w:p w:rsidR="004C2044" w:rsidRPr="00447F5C" w:rsidRDefault="004C2044" w:rsidP="004C2044">
            <w:pPr>
              <w:pStyle w:val="NormalWeb"/>
              <w:spacing w:before="0" w:beforeAutospacing="0" w:after="0" w:afterAutospacing="0"/>
              <w:jc w:val="center"/>
              <w:rPr>
                <w:rFonts w:ascii="Arial" w:hAnsi="Arial" w:cs="Arial"/>
                <w:sz w:val="36"/>
                <w:szCs w:val="36"/>
              </w:rPr>
            </w:pPr>
            <w:r w:rsidRPr="00E92C3F">
              <w:rPr>
                <w:rFonts w:ascii="Calibri" w:hAnsi="Calibri" w:cs="Arial"/>
                <w:b/>
                <w:bCs/>
                <w:kern w:val="24"/>
                <w:lang w:val="en-CA"/>
              </w:rPr>
              <w:t>Option 4</w:t>
            </w:r>
          </w:p>
          <w:p w:rsidR="004C2044" w:rsidRDefault="004C2044" w:rsidP="00A24259">
            <w:pPr>
              <w:jc w:val="center"/>
            </w:pPr>
            <w:r w:rsidRPr="00E92C3F">
              <w:rPr>
                <w:rFonts w:ascii="Calibri" w:hAnsi="Calibri" w:cs="Arial"/>
                <w:b/>
                <w:bCs/>
                <w:kern w:val="24"/>
                <w:lang w:val="en-CA"/>
              </w:rPr>
              <w:t>HL7 RPS Message Standard</w:t>
            </w:r>
          </w:p>
        </w:tc>
      </w:tr>
      <w:tr w:rsidR="004C2044" w:rsidTr="00A24259">
        <w:tc>
          <w:tcPr>
            <w:tcW w:w="2394" w:type="dxa"/>
            <w:vAlign w:val="center"/>
          </w:tcPr>
          <w:p w:rsidR="004C2044" w:rsidRDefault="004C2044" w:rsidP="00A24259">
            <w:pPr>
              <w:jc w:val="center"/>
            </w:pPr>
            <w:r>
              <w:rPr>
                <w:rFonts w:ascii="Arial" w:hAnsi="Arial" w:cs="Arial"/>
                <w:color w:val="000000"/>
                <w:sz w:val="22"/>
                <w:szCs w:val="22"/>
                <w:lang w:eastAsia="en-CA"/>
              </w:rPr>
              <w:t>45</w:t>
            </w:r>
            <w:r w:rsidRPr="00AC18C4">
              <w:rPr>
                <w:rFonts w:ascii="Arial" w:hAnsi="Arial" w:cs="Arial"/>
                <w:color w:val="000000"/>
                <w:sz w:val="22"/>
                <w:szCs w:val="22"/>
                <w:lang w:eastAsia="en-CA"/>
              </w:rPr>
              <w:t>.0</w:t>
            </w:r>
          </w:p>
        </w:tc>
        <w:tc>
          <w:tcPr>
            <w:tcW w:w="2394" w:type="dxa"/>
            <w:vAlign w:val="center"/>
          </w:tcPr>
          <w:p w:rsidR="004C2044" w:rsidRDefault="004C2044" w:rsidP="00A24259">
            <w:pPr>
              <w:jc w:val="center"/>
            </w:pPr>
            <w:r>
              <w:rPr>
                <w:rFonts w:ascii="Arial" w:hAnsi="Arial" w:cs="Arial"/>
                <w:color w:val="000000"/>
                <w:sz w:val="22"/>
                <w:szCs w:val="22"/>
                <w:u w:val="single"/>
                <w:lang w:eastAsia="en-CA"/>
              </w:rPr>
              <w:t>48.9</w:t>
            </w:r>
          </w:p>
        </w:tc>
        <w:tc>
          <w:tcPr>
            <w:tcW w:w="2394" w:type="dxa"/>
            <w:vAlign w:val="center"/>
          </w:tcPr>
          <w:p w:rsidR="004C2044" w:rsidRDefault="004C2044" w:rsidP="00A24259">
            <w:pPr>
              <w:jc w:val="center"/>
            </w:pPr>
            <w:r>
              <w:rPr>
                <w:rFonts w:ascii="Arial" w:hAnsi="Arial" w:cs="Arial"/>
                <w:color w:val="000000"/>
                <w:sz w:val="22"/>
                <w:szCs w:val="22"/>
                <w:u w:val="single"/>
                <w:lang w:eastAsia="en-CA"/>
              </w:rPr>
              <w:t>51.5</w:t>
            </w:r>
          </w:p>
        </w:tc>
        <w:tc>
          <w:tcPr>
            <w:tcW w:w="2394" w:type="dxa"/>
            <w:vAlign w:val="center"/>
          </w:tcPr>
          <w:p w:rsidR="004C2044" w:rsidRDefault="004C2044" w:rsidP="00A24259">
            <w:pPr>
              <w:jc w:val="center"/>
            </w:pPr>
            <w:r>
              <w:rPr>
                <w:rFonts w:ascii="Arial" w:hAnsi="Arial" w:cs="Arial"/>
                <w:color w:val="000000"/>
                <w:sz w:val="22"/>
                <w:szCs w:val="22"/>
                <w:u w:val="single"/>
                <w:lang w:eastAsia="en-CA"/>
              </w:rPr>
              <w:t>52.3</w:t>
            </w:r>
          </w:p>
        </w:tc>
      </w:tr>
    </w:tbl>
    <w:p w:rsidR="002E22C0" w:rsidRDefault="002E22C0" w:rsidP="00EE5245"/>
    <w:p w:rsidR="004C2044" w:rsidRDefault="000B2D32" w:rsidP="004C2044">
      <w:r>
        <w:t>If the recommendation is accepted</w:t>
      </w:r>
      <w:r w:rsidR="004C2044">
        <w:t>, the RPS WG recommends creation of a publicly available strategy that details milestones to RPS implementation,</w:t>
      </w:r>
      <w:r w:rsidR="004D717A">
        <w:t xml:space="preserve"> including incremental steps to achieve a full implementation</w:t>
      </w:r>
      <w:r w:rsidR="004C2044">
        <w:t xml:space="preserve">.  The strategy should include </w:t>
      </w:r>
      <w:r w:rsidR="00A90596">
        <w:t xml:space="preserve">a </w:t>
      </w:r>
      <w:r w:rsidR="004C2044">
        <w:t xml:space="preserve">high level </w:t>
      </w:r>
      <w:r w:rsidR="004D717A">
        <w:t>sequence of events</w:t>
      </w:r>
      <w:r w:rsidR="004C2044">
        <w:t xml:space="preserve"> to provide stakeholders a rough idea of when key changes will occur, and </w:t>
      </w:r>
      <w:r w:rsidR="004D717A">
        <w:t>may require regions to conduct economic impact assessments prior to the implementation of the recommendation</w:t>
      </w:r>
      <w:r w:rsidR="004C2044">
        <w:t>.</w:t>
      </w:r>
    </w:p>
    <w:p w:rsidR="006439C7" w:rsidRDefault="006439C7" w:rsidP="006439C7">
      <w:pPr>
        <w:pStyle w:val="Heading1"/>
        <w:numPr>
          <w:ilvl w:val="0"/>
          <w:numId w:val="0"/>
        </w:numPr>
        <w:ind w:left="432" w:hanging="432"/>
        <w:sectPr w:rsidR="006439C7" w:rsidSect="009C4B4B">
          <w:footerReference w:type="default" r:id="rId17"/>
          <w:pgSz w:w="12240" w:h="15840"/>
          <w:pgMar w:top="720" w:right="1440" w:bottom="720" w:left="720" w:header="720" w:footer="720" w:gutter="0"/>
          <w:cols w:space="720"/>
          <w:docGrid w:linePitch="360"/>
        </w:sectPr>
      </w:pPr>
    </w:p>
    <w:p w:rsidR="00917AD2" w:rsidRDefault="00917AD2" w:rsidP="00917AD2">
      <w:pPr>
        <w:pStyle w:val="Heading1"/>
      </w:pPr>
      <w:bookmarkStart w:id="8" w:name="_Toc425422212"/>
      <w:r>
        <w:lastRenderedPageBreak/>
        <w:t xml:space="preserve">Business </w:t>
      </w:r>
      <w:r w:rsidR="00AB04F0">
        <w:t>Drivers &amp; Requirements</w:t>
      </w:r>
      <w:bookmarkEnd w:id="8"/>
    </w:p>
    <w:p w:rsidR="00283CA1" w:rsidRDefault="003D7CE5" w:rsidP="00575122">
      <w:r>
        <w:fldChar w:fldCharType="begin"/>
      </w:r>
      <w:r>
        <w:instrText xml:space="preserve"> REF _Ref417300179 \h </w:instrText>
      </w:r>
      <w:r>
        <w:fldChar w:fldCharType="separate"/>
      </w:r>
      <w:r w:rsidR="00B36C15">
        <w:t xml:space="preserve">Table </w:t>
      </w:r>
      <w:r w:rsidR="00B36C15">
        <w:rPr>
          <w:noProof/>
        </w:rPr>
        <w:t>1</w:t>
      </w:r>
      <w:r>
        <w:fldChar w:fldCharType="end"/>
      </w:r>
      <w:r w:rsidR="00725970">
        <w:t xml:space="preserve"> outlines the business challenges, and objectives related to the message exchange format used for submissions.  The table also shows high level benefits if each business objective is fully met.  </w:t>
      </w:r>
    </w:p>
    <w:p w:rsidR="00283CA1" w:rsidRDefault="00283CA1" w:rsidP="00575122"/>
    <w:p w:rsidR="00AB04F0" w:rsidRDefault="00D5065E" w:rsidP="00575122">
      <w:r>
        <w:t>Because e</w:t>
      </w:r>
      <w:r w:rsidR="00725970">
        <w:t>ach area may impact different stakeholders</w:t>
      </w:r>
      <w:r>
        <w:t>, s</w:t>
      </w:r>
      <w:r w:rsidR="00725970">
        <w:t xml:space="preserve">takeholders </w:t>
      </w:r>
      <w:r w:rsidR="00283CA1">
        <w:t>impacted by</w:t>
      </w:r>
      <w:r w:rsidR="00DE6000">
        <w:t xml:space="preserve"> </w:t>
      </w:r>
      <w:r w:rsidR="00283CA1">
        <w:t>each</w:t>
      </w:r>
      <w:r w:rsidR="00725970">
        <w:t xml:space="preserve"> objective</w:t>
      </w:r>
      <w:r w:rsidR="00283CA1">
        <w:t xml:space="preserve"> are also noted</w:t>
      </w:r>
      <w:r w:rsidR="00527289">
        <w:t xml:space="preserve">.  Each of the resulting objectives will be used as a basis for the evaluation, and </w:t>
      </w:r>
      <w:r w:rsidR="00332D42">
        <w:t>were</w:t>
      </w:r>
      <w:r w:rsidR="00527289">
        <w:t xml:space="preserve"> scored by each of the stakeholders.</w:t>
      </w:r>
    </w:p>
    <w:p w:rsidR="00283CA1" w:rsidRDefault="00283CA1" w:rsidP="00575122"/>
    <w:p w:rsidR="003D7CE5" w:rsidRDefault="003D7CE5" w:rsidP="003D7CE5">
      <w:pPr>
        <w:pStyle w:val="Caption"/>
        <w:keepNext/>
      </w:pPr>
      <w:bookmarkStart w:id="9" w:name="_Ref417300179"/>
      <w:r>
        <w:t xml:space="preserve">Table </w:t>
      </w:r>
      <w:r w:rsidR="00F966E2">
        <w:fldChar w:fldCharType="begin"/>
      </w:r>
      <w:r w:rsidR="00F966E2">
        <w:instrText xml:space="preserve"> SEQ Table \* ARABIC </w:instrText>
      </w:r>
      <w:r w:rsidR="00F966E2">
        <w:fldChar w:fldCharType="separate"/>
      </w:r>
      <w:r w:rsidR="00B36C15">
        <w:rPr>
          <w:noProof/>
        </w:rPr>
        <w:t>1</w:t>
      </w:r>
      <w:r w:rsidR="00F966E2">
        <w:rPr>
          <w:noProof/>
        </w:rPr>
        <w:fldChar w:fldCharType="end"/>
      </w:r>
      <w:bookmarkEnd w:id="9"/>
      <w:r>
        <w:t xml:space="preserve"> - Challenges, Business Objectives &amp; Potential Benefits</w:t>
      </w:r>
    </w:p>
    <w:tbl>
      <w:tblPr>
        <w:tblStyle w:val="TableGrid"/>
        <w:tblW w:w="12978" w:type="dxa"/>
        <w:tblLook w:val="04A0" w:firstRow="1" w:lastRow="0" w:firstColumn="1" w:lastColumn="0" w:noHBand="0" w:noVBand="1"/>
      </w:tblPr>
      <w:tblGrid>
        <w:gridCol w:w="2173"/>
        <w:gridCol w:w="3425"/>
        <w:gridCol w:w="2880"/>
        <w:gridCol w:w="2610"/>
        <w:gridCol w:w="1890"/>
      </w:tblGrid>
      <w:tr w:rsidR="00AB04F0" w:rsidRPr="00D87748" w:rsidTr="009C4B4B">
        <w:trPr>
          <w:cantSplit/>
          <w:tblHeader/>
        </w:trPr>
        <w:tc>
          <w:tcPr>
            <w:tcW w:w="2173" w:type="dxa"/>
            <w:shd w:val="clear" w:color="auto" w:fill="A6A6A6" w:themeFill="background1" w:themeFillShade="A6"/>
          </w:tcPr>
          <w:p w:rsidR="0000694B" w:rsidRPr="007D63CB" w:rsidRDefault="00AA2FD4">
            <w:pPr>
              <w:spacing w:after="200" w:line="276" w:lineRule="auto"/>
              <w:rPr>
                <w:b/>
              </w:rPr>
            </w:pPr>
            <w:r w:rsidRPr="007D63CB">
              <w:rPr>
                <w:b/>
              </w:rPr>
              <w:t>Problem Area</w:t>
            </w:r>
          </w:p>
        </w:tc>
        <w:tc>
          <w:tcPr>
            <w:tcW w:w="3425" w:type="dxa"/>
            <w:shd w:val="clear" w:color="auto" w:fill="A6A6A6" w:themeFill="background1" w:themeFillShade="A6"/>
          </w:tcPr>
          <w:p w:rsidR="0000694B" w:rsidRPr="007D63CB" w:rsidRDefault="00D87748">
            <w:pPr>
              <w:spacing w:after="200" w:line="276" w:lineRule="auto"/>
              <w:rPr>
                <w:b/>
              </w:rPr>
            </w:pPr>
            <w:r w:rsidRPr="007D63CB">
              <w:rPr>
                <w:b/>
              </w:rPr>
              <w:t xml:space="preserve">Problem </w:t>
            </w:r>
            <w:r w:rsidR="00AA2FD4" w:rsidRPr="007D63CB">
              <w:rPr>
                <w:b/>
              </w:rPr>
              <w:t>Description</w:t>
            </w:r>
          </w:p>
        </w:tc>
        <w:tc>
          <w:tcPr>
            <w:tcW w:w="2880" w:type="dxa"/>
            <w:shd w:val="clear" w:color="auto" w:fill="A6A6A6" w:themeFill="background1" w:themeFillShade="A6"/>
          </w:tcPr>
          <w:p w:rsidR="0000694B" w:rsidRPr="007D63CB" w:rsidRDefault="00AA2FD4">
            <w:pPr>
              <w:spacing w:after="200" w:line="276" w:lineRule="auto"/>
              <w:rPr>
                <w:b/>
              </w:rPr>
            </w:pPr>
            <w:r w:rsidRPr="007D63CB">
              <w:rPr>
                <w:b/>
              </w:rPr>
              <w:t>Resulting Objective(s)</w:t>
            </w:r>
          </w:p>
        </w:tc>
        <w:tc>
          <w:tcPr>
            <w:tcW w:w="2610" w:type="dxa"/>
            <w:shd w:val="clear" w:color="auto" w:fill="A6A6A6" w:themeFill="background1" w:themeFillShade="A6"/>
          </w:tcPr>
          <w:p w:rsidR="0000694B" w:rsidRPr="007D63CB" w:rsidRDefault="00AA2FD4">
            <w:pPr>
              <w:spacing w:after="200" w:line="276" w:lineRule="auto"/>
              <w:rPr>
                <w:b/>
              </w:rPr>
            </w:pPr>
            <w:r w:rsidRPr="007D63CB">
              <w:rPr>
                <w:b/>
              </w:rPr>
              <w:t>Projected Benefits</w:t>
            </w:r>
          </w:p>
        </w:tc>
        <w:tc>
          <w:tcPr>
            <w:tcW w:w="1890" w:type="dxa"/>
            <w:shd w:val="clear" w:color="auto" w:fill="A6A6A6" w:themeFill="background1" w:themeFillShade="A6"/>
          </w:tcPr>
          <w:p w:rsidR="0000694B" w:rsidRPr="007D63CB" w:rsidRDefault="00A4725C">
            <w:pPr>
              <w:spacing w:after="200" w:line="276" w:lineRule="auto"/>
              <w:rPr>
                <w:b/>
              </w:rPr>
            </w:pPr>
            <w:r>
              <w:rPr>
                <w:b/>
              </w:rPr>
              <w:t xml:space="preserve">Stakeholder </w:t>
            </w:r>
            <w:r w:rsidR="00AA2FD4" w:rsidRPr="007D63CB">
              <w:rPr>
                <w:b/>
              </w:rPr>
              <w:t>Impact</w:t>
            </w:r>
          </w:p>
        </w:tc>
      </w:tr>
      <w:tr w:rsidR="00AB04F0" w:rsidTr="009C4B4B">
        <w:trPr>
          <w:cantSplit/>
        </w:trPr>
        <w:tc>
          <w:tcPr>
            <w:tcW w:w="2173" w:type="dxa"/>
            <w:vMerge w:val="restart"/>
          </w:tcPr>
          <w:p w:rsidR="00817FD3" w:rsidRPr="007D63CB" w:rsidRDefault="00817FD3" w:rsidP="00D92D3F">
            <w:pPr>
              <w:spacing w:after="200" w:line="276" w:lineRule="auto"/>
            </w:pPr>
            <w:r w:rsidRPr="007D63CB">
              <w:t xml:space="preserve">No </w:t>
            </w:r>
            <w:r w:rsidR="00AB04F0" w:rsidRPr="007D63CB">
              <w:t>h</w:t>
            </w:r>
            <w:r w:rsidRPr="007D63CB">
              <w:t xml:space="preserve">armonized </w:t>
            </w:r>
            <w:r w:rsidR="00D92D3F" w:rsidRPr="007D63CB">
              <w:t>c</w:t>
            </w:r>
            <w:r w:rsidR="005141E5" w:rsidRPr="007D63CB">
              <w:t xml:space="preserve">ommon </w:t>
            </w:r>
            <w:r w:rsidR="00D92D3F" w:rsidRPr="007D63CB">
              <w:t>message  exchange f</w:t>
            </w:r>
            <w:r w:rsidRPr="007D63CB">
              <w:t>ormat</w:t>
            </w:r>
            <w:r w:rsidR="00D92D3F" w:rsidRPr="007D63CB">
              <w:t xml:space="preserve"> for submissions</w:t>
            </w:r>
          </w:p>
        </w:tc>
        <w:tc>
          <w:tcPr>
            <w:tcW w:w="3425" w:type="dxa"/>
          </w:tcPr>
          <w:p w:rsidR="00817FD3" w:rsidRPr="007D63CB" w:rsidRDefault="00F818E2" w:rsidP="00D87748">
            <w:pPr>
              <w:textAlignment w:val="center"/>
              <w:rPr>
                <w:szCs w:val="24"/>
              </w:rPr>
            </w:pPr>
            <w:r w:rsidRPr="00911356">
              <w:t>The</w:t>
            </w:r>
            <w:r w:rsidR="00817FD3" w:rsidRPr="007D63CB">
              <w:t xml:space="preserve"> format required for submissions currently varies across different regions.  Some markets accept only paper.  Others require a collection of PDF files in a specific folder structure.  Some require upload of submission documents to a website.  These differences require manufacturers to manage multiple technical tools and processes to support submissions.</w:t>
            </w:r>
          </w:p>
          <w:p w:rsidR="00817FD3" w:rsidRPr="007D63CB" w:rsidRDefault="00817FD3">
            <w:pPr>
              <w:spacing w:after="200" w:line="276" w:lineRule="auto"/>
            </w:pPr>
          </w:p>
        </w:tc>
        <w:tc>
          <w:tcPr>
            <w:tcW w:w="2880" w:type="dxa"/>
          </w:tcPr>
          <w:p w:rsidR="00817FD3" w:rsidRPr="007D63CB" w:rsidRDefault="00283CA1" w:rsidP="00447F5C">
            <w:pPr>
              <w:spacing w:after="200" w:line="276" w:lineRule="auto"/>
            </w:pPr>
            <w:r w:rsidRPr="00283CA1">
              <w:t>Efficiently produce submissions for mu</w:t>
            </w:r>
            <w:r w:rsidR="00447F5C">
              <w:t>l</w:t>
            </w:r>
            <w:r w:rsidRPr="00283CA1">
              <w:t>tiple regions without managing multiple submission creation processes, and software tools</w:t>
            </w:r>
          </w:p>
        </w:tc>
        <w:tc>
          <w:tcPr>
            <w:tcW w:w="2610" w:type="dxa"/>
          </w:tcPr>
          <w:p w:rsidR="00817FD3" w:rsidRPr="007D63CB" w:rsidRDefault="00817FD3">
            <w:pPr>
              <w:spacing w:after="200" w:line="276" w:lineRule="auto"/>
            </w:pPr>
            <w:r w:rsidRPr="007D63CB">
              <w:t>Reduce effort / cost to support multiple technical exchange formats across different regulators</w:t>
            </w:r>
          </w:p>
        </w:tc>
        <w:tc>
          <w:tcPr>
            <w:tcW w:w="1890" w:type="dxa"/>
          </w:tcPr>
          <w:p w:rsidR="00DF3421" w:rsidRPr="007D63CB" w:rsidRDefault="00D63E44">
            <w:pPr>
              <w:spacing w:after="200" w:line="276" w:lineRule="auto"/>
            </w:pPr>
            <w:r w:rsidRPr="007D63CB">
              <w:t>Industry</w:t>
            </w:r>
          </w:p>
        </w:tc>
      </w:tr>
      <w:tr w:rsidR="00AB04F0" w:rsidTr="009C4B4B">
        <w:trPr>
          <w:cantSplit/>
        </w:trPr>
        <w:tc>
          <w:tcPr>
            <w:tcW w:w="2173" w:type="dxa"/>
            <w:vMerge/>
          </w:tcPr>
          <w:p w:rsidR="00817FD3" w:rsidRPr="007D63CB" w:rsidRDefault="00817FD3">
            <w:pPr>
              <w:spacing w:after="200" w:line="276" w:lineRule="auto"/>
            </w:pPr>
          </w:p>
        </w:tc>
        <w:tc>
          <w:tcPr>
            <w:tcW w:w="3425" w:type="dxa"/>
          </w:tcPr>
          <w:p w:rsidR="00F52C03" w:rsidRPr="00EE5245" w:rsidRDefault="00C5250F">
            <w:pPr>
              <w:spacing w:after="200" w:line="276" w:lineRule="auto"/>
              <w:rPr>
                <w:szCs w:val="24"/>
              </w:rPr>
            </w:pPr>
            <w:r w:rsidRPr="00EE5245">
              <w:rPr>
                <w:szCs w:val="24"/>
              </w:rPr>
              <w:t xml:space="preserve">Effective </w:t>
            </w:r>
            <w:r w:rsidR="00EC0505" w:rsidRPr="00EE5245">
              <w:rPr>
                <w:szCs w:val="24"/>
              </w:rPr>
              <w:t>e</w:t>
            </w:r>
            <w:r w:rsidR="00F52C03" w:rsidRPr="00EE5245">
              <w:rPr>
                <w:szCs w:val="24"/>
              </w:rPr>
              <w:t xml:space="preserve">xchange of information </w:t>
            </w:r>
            <w:r w:rsidRPr="00EE5245">
              <w:rPr>
                <w:szCs w:val="24"/>
              </w:rPr>
              <w:t xml:space="preserve">among world </w:t>
            </w:r>
            <w:r w:rsidR="00F52C03" w:rsidRPr="00EE5245">
              <w:rPr>
                <w:szCs w:val="24"/>
              </w:rPr>
              <w:t xml:space="preserve">regulators </w:t>
            </w:r>
            <w:r w:rsidR="00EC0505" w:rsidRPr="00EE5245">
              <w:rPr>
                <w:szCs w:val="24"/>
              </w:rPr>
              <w:t xml:space="preserve">is currently limited due to the variety of required submission formats.  </w:t>
            </w:r>
            <w:r w:rsidRPr="00EE5245">
              <w:rPr>
                <w:szCs w:val="24"/>
              </w:rPr>
              <w:t xml:space="preserve"> </w:t>
            </w:r>
          </w:p>
          <w:p w:rsidR="00817FD3" w:rsidRPr="00287C96" w:rsidRDefault="00C5250F">
            <w:pPr>
              <w:spacing w:after="200" w:line="276" w:lineRule="auto"/>
            </w:pPr>
            <w:r>
              <w:t>In  some cases, the l</w:t>
            </w:r>
            <w:r w:rsidR="00DF3421" w:rsidRPr="007D63CB">
              <w:t xml:space="preserve">ack of a harmonized </w:t>
            </w:r>
            <w:r w:rsidR="00287C96">
              <w:t xml:space="preserve">message </w:t>
            </w:r>
            <w:r w:rsidR="00DF3421" w:rsidRPr="00287C96">
              <w:t xml:space="preserve">exchange format </w:t>
            </w:r>
            <w:r w:rsidR="00287C96">
              <w:t xml:space="preserve">for submissions </w:t>
            </w:r>
            <w:r>
              <w:t xml:space="preserve">may </w:t>
            </w:r>
            <w:r w:rsidR="00DF3421" w:rsidRPr="00287C96">
              <w:t>result in an</w:t>
            </w:r>
            <w:r w:rsidR="00F818E2" w:rsidRPr="00287C96">
              <w:t xml:space="preserve"> i</w:t>
            </w:r>
            <w:r w:rsidR="00817FD3" w:rsidRPr="00287C96">
              <w:t>nability to effectively exchange information with intra-regional regulators</w:t>
            </w:r>
          </w:p>
          <w:p w:rsidR="00817FD3" w:rsidRPr="007D63CB" w:rsidRDefault="00817FD3" w:rsidP="00D87748">
            <w:pPr>
              <w:rPr>
                <w:sz w:val="22"/>
                <w:szCs w:val="22"/>
              </w:rPr>
            </w:pPr>
          </w:p>
          <w:p w:rsidR="00817FD3" w:rsidRPr="007D63CB" w:rsidRDefault="00817FD3" w:rsidP="00D87748">
            <w:pPr>
              <w:rPr>
                <w:sz w:val="22"/>
                <w:szCs w:val="22"/>
              </w:rPr>
            </w:pPr>
          </w:p>
          <w:p w:rsidR="00817FD3" w:rsidRPr="007D63CB" w:rsidRDefault="00817FD3" w:rsidP="00F818E2">
            <w:pPr>
              <w:spacing w:after="200" w:line="276" w:lineRule="auto"/>
            </w:pPr>
          </w:p>
        </w:tc>
        <w:tc>
          <w:tcPr>
            <w:tcW w:w="2880" w:type="dxa"/>
          </w:tcPr>
          <w:p w:rsidR="00817FD3" w:rsidRPr="007D63CB" w:rsidRDefault="00817FD3" w:rsidP="00931AE0">
            <w:pPr>
              <w:spacing w:after="200" w:line="276" w:lineRule="auto"/>
            </w:pPr>
            <w:r w:rsidRPr="007D63CB">
              <w:t xml:space="preserve">Enable efficient exchange of information amongst regulators.  </w:t>
            </w:r>
          </w:p>
        </w:tc>
        <w:tc>
          <w:tcPr>
            <w:tcW w:w="2610" w:type="dxa"/>
          </w:tcPr>
          <w:p w:rsidR="00817FD3" w:rsidRPr="007D63CB" w:rsidRDefault="00817FD3">
            <w:pPr>
              <w:spacing w:after="200" w:line="276" w:lineRule="auto"/>
            </w:pPr>
            <w:r w:rsidRPr="007D63CB">
              <w:t>Provide a means for more efficient exchange of information among regulators worldwide.</w:t>
            </w:r>
          </w:p>
        </w:tc>
        <w:tc>
          <w:tcPr>
            <w:tcW w:w="1890" w:type="dxa"/>
          </w:tcPr>
          <w:p w:rsidR="00D63E44" w:rsidRPr="007D63CB" w:rsidRDefault="00D63E44">
            <w:pPr>
              <w:spacing w:after="200" w:line="276" w:lineRule="auto"/>
            </w:pPr>
            <w:r w:rsidRPr="007D63CB">
              <w:t>Regulators</w:t>
            </w:r>
          </w:p>
        </w:tc>
      </w:tr>
      <w:tr w:rsidR="00AB04F0" w:rsidTr="009C4B4B">
        <w:trPr>
          <w:cantSplit/>
        </w:trPr>
        <w:tc>
          <w:tcPr>
            <w:tcW w:w="2173" w:type="dxa"/>
            <w:vMerge w:val="restart"/>
          </w:tcPr>
          <w:p w:rsidR="00817FD3" w:rsidRPr="007D63CB" w:rsidRDefault="008A2AAC">
            <w:pPr>
              <w:spacing w:after="200" w:line="276" w:lineRule="auto"/>
            </w:pPr>
            <w:r w:rsidRPr="007D63CB">
              <w:lastRenderedPageBreak/>
              <w:t xml:space="preserve">Managing </w:t>
            </w:r>
            <w:r w:rsidR="00817FD3" w:rsidRPr="007D63CB">
              <w:t>Submission &amp; Content Lifecycle</w:t>
            </w:r>
          </w:p>
        </w:tc>
        <w:tc>
          <w:tcPr>
            <w:tcW w:w="3425" w:type="dxa"/>
          </w:tcPr>
          <w:p w:rsidR="00817FD3" w:rsidRPr="00287C96" w:rsidRDefault="00817FD3" w:rsidP="00287C96">
            <w:pPr>
              <w:spacing w:after="200" w:line="276" w:lineRule="auto"/>
            </w:pPr>
            <w:r w:rsidRPr="007D63CB">
              <w:t>Inability to connect submission content over time</w:t>
            </w:r>
            <w:r w:rsidR="00CA4BE9" w:rsidRPr="007D63CB">
              <w:t>.  During the lifecycle of a product, many submissions are made to a regulator.  In addition to the initial submission to ga</w:t>
            </w:r>
            <w:r w:rsidR="008A2AAC" w:rsidRPr="007D63CB">
              <w:t xml:space="preserve">in product approval, more </w:t>
            </w:r>
            <w:r w:rsidR="00CA4BE9" w:rsidRPr="007D63CB">
              <w:t>information is supplied in response to review questions</w:t>
            </w:r>
            <w:r w:rsidR="00287C96">
              <w:t>.</w:t>
            </w:r>
            <w:r w:rsidR="00CA4BE9" w:rsidRPr="00287C96">
              <w:t xml:space="preserve"> </w:t>
            </w:r>
            <w:r w:rsidR="00287C96">
              <w:t>Over time c</w:t>
            </w:r>
            <w:r w:rsidR="00CA4BE9" w:rsidRPr="00287C96">
              <w:t xml:space="preserve">hanges are made to the </w:t>
            </w:r>
            <w:proofErr w:type="gramStart"/>
            <w:r w:rsidR="00CA4BE9" w:rsidRPr="00287C96">
              <w:t>product that require</w:t>
            </w:r>
            <w:proofErr w:type="gramEnd"/>
            <w:r w:rsidR="00CA4BE9" w:rsidRPr="00287C96">
              <w:t xml:space="preserve"> additional submissions.  </w:t>
            </w:r>
            <w:r w:rsidR="005141E5" w:rsidRPr="00287C96">
              <w:t>Currently, t</w:t>
            </w:r>
            <w:r w:rsidR="00CA4BE9" w:rsidRPr="00287C96">
              <w:t>here is not a way to show how the documents provided to support product approval change over time; or to easily see the current set of documents that support marketing of the product.</w:t>
            </w:r>
          </w:p>
        </w:tc>
        <w:tc>
          <w:tcPr>
            <w:tcW w:w="2880" w:type="dxa"/>
          </w:tcPr>
          <w:p w:rsidR="00817FD3" w:rsidRPr="007D63CB" w:rsidRDefault="00817FD3" w:rsidP="002A7959">
            <w:r w:rsidRPr="00287C96">
              <w:t xml:space="preserve">Enable a </w:t>
            </w:r>
            <w:r w:rsidR="00931AE0" w:rsidRPr="00287C96">
              <w:t>clear view to the</w:t>
            </w:r>
            <w:r w:rsidR="00931AE0" w:rsidRPr="00E37CAA">
              <w:t xml:space="preserve"> lifecycle of A</w:t>
            </w:r>
            <w:r w:rsidRPr="007D63CB">
              <w:t>pplication content over time, as well as the ability to quickly see the most current version of an Application.</w:t>
            </w:r>
          </w:p>
          <w:p w:rsidR="00817FD3" w:rsidRPr="007D63CB" w:rsidRDefault="00817FD3">
            <w:pPr>
              <w:spacing w:after="200" w:line="276" w:lineRule="auto"/>
            </w:pPr>
          </w:p>
        </w:tc>
        <w:tc>
          <w:tcPr>
            <w:tcW w:w="2610" w:type="dxa"/>
          </w:tcPr>
          <w:p w:rsidR="00817FD3" w:rsidRPr="007D63CB" w:rsidRDefault="00817FD3">
            <w:pPr>
              <w:spacing w:after="200" w:line="276" w:lineRule="auto"/>
            </w:pPr>
            <w:r w:rsidRPr="007D63CB">
              <w:t>Provide a means for more efficient  traceability of submission content over the course of the product lifecycle</w:t>
            </w:r>
          </w:p>
        </w:tc>
        <w:tc>
          <w:tcPr>
            <w:tcW w:w="1890" w:type="dxa"/>
          </w:tcPr>
          <w:p w:rsidR="00931AE0" w:rsidRPr="007D63CB" w:rsidRDefault="00931AE0">
            <w:pPr>
              <w:spacing w:after="200" w:line="276" w:lineRule="auto"/>
            </w:pPr>
            <w:r w:rsidRPr="007D63CB">
              <w:t>Regulators and Industry</w:t>
            </w:r>
          </w:p>
        </w:tc>
      </w:tr>
      <w:tr w:rsidR="00AB04F0" w:rsidTr="009C4B4B">
        <w:trPr>
          <w:cantSplit/>
        </w:trPr>
        <w:tc>
          <w:tcPr>
            <w:tcW w:w="2173" w:type="dxa"/>
            <w:vMerge/>
          </w:tcPr>
          <w:p w:rsidR="00817FD3" w:rsidRPr="007D63CB" w:rsidRDefault="00817FD3">
            <w:pPr>
              <w:spacing w:after="200" w:line="276" w:lineRule="auto"/>
            </w:pPr>
          </w:p>
        </w:tc>
        <w:tc>
          <w:tcPr>
            <w:tcW w:w="3425" w:type="dxa"/>
          </w:tcPr>
          <w:p w:rsidR="00817FD3" w:rsidRPr="007D63CB" w:rsidRDefault="00AA2FD4" w:rsidP="005141E5">
            <w:pPr>
              <w:textAlignment w:val="center"/>
            </w:pPr>
            <w:r w:rsidRPr="007D63CB">
              <w:t>Inability to access data from premarket submissions</w:t>
            </w:r>
            <w:r w:rsidR="008A2AAC" w:rsidRPr="007D63CB">
              <w:t xml:space="preserve"> during</w:t>
            </w:r>
            <w:r w:rsidRPr="007D63CB">
              <w:t xml:space="preserve"> post market surveillance within a single regulatory agency (harvesting information from premarket forms and documents </w:t>
            </w:r>
            <w:proofErr w:type="gramStart"/>
            <w:r w:rsidRPr="007D63CB">
              <w:t>-  e.g</w:t>
            </w:r>
            <w:proofErr w:type="gramEnd"/>
            <w:r w:rsidRPr="007D63CB">
              <w:t>., device descriptions, risk assessment, other documents submitted premarket).</w:t>
            </w:r>
          </w:p>
        </w:tc>
        <w:tc>
          <w:tcPr>
            <w:tcW w:w="2880" w:type="dxa"/>
          </w:tcPr>
          <w:p w:rsidR="00817FD3" w:rsidRPr="007D63CB" w:rsidRDefault="008A2AAC" w:rsidP="00887757">
            <w:r w:rsidRPr="007D63CB">
              <w:t>Include</w:t>
            </w:r>
            <w:r w:rsidR="00817FD3" w:rsidRPr="007D63CB">
              <w:t xml:space="preserve"> additional metadata on submission content for better discovery in the future (i.e., TOC headings and keywords).</w:t>
            </w:r>
          </w:p>
          <w:p w:rsidR="00817FD3" w:rsidRPr="007D63CB" w:rsidRDefault="00817FD3">
            <w:pPr>
              <w:spacing w:after="200" w:line="276" w:lineRule="auto"/>
            </w:pPr>
          </w:p>
        </w:tc>
        <w:tc>
          <w:tcPr>
            <w:tcW w:w="2610" w:type="dxa"/>
          </w:tcPr>
          <w:p w:rsidR="00817FD3" w:rsidRPr="007D63CB" w:rsidRDefault="005141E5" w:rsidP="005141E5">
            <w:pPr>
              <w:spacing w:after="200" w:line="276" w:lineRule="auto"/>
            </w:pPr>
            <w:r w:rsidRPr="007D63CB">
              <w:t>Allow for more information in support of post market surveillance</w:t>
            </w:r>
          </w:p>
        </w:tc>
        <w:tc>
          <w:tcPr>
            <w:tcW w:w="1890" w:type="dxa"/>
          </w:tcPr>
          <w:p w:rsidR="00CA4BE9" w:rsidRPr="007D63CB" w:rsidRDefault="00CA4BE9">
            <w:pPr>
              <w:spacing w:after="200" w:line="276" w:lineRule="auto"/>
            </w:pPr>
            <w:r w:rsidRPr="007D63CB">
              <w:t>Regulators</w:t>
            </w:r>
          </w:p>
        </w:tc>
      </w:tr>
      <w:tr w:rsidR="00AB04F0" w:rsidTr="009C4B4B">
        <w:trPr>
          <w:cantSplit/>
        </w:trPr>
        <w:tc>
          <w:tcPr>
            <w:tcW w:w="2173" w:type="dxa"/>
            <w:vMerge/>
          </w:tcPr>
          <w:p w:rsidR="00AB04F0" w:rsidRPr="007D63CB" w:rsidRDefault="00AB04F0">
            <w:pPr>
              <w:spacing w:after="200" w:line="276" w:lineRule="auto"/>
            </w:pPr>
          </w:p>
        </w:tc>
        <w:tc>
          <w:tcPr>
            <w:tcW w:w="3425" w:type="dxa"/>
          </w:tcPr>
          <w:p w:rsidR="00AB04F0" w:rsidRPr="00956448" w:rsidRDefault="00AB04F0" w:rsidP="008A2AAC">
            <w:pPr>
              <w:textAlignment w:val="center"/>
            </w:pPr>
            <w:r w:rsidRPr="00956448">
              <w:t>Inability to transfer submission ownership and history between regulators (if an applicant changes notified bodies), or to another applicant (if a company is acquired or product line divested).</w:t>
            </w:r>
          </w:p>
          <w:p w:rsidR="00AB04F0" w:rsidRPr="00956448" w:rsidRDefault="00AB04F0" w:rsidP="008A2AAC">
            <w:pPr>
              <w:textAlignment w:val="center"/>
            </w:pPr>
          </w:p>
        </w:tc>
        <w:tc>
          <w:tcPr>
            <w:tcW w:w="2880" w:type="dxa"/>
          </w:tcPr>
          <w:p w:rsidR="00AB04F0" w:rsidRPr="007D63CB" w:rsidRDefault="00AB04F0" w:rsidP="00F818E2">
            <w:r w:rsidRPr="007D63CB">
              <w:t xml:space="preserve">Provide a mechanism through which the full submission lifecycle for a product can be easily transferred between stakeholders </w:t>
            </w:r>
          </w:p>
          <w:p w:rsidR="00AB04F0" w:rsidRPr="007D63CB" w:rsidRDefault="00AB04F0" w:rsidP="00F818E2"/>
        </w:tc>
        <w:tc>
          <w:tcPr>
            <w:tcW w:w="2610" w:type="dxa"/>
          </w:tcPr>
          <w:p w:rsidR="00AB04F0" w:rsidRPr="007D63CB" w:rsidRDefault="00AB04F0">
            <w:pPr>
              <w:spacing w:after="200" w:line="276" w:lineRule="auto"/>
            </w:pPr>
            <w:r w:rsidRPr="007D63CB">
              <w:t>Improves efficiency, compliance and accuracy when transferring submissions</w:t>
            </w:r>
          </w:p>
        </w:tc>
        <w:tc>
          <w:tcPr>
            <w:tcW w:w="1890" w:type="dxa"/>
          </w:tcPr>
          <w:p w:rsidR="00AB04F0" w:rsidRPr="007D63CB" w:rsidRDefault="00AB04F0" w:rsidP="00AB04F0">
            <w:pPr>
              <w:spacing w:after="200" w:line="276" w:lineRule="auto"/>
            </w:pPr>
          </w:p>
          <w:p w:rsidR="00AB04F0" w:rsidRPr="007D63CB" w:rsidRDefault="00AB04F0" w:rsidP="00AB04F0">
            <w:pPr>
              <w:spacing w:after="200" w:line="276" w:lineRule="auto"/>
            </w:pPr>
            <w:r w:rsidRPr="007D63CB">
              <w:t>Industry and Regulators</w:t>
            </w:r>
          </w:p>
        </w:tc>
      </w:tr>
      <w:tr w:rsidR="00AB04F0" w:rsidTr="009C4B4B">
        <w:trPr>
          <w:cantSplit/>
        </w:trPr>
        <w:tc>
          <w:tcPr>
            <w:tcW w:w="2173" w:type="dxa"/>
            <w:vMerge/>
          </w:tcPr>
          <w:p w:rsidR="00817FD3" w:rsidRPr="007D63CB" w:rsidRDefault="00817FD3">
            <w:pPr>
              <w:spacing w:after="200" w:line="276" w:lineRule="auto"/>
            </w:pPr>
          </w:p>
        </w:tc>
        <w:tc>
          <w:tcPr>
            <w:tcW w:w="3425" w:type="dxa"/>
          </w:tcPr>
          <w:p w:rsidR="00817FD3" w:rsidRPr="007D63CB" w:rsidRDefault="00150ECB" w:rsidP="008A2AAC">
            <w:pPr>
              <w:textAlignment w:val="center"/>
            </w:pPr>
            <w:r w:rsidRPr="00956448">
              <w:t>Submissions for the same product may be made to various regulators at different points in the product lifecycle.  Future changes to the product may require submissions in some countries and not others.  This results in each country having a different set of documentation that is considered current for the same product.  In planning future submissions, industry needs to research / understand the set of documentation that is considered “current” in each market.</w:t>
            </w:r>
          </w:p>
        </w:tc>
        <w:tc>
          <w:tcPr>
            <w:tcW w:w="2880" w:type="dxa"/>
          </w:tcPr>
          <w:p w:rsidR="00F818E2" w:rsidRPr="007D63CB" w:rsidRDefault="00F818E2" w:rsidP="00F818E2">
            <w:r w:rsidRPr="007D63CB">
              <w:t>When product changes result in changes to submitted documentation, facilitate more efficient analysis of which submissions and which regions would be impacted by the change.</w:t>
            </w:r>
          </w:p>
          <w:p w:rsidR="00817FD3" w:rsidRPr="007D63CB" w:rsidRDefault="00817FD3">
            <w:pPr>
              <w:spacing w:after="200" w:line="276" w:lineRule="auto"/>
            </w:pPr>
          </w:p>
        </w:tc>
        <w:tc>
          <w:tcPr>
            <w:tcW w:w="2610" w:type="dxa"/>
          </w:tcPr>
          <w:p w:rsidR="00817FD3" w:rsidRDefault="00287C96">
            <w:pPr>
              <w:spacing w:after="200" w:line="276" w:lineRule="auto"/>
            </w:pPr>
            <w:r>
              <w:t>Improve efficiency in review of product changes to determine regulatory impact</w:t>
            </w:r>
          </w:p>
          <w:p w:rsidR="00287C96" w:rsidRPr="00287C96" w:rsidRDefault="00287C96">
            <w:pPr>
              <w:spacing w:after="200" w:line="276" w:lineRule="auto"/>
            </w:pPr>
          </w:p>
        </w:tc>
        <w:tc>
          <w:tcPr>
            <w:tcW w:w="1890" w:type="dxa"/>
          </w:tcPr>
          <w:p w:rsidR="00FF0D8B" w:rsidRPr="007D63CB" w:rsidRDefault="00FF0D8B">
            <w:pPr>
              <w:spacing w:after="200" w:line="276" w:lineRule="auto"/>
            </w:pPr>
            <w:r w:rsidRPr="007D63CB">
              <w:t>Industry</w:t>
            </w:r>
          </w:p>
        </w:tc>
      </w:tr>
      <w:tr w:rsidR="00AB04F0" w:rsidTr="009C4B4B">
        <w:trPr>
          <w:cantSplit/>
        </w:trPr>
        <w:tc>
          <w:tcPr>
            <w:tcW w:w="2173" w:type="dxa"/>
          </w:tcPr>
          <w:p w:rsidR="001F71A8" w:rsidRPr="007D63CB" w:rsidRDefault="001F71A8">
            <w:pPr>
              <w:spacing w:after="200" w:line="276" w:lineRule="auto"/>
            </w:pPr>
          </w:p>
        </w:tc>
        <w:tc>
          <w:tcPr>
            <w:tcW w:w="3425" w:type="dxa"/>
          </w:tcPr>
          <w:p w:rsidR="001F71A8" w:rsidRPr="007D63CB" w:rsidRDefault="001F71A8" w:rsidP="001F71A8">
            <w:pPr>
              <w:spacing w:after="200" w:line="276" w:lineRule="auto"/>
            </w:pPr>
            <w:r w:rsidRPr="007D63CB">
              <w:t>Some current systems (if available) require manual effort to determine how a current market application (i.e. submission) relates to a previous market</w:t>
            </w:r>
            <w:r w:rsidR="0067417E" w:rsidRPr="007D63CB">
              <w:t>ing</w:t>
            </w:r>
            <w:r w:rsidRPr="007D63CB">
              <w:t xml:space="preserve"> </w:t>
            </w:r>
            <w:r w:rsidRPr="00287C96">
              <w:t>application</w:t>
            </w:r>
            <w:r w:rsidR="0067417E" w:rsidRPr="00287C96">
              <w:t>(s)</w:t>
            </w:r>
            <w:r w:rsidR="008A2AAC" w:rsidRPr="00287C96">
              <w:t xml:space="preserve">.  For example, a submission for a </w:t>
            </w:r>
            <w:r w:rsidR="008A2AAC" w:rsidRPr="007D63CB">
              <w:t xml:space="preserve">manufacturing process change may cover multiple </w:t>
            </w:r>
            <w:r w:rsidR="00287C96">
              <w:t>a</w:t>
            </w:r>
            <w:r w:rsidR="008A2AAC" w:rsidRPr="00287C96">
              <w:t xml:space="preserve">pplications.  The </w:t>
            </w:r>
            <w:r w:rsidR="00287C96">
              <w:t>a</w:t>
            </w:r>
            <w:r w:rsidR="008A2AAC" w:rsidRPr="00287C96">
              <w:t>pplications impacted are currently described in document content.  This requires regulators and industry to locate those relationships and manually enter them into tracking systems.</w:t>
            </w:r>
          </w:p>
          <w:p w:rsidR="001F71A8" w:rsidRPr="007D63CB" w:rsidRDefault="001F71A8" w:rsidP="00817FD3">
            <w:pPr>
              <w:rPr>
                <w:sz w:val="22"/>
                <w:szCs w:val="22"/>
              </w:rPr>
            </w:pPr>
          </w:p>
        </w:tc>
        <w:tc>
          <w:tcPr>
            <w:tcW w:w="2880" w:type="dxa"/>
          </w:tcPr>
          <w:p w:rsidR="001F71A8" w:rsidRPr="007D63CB" w:rsidRDefault="001F71A8">
            <w:pPr>
              <w:spacing w:after="200" w:line="276" w:lineRule="auto"/>
            </w:pPr>
            <w:r w:rsidRPr="007D63CB">
              <w:t>Enable regulators and industry to consistently and clearly identify / communicate how a submission relates to previous applications</w:t>
            </w:r>
          </w:p>
        </w:tc>
        <w:tc>
          <w:tcPr>
            <w:tcW w:w="2610" w:type="dxa"/>
          </w:tcPr>
          <w:p w:rsidR="00287C96" w:rsidRDefault="005141E5" w:rsidP="005141E5">
            <w:pPr>
              <w:spacing w:after="200" w:line="276" w:lineRule="auto"/>
            </w:pPr>
            <w:r w:rsidRPr="007D63CB">
              <w:t xml:space="preserve">Allow </w:t>
            </w:r>
            <w:r w:rsidR="00283CA1">
              <w:t xml:space="preserve">a </w:t>
            </w:r>
            <w:r w:rsidR="00CD53AD">
              <w:t xml:space="preserve">better </w:t>
            </w:r>
            <w:r w:rsidRPr="007D63CB">
              <w:t>understanding of application history</w:t>
            </w:r>
            <w:r w:rsidR="00287C96">
              <w:t>.</w:t>
            </w:r>
          </w:p>
          <w:p w:rsidR="001F71A8" w:rsidRPr="00287C96" w:rsidRDefault="00287C96" w:rsidP="00287C96">
            <w:pPr>
              <w:spacing w:after="200" w:line="276" w:lineRule="auto"/>
            </w:pPr>
            <w:r>
              <w:t>E</w:t>
            </w:r>
            <w:r w:rsidR="005141E5" w:rsidRPr="00287C96">
              <w:t>nables more efficient resource utili</w:t>
            </w:r>
            <w:r>
              <w:t>z</w:t>
            </w:r>
            <w:r w:rsidR="005141E5" w:rsidRPr="00287C96">
              <w:t>ation</w:t>
            </w:r>
            <w:r>
              <w:t>.</w:t>
            </w:r>
          </w:p>
        </w:tc>
        <w:tc>
          <w:tcPr>
            <w:tcW w:w="1890" w:type="dxa"/>
          </w:tcPr>
          <w:p w:rsidR="00DB2DD5" w:rsidRPr="007D63CB" w:rsidRDefault="008730D0">
            <w:pPr>
              <w:spacing w:after="200" w:line="276" w:lineRule="auto"/>
            </w:pPr>
            <w:r w:rsidRPr="007D63CB">
              <w:t>Regulators</w:t>
            </w:r>
            <w:r w:rsidR="0067417E" w:rsidRPr="007D63CB">
              <w:t xml:space="preserve"> </w:t>
            </w:r>
            <w:r w:rsidR="00182A4F">
              <w:t>and</w:t>
            </w:r>
            <w:r w:rsidR="0067417E" w:rsidRPr="007D63CB">
              <w:t xml:space="preserve"> Industry</w:t>
            </w:r>
          </w:p>
        </w:tc>
      </w:tr>
      <w:tr w:rsidR="00AB04F0" w:rsidTr="009C4B4B">
        <w:trPr>
          <w:cantSplit/>
        </w:trPr>
        <w:tc>
          <w:tcPr>
            <w:tcW w:w="2173" w:type="dxa"/>
            <w:vMerge w:val="restart"/>
          </w:tcPr>
          <w:p w:rsidR="0067417E" w:rsidRPr="00A65750" w:rsidRDefault="00AB04F0">
            <w:pPr>
              <w:spacing w:after="200" w:line="276" w:lineRule="auto"/>
              <w:rPr>
                <w:szCs w:val="24"/>
              </w:rPr>
            </w:pPr>
            <w:r w:rsidRPr="007D63CB">
              <w:rPr>
                <w:szCs w:val="24"/>
              </w:rPr>
              <w:t>Use of Paper  by some stakeholders as a preferred format in management of submissions</w:t>
            </w:r>
          </w:p>
        </w:tc>
        <w:tc>
          <w:tcPr>
            <w:tcW w:w="3425" w:type="dxa"/>
          </w:tcPr>
          <w:p w:rsidR="005141E5" w:rsidRPr="00956448" w:rsidRDefault="0067417E" w:rsidP="00AB04F0">
            <w:pPr>
              <w:rPr>
                <w:szCs w:val="24"/>
              </w:rPr>
            </w:pPr>
            <w:r w:rsidRPr="00956448">
              <w:rPr>
                <w:szCs w:val="24"/>
              </w:rPr>
              <w:t>Locating information provided in paper is time consuming and prone to error.  Other industries have moved to electronic information</w:t>
            </w:r>
            <w:r w:rsidR="00287C96">
              <w:rPr>
                <w:szCs w:val="24"/>
              </w:rPr>
              <w:t>. The</w:t>
            </w:r>
            <w:r w:rsidR="00A904A3">
              <w:rPr>
                <w:szCs w:val="24"/>
              </w:rPr>
              <w:t xml:space="preserve"> </w:t>
            </w:r>
            <w:r w:rsidR="00287C96">
              <w:rPr>
                <w:szCs w:val="24"/>
              </w:rPr>
              <w:t>medical</w:t>
            </w:r>
            <w:r w:rsidR="00A904A3">
              <w:rPr>
                <w:szCs w:val="24"/>
              </w:rPr>
              <w:t xml:space="preserve"> </w:t>
            </w:r>
            <w:r w:rsidRPr="00956448">
              <w:rPr>
                <w:szCs w:val="24"/>
              </w:rPr>
              <w:t>device</w:t>
            </w:r>
            <w:r w:rsidR="00287C96">
              <w:rPr>
                <w:szCs w:val="24"/>
              </w:rPr>
              <w:t xml:space="preserve"> industry</w:t>
            </w:r>
            <w:r w:rsidRPr="00956448">
              <w:rPr>
                <w:szCs w:val="24"/>
              </w:rPr>
              <w:t xml:space="preserve"> needs to move in that direction as well.</w:t>
            </w:r>
          </w:p>
        </w:tc>
        <w:tc>
          <w:tcPr>
            <w:tcW w:w="2880" w:type="dxa"/>
          </w:tcPr>
          <w:p w:rsidR="0067417E" w:rsidRPr="00287C96" w:rsidRDefault="0067417E" w:rsidP="00C849A0">
            <w:pPr>
              <w:spacing w:after="200" w:line="276" w:lineRule="auto"/>
              <w:rPr>
                <w:szCs w:val="24"/>
              </w:rPr>
            </w:pPr>
            <w:r w:rsidRPr="007D63CB">
              <w:rPr>
                <w:szCs w:val="24"/>
              </w:rPr>
              <w:t xml:space="preserve">Enable efficient access </w:t>
            </w:r>
            <w:r w:rsidR="00C849A0">
              <w:rPr>
                <w:szCs w:val="24"/>
              </w:rPr>
              <w:t xml:space="preserve">(for appropriate parties) to </w:t>
            </w:r>
            <w:r w:rsidRPr="007D63CB">
              <w:rPr>
                <w:szCs w:val="24"/>
              </w:rPr>
              <w:t>information provided electronically in submissions</w:t>
            </w:r>
          </w:p>
        </w:tc>
        <w:tc>
          <w:tcPr>
            <w:tcW w:w="2610" w:type="dxa"/>
          </w:tcPr>
          <w:p w:rsidR="00C849A0" w:rsidRDefault="0067417E">
            <w:pPr>
              <w:spacing w:after="200" w:line="276" w:lineRule="auto"/>
              <w:rPr>
                <w:szCs w:val="24"/>
              </w:rPr>
            </w:pPr>
            <w:r w:rsidRPr="00287C96">
              <w:rPr>
                <w:szCs w:val="24"/>
              </w:rPr>
              <w:t>Provide a more efficient means of accessing regulated submission content</w:t>
            </w:r>
            <w:r w:rsidR="00C849A0">
              <w:rPr>
                <w:szCs w:val="24"/>
              </w:rPr>
              <w:t>.</w:t>
            </w:r>
            <w:r w:rsidR="005141E5" w:rsidRPr="00287C96">
              <w:rPr>
                <w:szCs w:val="24"/>
              </w:rPr>
              <w:t xml:space="preserve"> </w:t>
            </w:r>
          </w:p>
          <w:p w:rsidR="0067417E" w:rsidRPr="00287C96" w:rsidRDefault="00C849A0">
            <w:pPr>
              <w:spacing w:after="200" w:line="276" w:lineRule="auto"/>
              <w:rPr>
                <w:szCs w:val="24"/>
              </w:rPr>
            </w:pPr>
            <w:r>
              <w:rPr>
                <w:szCs w:val="24"/>
              </w:rPr>
              <w:t>E</w:t>
            </w:r>
            <w:r w:rsidR="005141E5" w:rsidRPr="00287C96">
              <w:rPr>
                <w:szCs w:val="24"/>
              </w:rPr>
              <w:t xml:space="preserve">nable more efficient resource </w:t>
            </w:r>
            <w:r w:rsidR="00287C96">
              <w:rPr>
                <w:szCs w:val="24"/>
              </w:rPr>
              <w:t>utilization</w:t>
            </w:r>
          </w:p>
        </w:tc>
        <w:tc>
          <w:tcPr>
            <w:tcW w:w="1890" w:type="dxa"/>
          </w:tcPr>
          <w:p w:rsidR="0067417E" w:rsidRPr="00C5250F" w:rsidRDefault="0067417E">
            <w:pPr>
              <w:spacing w:after="200" w:line="276" w:lineRule="auto"/>
              <w:rPr>
                <w:szCs w:val="24"/>
              </w:rPr>
            </w:pPr>
            <w:r w:rsidRPr="00F52C03">
              <w:rPr>
                <w:szCs w:val="24"/>
              </w:rPr>
              <w:t xml:space="preserve">Regulators </w:t>
            </w:r>
            <w:r w:rsidR="00182A4F">
              <w:rPr>
                <w:szCs w:val="24"/>
              </w:rPr>
              <w:t>and</w:t>
            </w:r>
            <w:r w:rsidRPr="00F52C03">
              <w:rPr>
                <w:szCs w:val="24"/>
              </w:rPr>
              <w:t xml:space="preserve"> Industry</w:t>
            </w:r>
          </w:p>
        </w:tc>
      </w:tr>
      <w:tr w:rsidR="00AB04F0" w:rsidTr="009C4B4B">
        <w:trPr>
          <w:cantSplit/>
        </w:trPr>
        <w:tc>
          <w:tcPr>
            <w:tcW w:w="2173" w:type="dxa"/>
            <w:vMerge/>
          </w:tcPr>
          <w:p w:rsidR="0067417E" w:rsidRPr="00956448" w:rsidRDefault="0067417E">
            <w:pPr>
              <w:spacing w:after="200" w:line="276" w:lineRule="auto"/>
              <w:rPr>
                <w:szCs w:val="24"/>
              </w:rPr>
            </w:pPr>
          </w:p>
        </w:tc>
        <w:tc>
          <w:tcPr>
            <w:tcW w:w="3425" w:type="dxa"/>
          </w:tcPr>
          <w:p w:rsidR="0067417E" w:rsidRPr="00956448" w:rsidRDefault="0067417E" w:rsidP="00D87748">
            <w:pPr>
              <w:textAlignment w:val="center"/>
              <w:rPr>
                <w:szCs w:val="24"/>
              </w:rPr>
            </w:pPr>
            <w:r w:rsidRPr="00956448">
              <w:rPr>
                <w:szCs w:val="24"/>
              </w:rPr>
              <w:t xml:space="preserve">Storage of paper submissions is expensive.  Although few industry stakeholders still retain paper, some regulators do. </w:t>
            </w:r>
          </w:p>
          <w:p w:rsidR="0067417E" w:rsidRPr="00956448" w:rsidRDefault="0067417E" w:rsidP="00D87748">
            <w:pPr>
              <w:textAlignment w:val="center"/>
              <w:rPr>
                <w:szCs w:val="24"/>
              </w:rPr>
            </w:pPr>
          </w:p>
          <w:p w:rsidR="0067417E" w:rsidRPr="007D63CB" w:rsidRDefault="0067417E" w:rsidP="00D87748">
            <w:pPr>
              <w:textAlignment w:val="center"/>
              <w:rPr>
                <w:szCs w:val="24"/>
              </w:rPr>
            </w:pPr>
          </w:p>
        </w:tc>
        <w:tc>
          <w:tcPr>
            <w:tcW w:w="2880" w:type="dxa"/>
          </w:tcPr>
          <w:p w:rsidR="0067417E" w:rsidRPr="00F52C03" w:rsidRDefault="0067417E">
            <w:pPr>
              <w:spacing w:after="200" w:line="276" w:lineRule="auto"/>
              <w:rPr>
                <w:szCs w:val="24"/>
              </w:rPr>
            </w:pPr>
            <w:r w:rsidRPr="00A65750">
              <w:rPr>
                <w:szCs w:val="24"/>
              </w:rPr>
              <w:t xml:space="preserve">Enable a solution for electronic storage of product submissions </w:t>
            </w:r>
          </w:p>
        </w:tc>
        <w:tc>
          <w:tcPr>
            <w:tcW w:w="2610" w:type="dxa"/>
          </w:tcPr>
          <w:p w:rsidR="0067417E" w:rsidRPr="00F52C03" w:rsidRDefault="005141E5">
            <w:pPr>
              <w:spacing w:after="200" w:line="276" w:lineRule="auto"/>
              <w:rPr>
                <w:szCs w:val="24"/>
              </w:rPr>
            </w:pPr>
            <w:r w:rsidRPr="00F52C03">
              <w:rPr>
                <w:szCs w:val="24"/>
              </w:rPr>
              <w:t>Significant reduction in storage costs</w:t>
            </w:r>
          </w:p>
        </w:tc>
        <w:tc>
          <w:tcPr>
            <w:tcW w:w="1890" w:type="dxa"/>
          </w:tcPr>
          <w:p w:rsidR="0067417E" w:rsidRPr="00956448" w:rsidRDefault="0067417E">
            <w:pPr>
              <w:spacing w:after="200" w:line="276" w:lineRule="auto"/>
              <w:rPr>
                <w:szCs w:val="24"/>
              </w:rPr>
            </w:pPr>
            <w:r w:rsidRPr="00C5250F">
              <w:rPr>
                <w:szCs w:val="24"/>
              </w:rPr>
              <w:t xml:space="preserve">Regulators </w:t>
            </w:r>
            <w:r w:rsidR="00182A4F">
              <w:rPr>
                <w:szCs w:val="24"/>
              </w:rPr>
              <w:t>and</w:t>
            </w:r>
            <w:r w:rsidRPr="00C5250F">
              <w:rPr>
                <w:szCs w:val="24"/>
              </w:rPr>
              <w:t xml:space="preserve"> Industry</w:t>
            </w:r>
          </w:p>
        </w:tc>
      </w:tr>
      <w:tr w:rsidR="00AB04F0" w:rsidTr="00D5065E">
        <w:trPr>
          <w:cantSplit/>
        </w:trPr>
        <w:tc>
          <w:tcPr>
            <w:tcW w:w="2173" w:type="dxa"/>
            <w:vMerge/>
            <w:tcBorders>
              <w:bottom w:val="single" w:sz="4" w:space="0" w:color="auto"/>
            </w:tcBorders>
          </w:tcPr>
          <w:p w:rsidR="0067417E" w:rsidRPr="00956448" w:rsidRDefault="0067417E">
            <w:pPr>
              <w:spacing w:after="200" w:line="276" w:lineRule="auto"/>
              <w:rPr>
                <w:szCs w:val="24"/>
              </w:rPr>
            </w:pPr>
          </w:p>
        </w:tc>
        <w:tc>
          <w:tcPr>
            <w:tcW w:w="3425" w:type="dxa"/>
          </w:tcPr>
          <w:p w:rsidR="0067417E" w:rsidRPr="00956448" w:rsidRDefault="0067417E" w:rsidP="00C849A0">
            <w:pPr>
              <w:textAlignment w:val="center"/>
              <w:rPr>
                <w:szCs w:val="24"/>
              </w:rPr>
            </w:pPr>
            <w:r w:rsidRPr="00956448">
              <w:rPr>
                <w:szCs w:val="24"/>
              </w:rPr>
              <w:t>It is difficult to distribute paper to multiple reviewers.  Access / review by remote workers requires availability of electronic documents</w:t>
            </w:r>
          </w:p>
        </w:tc>
        <w:tc>
          <w:tcPr>
            <w:tcW w:w="2880" w:type="dxa"/>
          </w:tcPr>
          <w:p w:rsidR="005141E5" w:rsidRPr="00C5250F" w:rsidRDefault="00A21275" w:rsidP="00956448">
            <w:pPr>
              <w:spacing w:after="200" w:line="276" w:lineRule="auto"/>
              <w:rPr>
                <w:szCs w:val="24"/>
              </w:rPr>
            </w:pPr>
            <w:r w:rsidRPr="007D63CB">
              <w:rPr>
                <w:szCs w:val="24"/>
              </w:rPr>
              <w:t xml:space="preserve">Enable </w:t>
            </w:r>
            <w:r w:rsidR="00222780" w:rsidRPr="007D63CB">
              <w:rPr>
                <w:szCs w:val="24"/>
              </w:rPr>
              <w:t xml:space="preserve">efficient </w:t>
            </w:r>
            <w:r w:rsidRPr="00A65750">
              <w:rPr>
                <w:szCs w:val="24"/>
              </w:rPr>
              <w:t xml:space="preserve">simultaneous </w:t>
            </w:r>
            <w:r w:rsidR="00222780" w:rsidRPr="00F52C03">
              <w:rPr>
                <w:szCs w:val="24"/>
              </w:rPr>
              <w:t>access</w:t>
            </w:r>
            <w:r w:rsidRPr="00F52C03">
              <w:rPr>
                <w:szCs w:val="24"/>
              </w:rPr>
              <w:t xml:space="preserve"> to information (</w:t>
            </w:r>
            <w:r w:rsidRPr="00C5250F">
              <w:rPr>
                <w:szCs w:val="24"/>
              </w:rPr>
              <w:t>for reviewers</w:t>
            </w:r>
            <w:r w:rsidR="00222780" w:rsidRPr="00C5250F">
              <w:rPr>
                <w:szCs w:val="24"/>
              </w:rPr>
              <w:t>) provided electronically in submissions</w:t>
            </w:r>
            <w:r w:rsidR="00222780" w:rsidRPr="00C5250F" w:rsidDel="00222780">
              <w:rPr>
                <w:szCs w:val="24"/>
              </w:rPr>
              <w:t xml:space="preserve"> </w:t>
            </w:r>
          </w:p>
        </w:tc>
        <w:tc>
          <w:tcPr>
            <w:tcW w:w="2610" w:type="dxa"/>
          </w:tcPr>
          <w:p w:rsidR="00C849A0" w:rsidRDefault="005141E5" w:rsidP="00C849A0">
            <w:pPr>
              <w:spacing w:after="200" w:line="276" w:lineRule="auto"/>
              <w:rPr>
                <w:szCs w:val="24"/>
              </w:rPr>
            </w:pPr>
            <w:r w:rsidRPr="00956448">
              <w:rPr>
                <w:szCs w:val="24"/>
              </w:rPr>
              <w:t xml:space="preserve">Provide a more efficient means of </w:t>
            </w:r>
            <w:r w:rsidR="00C849A0">
              <w:rPr>
                <w:szCs w:val="24"/>
              </w:rPr>
              <w:t xml:space="preserve">review by </w:t>
            </w:r>
            <w:r w:rsidRPr="00C849A0">
              <w:rPr>
                <w:szCs w:val="24"/>
              </w:rPr>
              <w:t xml:space="preserve">multiple </w:t>
            </w:r>
            <w:r w:rsidR="00C849A0">
              <w:rPr>
                <w:szCs w:val="24"/>
              </w:rPr>
              <w:t>resources.</w:t>
            </w:r>
          </w:p>
          <w:p w:rsidR="0067417E" w:rsidRPr="00C849A0" w:rsidRDefault="00C849A0" w:rsidP="00C849A0">
            <w:pPr>
              <w:spacing w:after="200" w:line="276" w:lineRule="auto"/>
              <w:rPr>
                <w:szCs w:val="24"/>
              </w:rPr>
            </w:pPr>
            <w:r>
              <w:rPr>
                <w:szCs w:val="24"/>
              </w:rPr>
              <w:t>E</w:t>
            </w:r>
            <w:r w:rsidR="005141E5" w:rsidRPr="00C849A0">
              <w:rPr>
                <w:szCs w:val="24"/>
              </w:rPr>
              <w:t>nable more efficient resource utili</w:t>
            </w:r>
            <w:r w:rsidR="00A21275" w:rsidRPr="00C849A0">
              <w:rPr>
                <w:szCs w:val="24"/>
              </w:rPr>
              <w:t>z</w:t>
            </w:r>
            <w:r w:rsidR="005141E5" w:rsidRPr="00C849A0">
              <w:rPr>
                <w:szCs w:val="24"/>
              </w:rPr>
              <w:t>ation</w:t>
            </w:r>
            <w:r>
              <w:rPr>
                <w:szCs w:val="24"/>
              </w:rPr>
              <w:t>.</w:t>
            </w:r>
          </w:p>
        </w:tc>
        <w:tc>
          <w:tcPr>
            <w:tcW w:w="1890" w:type="dxa"/>
          </w:tcPr>
          <w:p w:rsidR="0067417E" w:rsidRPr="00F52C03" w:rsidRDefault="0067417E">
            <w:pPr>
              <w:spacing w:after="200" w:line="276" w:lineRule="auto"/>
              <w:rPr>
                <w:szCs w:val="24"/>
              </w:rPr>
            </w:pPr>
            <w:r w:rsidRPr="00A65750">
              <w:rPr>
                <w:szCs w:val="24"/>
              </w:rPr>
              <w:t>Regulators</w:t>
            </w:r>
          </w:p>
        </w:tc>
      </w:tr>
      <w:tr w:rsidR="00AB04F0" w:rsidTr="00D5065E">
        <w:trPr>
          <w:cantSplit/>
        </w:trPr>
        <w:tc>
          <w:tcPr>
            <w:tcW w:w="2173" w:type="dxa"/>
            <w:tcBorders>
              <w:bottom w:val="single" w:sz="4" w:space="0" w:color="auto"/>
            </w:tcBorders>
          </w:tcPr>
          <w:p w:rsidR="008730D0" w:rsidRPr="00C849A0" w:rsidRDefault="008730D0">
            <w:pPr>
              <w:spacing w:after="200" w:line="276" w:lineRule="auto"/>
              <w:rPr>
                <w:szCs w:val="24"/>
              </w:rPr>
            </w:pPr>
            <w:r w:rsidRPr="007D63CB">
              <w:rPr>
                <w:szCs w:val="24"/>
              </w:rPr>
              <w:t>Submission log-in / Acknowledgements</w:t>
            </w:r>
          </w:p>
        </w:tc>
        <w:tc>
          <w:tcPr>
            <w:tcW w:w="3425" w:type="dxa"/>
          </w:tcPr>
          <w:p w:rsidR="008730D0" w:rsidRPr="00C849A0" w:rsidRDefault="008730D0" w:rsidP="00C849A0">
            <w:pPr>
              <w:spacing w:after="200" w:line="276" w:lineRule="auto"/>
              <w:rPr>
                <w:szCs w:val="24"/>
              </w:rPr>
            </w:pPr>
            <w:r w:rsidRPr="00C849A0">
              <w:rPr>
                <w:szCs w:val="24"/>
              </w:rPr>
              <w:t>Some regions require manual log</w:t>
            </w:r>
            <w:r w:rsidR="00C849A0">
              <w:rPr>
                <w:szCs w:val="24"/>
              </w:rPr>
              <w:t>-in</w:t>
            </w:r>
            <w:r w:rsidRPr="00C849A0">
              <w:rPr>
                <w:szCs w:val="24"/>
              </w:rPr>
              <w:t xml:space="preserve"> </w:t>
            </w:r>
            <w:r w:rsidR="00C849A0">
              <w:rPr>
                <w:szCs w:val="24"/>
              </w:rPr>
              <w:t>to</w:t>
            </w:r>
            <w:r w:rsidRPr="00C849A0">
              <w:rPr>
                <w:szCs w:val="24"/>
              </w:rPr>
              <w:t xml:space="preserve"> rec</w:t>
            </w:r>
            <w:r w:rsidR="00C849A0">
              <w:rPr>
                <w:szCs w:val="24"/>
              </w:rPr>
              <w:t>eive and acknowledge</w:t>
            </w:r>
            <w:r w:rsidRPr="00C849A0">
              <w:rPr>
                <w:szCs w:val="24"/>
              </w:rPr>
              <w:t xml:space="preserve"> of submission</w:t>
            </w:r>
            <w:r w:rsidR="00C849A0">
              <w:rPr>
                <w:szCs w:val="24"/>
              </w:rPr>
              <w:t>s</w:t>
            </w:r>
            <w:r w:rsidRPr="00C849A0">
              <w:rPr>
                <w:szCs w:val="24"/>
              </w:rPr>
              <w:t xml:space="preserve"> (including data entry and upload/routing of content)</w:t>
            </w:r>
          </w:p>
        </w:tc>
        <w:tc>
          <w:tcPr>
            <w:tcW w:w="2880" w:type="dxa"/>
          </w:tcPr>
          <w:p w:rsidR="008730D0" w:rsidRPr="00A65750" w:rsidRDefault="008730D0" w:rsidP="00DF3421">
            <w:pPr>
              <w:rPr>
                <w:szCs w:val="24"/>
              </w:rPr>
            </w:pPr>
            <w:r w:rsidRPr="00C849A0">
              <w:rPr>
                <w:szCs w:val="24"/>
              </w:rPr>
              <w:t>Enable reduction of resources / time required for manual login (data entry, record creation) of submissions</w:t>
            </w:r>
          </w:p>
          <w:p w:rsidR="00222780" w:rsidRPr="00C5250F" w:rsidRDefault="00222780" w:rsidP="00DF3421">
            <w:pPr>
              <w:rPr>
                <w:szCs w:val="24"/>
              </w:rPr>
            </w:pPr>
            <w:r w:rsidRPr="00F52C03">
              <w:rPr>
                <w:szCs w:val="24"/>
              </w:rPr>
              <w:t>Note:  This objective would require the collection of structured data values from indu</w:t>
            </w:r>
            <w:r w:rsidRPr="00C5250F">
              <w:rPr>
                <w:szCs w:val="24"/>
              </w:rPr>
              <w:t>stry</w:t>
            </w:r>
          </w:p>
          <w:p w:rsidR="008730D0" w:rsidRPr="00C5250F" w:rsidRDefault="008730D0">
            <w:pPr>
              <w:spacing w:after="200" w:line="276" w:lineRule="auto"/>
              <w:rPr>
                <w:szCs w:val="24"/>
              </w:rPr>
            </w:pPr>
          </w:p>
        </w:tc>
        <w:tc>
          <w:tcPr>
            <w:tcW w:w="2610" w:type="dxa"/>
          </w:tcPr>
          <w:p w:rsidR="008730D0" w:rsidRPr="00C849A0" w:rsidRDefault="003C4DA8">
            <w:pPr>
              <w:spacing w:after="200" w:line="276" w:lineRule="auto"/>
              <w:rPr>
                <w:szCs w:val="24"/>
              </w:rPr>
            </w:pPr>
            <w:r>
              <w:rPr>
                <w:szCs w:val="24"/>
              </w:rPr>
              <w:t>E</w:t>
            </w:r>
            <w:r w:rsidR="00732A8A" w:rsidRPr="00EC0505">
              <w:rPr>
                <w:szCs w:val="24"/>
              </w:rPr>
              <w:t>nables more efficient resource utili</w:t>
            </w:r>
            <w:r w:rsidR="00C849A0">
              <w:rPr>
                <w:szCs w:val="24"/>
              </w:rPr>
              <w:t>z</w:t>
            </w:r>
            <w:r w:rsidR="00732A8A" w:rsidRPr="00C849A0">
              <w:rPr>
                <w:szCs w:val="24"/>
              </w:rPr>
              <w:t>ation</w:t>
            </w:r>
          </w:p>
        </w:tc>
        <w:tc>
          <w:tcPr>
            <w:tcW w:w="1890" w:type="dxa"/>
          </w:tcPr>
          <w:p w:rsidR="0067417E" w:rsidRPr="00F52C03" w:rsidRDefault="0067417E">
            <w:pPr>
              <w:spacing w:after="200" w:line="276" w:lineRule="auto"/>
              <w:rPr>
                <w:szCs w:val="24"/>
              </w:rPr>
            </w:pPr>
            <w:r w:rsidRPr="00F52C03">
              <w:rPr>
                <w:szCs w:val="24"/>
              </w:rPr>
              <w:t>Regulators</w:t>
            </w:r>
          </w:p>
        </w:tc>
      </w:tr>
      <w:tr w:rsidR="00AB04F0" w:rsidTr="00D5065E">
        <w:trPr>
          <w:cantSplit/>
        </w:trPr>
        <w:tc>
          <w:tcPr>
            <w:tcW w:w="2173" w:type="dxa"/>
            <w:tcBorders>
              <w:top w:val="single" w:sz="4" w:space="0" w:color="auto"/>
            </w:tcBorders>
          </w:tcPr>
          <w:p w:rsidR="008730D0" w:rsidRPr="007D63CB" w:rsidRDefault="008730D0">
            <w:pPr>
              <w:spacing w:after="200" w:line="276" w:lineRule="auto"/>
              <w:rPr>
                <w:szCs w:val="24"/>
              </w:rPr>
            </w:pPr>
          </w:p>
        </w:tc>
        <w:tc>
          <w:tcPr>
            <w:tcW w:w="3425" w:type="dxa"/>
          </w:tcPr>
          <w:p w:rsidR="008730D0" w:rsidRPr="00C849A0" w:rsidRDefault="008730D0" w:rsidP="008730D0">
            <w:pPr>
              <w:spacing w:after="200" w:line="276" w:lineRule="auto"/>
              <w:rPr>
                <w:szCs w:val="24"/>
              </w:rPr>
            </w:pPr>
            <w:r w:rsidRPr="00C849A0">
              <w:rPr>
                <w:szCs w:val="24"/>
              </w:rPr>
              <w:t>Inconsistent manual acknowledgement of successful receipt and validation of technical and regulatory status of submission contents.  In some cases industry finds i</w:t>
            </w:r>
            <w:r w:rsidR="00A21275" w:rsidRPr="00A65750">
              <w:rPr>
                <w:szCs w:val="24"/>
              </w:rPr>
              <w:t>t</w:t>
            </w:r>
            <w:r w:rsidRPr="00F52C03">
              <w:rPr>
                <w:szCs w:val="24"/>
              </w:rPr>
              <w:t xml:space="preserve"> challenging to obtain a clear status for submissions under review.</w:t>
            </w:r>
          </w:p>
        </w:tc>
        <w:tc>
          <w:tcPr>
            <w:tcW w:w="2880" w:type="dxa"/>
          </w:tcPr>
          <w:p w:rsidR="008730D0" w:rsidRPr="00F52C03" w:rsidRDefault="008730D0" w:rsidP="00DF3421">
            <w:pPr>
              <w:rPr>
                <w:szCs w:val="24"/>
              </w:rPr>
            </w:pPr>
            <w:r w:rsidRPr="00A65750">
              <w:rPr>
                <w:szCs w:val="24"/>
              </w:rPr>
              <w:t xml:space="preserve">Provide a way to automatically identify the current review status of a submission.  </w:t>
            </w:r>
          </w:p>
          <w:p w:rsidR="008730D0" w:rsidRPr="00F52C03" w:rsidRDefault="008730D0" w:rsidP="00DF3421">
            <w:pPr>
              <w:rPr>
                <w:szCs w:val="24"/>
              </w:rPr>
            </w:pPr>
          </w:p>
          <w:p w:rsidR="008730D0" w:rsidRPr="00C849A0" w:rsidRDefault="008730D0" w:rsidP="00DF3421">
            <w:pPr>
              <w:rPr>
                <w:szCs w:val="24"/>
              </w:rPr>
            </w:pPr>
          </w:p>
          <w:p w:rsidR="008730D0" w:rsidRPr="00A65750" w:rsidRDefault="008730D0">
            <w:pPr>
              <w:spacing w:after="200" w:line="276" w:lineRule="auto"/>
              <w:rPr>
                <w:szCs w:val="24"/>
              </w:rPr>
            </w:pPr>
          </w:p>
        </w:tc>
        <w:tc>
          <w:tcPr>
            <w:tcW w:w="2610" w:type="dxa"/>
          </w:tcPr>
          <w:p w:rsidR="008730D0" w:rsidRPr="00F52C03" w:rsidRDefault="00732A8A">
            <w:pPr>
              <w:spacing w:after="200" w:line="276" w:lineRule="auto"/>
              <w:rPr>
                <w:szCs w:val="24"/>
              </w:rPr>
            </w:pPr>
            <w:r w:rsidRPr="00F52C03">
              <w:rPr>
                <w:szCs w:val="24"/>
              </w:rPr>
              <w:t>Status of submission is clear</w:t>
            </w:r>
          </w:p>
        </w:tc>
        <w:tc>
          <w:tcPr>
            <w:tcW w:w="1890" w:type="dxa"/>
          </w:tcPr>
          <w:p w:rsidR="008730D0" w:rsidRPr="00C5250F" w:rsidRDefault="008730D0">
            <w:pPr>
              <w:spacing w:after="200" w:line="276" w:lineRule="auto"/>
              <w:rPr>
                <w:szCs w:val="24"/>
              </w:rPr>
            </w:pPr>
            <w:r w:rsidRPr="00C5250F">
              <w:rPr>
                <w:szCs w:val="24"/>
              </w:rPr>
              <w:t>Industry</w:t>
            </w:r>
          </w:p>
        </w:tc>
      </w:tr>
      <w:tr w:rsidR="00AB04F0" w:rsidTr="009C4B4B">
        <w:trPr>
          <w:cantSplit/>
        </w:trPr>
        <w:tc>
          <w:tcPr>
            <w:tcW w:w="2173" w:type="dxa"/>
          </w:tcPr>
          <w:p w:rsidR="008730D0" w:rsidRPr="00C849A0" w:rsidRDefault="00D63E44">
            <w:pPr>
              <w:spacing w:after="200" w:line="276" w:lineRule="auto"/>
              <w:rPr>
                <w:szCs w:val="24"/>
              </w:rPr>
            </w:pPr>
            <w:r w:rsidRPr="007D63CB">
              <w:rPr>
                <w:szCs w:val="24"/>
              </w:rPr>
              <w:t xml:space="preserve">Regulatory Requirement Changes </w:t>
            </w:r>
            <w:r w:rsidR="00C849A0">
              <w:rPr>
                <w:szCs w:val="24"/>
              </w:rPr>
              <w:t>and Submission Lifecycle</w:t>
            </w:r>
          </w:p>
        </w:tc>
        <w:tc>
          <w:tcPr>
            <w:tcW w:w="3425" w:type="dxa"/>
          </w:tcPr>
          <w:p w:rsidR="008730D0" w:rsidRPr="00C849A0" w:rsidRDefault="00C849A0" w:rsidP="00E37CAA">
            <w:pPr>
              <w:spacing w:after="200" w:line="276" w:lineRule="auto"/>
              <w:rPr>
                <w:szCs w:val="24"/>
              </w:rPr>
            </w:pPr>
            <w:r>
              <w:rPr>
                <w:szCs w:val="24"/>
              </w:rPr>
              <w:t>Regulation changes result in changes to requi</w:t>
            </w:r>
            <w:r w:rsidR="00E37CAA">
              <w:rPr>
                <w:szCs w:val="24"/>
              </w:rPr>
              <w:t>red submission content</w:t>
            </w:r>
            <w:r>
              <w:rPr>
                <w:szCs w:val="24"/>
              </w:rPr>
              <w:t xml:space="preserve">.  </w:t>
            </w:r>
            <w:r w:rsidR="00E37CAA">
              <w:rPr>
                <w:szCs w:val="24"/>
              </w:rPr>
              <w:t xml:space="preserve">A single application may include submissions made at different points in time – each of which may include different submission content based on the requirements that applied at the time of submission.  </w:t>
            </w:r>
            <w:r w:rsidR="00D63E44" w:rsidRPr="00C849A0">
              <w:rPr>
                <w:szCs w:val="24"/>
              </w:rPr>
              <w:t xml:space="preserve">It is difficult </w:t>
            </w:r>
            <w:r w:rsidR="00E37CAA">
              <w:rPr>
                <w:szCs w:val="24"/>
              </w:rPr>
              <w:t xml:space="preserve">track the lifecycle of submission content within an Application if the structure (TOC) of all submissions within that application is not consistent. </w:t>
            </w:r>
          </w:p>
        </w:tc>
        <w:tc>
          <w:tcPr>
            <w:tcW w:w="2880" w:type="dxa"/>
          </w:tcPr>
          <w:p w:rsidR="008730D0" w:rsidRPr="00E37CAA" w:rsidRDefault="00E37CAA">
            <w:pPr>
              <w:spacing w:after="200" w:line="276" w:lineRule="auto"/>
              <w:rPr>
                <w:szCs w:val="24"/>
              </w:rPr>
            </w:pPr>
            <w:r>
              <w:rPr>
                <w:szCs w:val="24"/>
              </w:rPr>
              <w:t>Provide a way to maintain the lifecycle of an Application over time when the regulation changes result in TOC variance between submissions.</w:t>
            </w:r>
          </w:p>
        </w:tc>
        <w:tc>
          <w:tcPr>
            <w:tcW w:w="2610" w:type="dxa"/>
          </w:tcPr>
          <w:p w:rsidR="008730D0" w:rsidRPr="00A65750" w:rsidRDefault="008730D0">
            <w:pPr>
              <w:spacing w:after="200" w:line="276" w:lineRule="auto"/>
              <w:rPr>
                <w:szCs w:val="24"/>
              </w:rPr>
            </w:pPr>
          </w:p>
        </w:tc>
        <w:tc>
          <w:tcPr>
            <w:tcW w:w="1890" w:type="dxa"/>
          </w:tcPr>
          <w:p w:rsidR="00182A4F" w:rsidRPr="00F52C03" w:rsidRDefault="00182A4F">
            <w:pPr>
              <w:spacing w:after="200" w:line="276" w:lineRule="auto"/>
              <w:rPr>
                <w:szCs w:val="24"/>
              </w:rPr>
            </w:pPr>
            <w:r>
              <w:rPr>
                <w:szCs w:val="24"/>
              </w:rPr>
              <w:t xml:space="preserve">Regulators and Industry </w:t>
            </w:r>
          </w:p>
        </w:tc>
      </w:tr>
    </w:tbl>
    <w:p w:rsidR="009C4B4B" w:rsidRDefault="009C4B4B">
      <w:pPr>
        <w:spacing w:after="200" w:line="276" w:lineRule="auto"/>
        <w:sectPr w:rsidR="009C4B4B" w:rsidSect="00D60F8C">
          <w:footerReference w:type="default" r:id="rId18"/>
          <w:pgSz w:w="15840" w:h="12240" w:orient="landscape"/>
          <w:pgMar w:top="1440" w:right="1440" w:bottom="1440" w:left="1440" w:header="720" w:footer="720" w:gutter="0"/>
          <w:cols w:space="720"/>
          <w:docGrid w:linePitch="360"/>
        </w:sectPr>
      </w:pPr>
    </w:p>
    <w:p w:rsidR="00A904A3" w:rsidRDefault="00A904A3" w:rsidP="00517FCF">
      <w:pPr>
        <w:spacing w:after="200" w:line="276" w:lineRule="auto"/>
        <w:ind w:firstLine="720"/>
      </w:pPr>
    </w:p>
    <w:p w:rsidR="00CF1CB6" w:rsidRDefault="00370A15" w:rsidP="00CF1CB6">
      <w:pPr>
        <w:spacing w:after="200" w:line="276" w:lineRule="auto"/>
      </w:pPr>
      <w:r>
        <w:t>Lastly, in addition to the objectives stated above</w:t>
      </w:r>
      <w:r w:rsidR="00D00E7B">
        <w:t>,</w:t>
      </w:r>
      <w:r>
        <w:t xml:space="preserve"> the </w:t>
      </w:r>
      <w:r w:rsidR="00B4116D">
        <w:t>c</w:t>
      </w:r>
      <w:r w:rsidRPr="00370A15">
        <w:t>ost to maintain the solution</w:t>
      </w:r>
      <w:r w:rsidR="00B4116D">
        <w:t xml:space="preserve"> and standard </w:t>
      </w:r>
      <w:r w:rsidR="00D63D3C">
        <w:t>are</w:t>
      </w:r>
      <w:r w:rsidR="00B4116D">
        <w:t xml:space="preserve"> included </w:t>
      </w:r>
      <w:r w:rsidR="00D63D3C">
        <w:t xml:space="preserve">as qualitative </w:t>
      </w:r>
      <w:r w:rsidR="00B4116D">
        <w:t>evaluation criteria</w:t>
      </w:r>
      <w:r w:rsidRPr="00370A15">
        <w:t xml:space="preserve">. </w:t>
      </w:r>
      <w:r w:rsidR="00B4116D">
        <w:t xml:space="preserve">With respect to the solution, the cost </w:t>
      </w:r>
      <w:r w:rsidRPr="00370A15">
        <w:t>includes consideration of resources to manage day to day submission activity, and effort to provide governance over time</w:t>
      </w:r>
      <w:r w:rsidR="00ED4FA2">
        <w:t>.</w:t>
      </w:r>
      <w:r w:rsidR="00B4116D">
        <w:t xml:space="preserve">  There are also costs to maintain the standard, and they include the governance and maintenance to manage the change over time.  It is important to note these criteria cannot enumerate the overall cost across the various industry and regulatory stakeholders.  Therefore, these evaluation criteria should be considered a qualitative measure of the costs.</w:t>
      </w:r>
    </w:p>
    <w:p w:rsidR="00CF1CB6" w:rsidRPr="00AB04F0" w:rsidRDefault="00CF1CB6" w:rsidP="00CF1CB6">
      <w:pPr>
        <w:spacing w:after="200" w:line="276" w:lineRule="auto"/>
      </w:pPr>
      <w:r>
        <w:t>If all objectives can be met, the following key business benefits are anticipated:</w:t>
      </w:r>
    </w:p>
    <w:p w:rsidR="00CF1CB6" w:rsidRPr="007E5C27" w:rsidRDefault="00CF1CB6" w:rsidP="00CF1CB6"/>
    <w:p w:rsidR="00CF1CB6" w:rsidRDefault="00CF1CB6" w:rsidP="00CF1CB6">
      <w:pPr>
        <w:pStyle w:val="ListParagraph"/>
        <w:numPr>
          <w:ilvl w:val="0"/>
          <w:numId w:val="9"/>
        </w:numPr>
        <w:spacing w:after="200" w:line="276" w:lineRule="auto"/>
      </w:pPr>
      <w:r>
        <w:t>Reduced industry effort / cost to support multiple</w:t>
      </w:r>
      <w:r w:rsidRPr="00A904A3">
        <w:t xml:space="preserve"> </w:t>
      </w:r>
      <w:r>
        <w:t>technical exchange formats for different regulators.  Note: this benefit will be limited to IMDRF regions initially. It is hoped that with broader regional adoption of a common message exchange format, the benefit will increase.</w:t>
      </w:r>
    </w:p>
    <w:p w:rsidR="00CF1CB6" w:rsidRDefault="00CF1CB6" w:rsidP="00CF1CB6">
      <w:pPr>
        <w:pStyle w:val="ListParagraph"/>
        <w:numPr>
          <w:ilvl w:val="0"/>
          <w:numId w:val="9"/>
        </w:numPr>
        <w:spacing w:after="200" w:line="276" w:lineRule="auto"/>
      </w:pPr>
      <w:r>
        <w:t>M</w:t>
      </w:r>
      <w:r w:rsidRPr="007D63CB">
        <w:t>ore efficient exchange of information among regulators worldwide</w:t>
      </w:r>
      <w:r>
        <w:t xml:space="preserve">. </w:t>
      </w:r>
    </w:p>
    <w:p w:rsidR="00CF1CB6" w:rsidRDefault="00CF1CB6" w:rsidP="00CF1CB6">
      <w:pPr>
        <w:pStyle w:val="ListParagraph"/>
        <w:numPr>
          <w:ilvl w:val="0"/>
          <w:numId w:val="9"/>
        </w:numPr>
        <w:spacing w:after="200" w:line="276" w:lineRule="auto"/>
      </w:pPr>
      <w:r>
        <w:t xml:space="preserve">Efficient </w:t>
      </w:r>
      <w:r w:rsidRPr="007D63CB">
        <w:t>traceability of submission content over the course of the product lifecycle</w:t>
      </w:r>
      <w:r>
        <w:t xml:space="preserve"> for both regulators and industry.</w:t>
      </w:r>
    </w:p>
    <w:p w:rsidR="00CF1CB6" w:rsidRDefault="00CF1CB6" w:rsidP="00CF1CB6">
      <w:pPr>
        <w:pStyle w:val="ListParagraph"/>
        <w:numPr>
          <w:ilvl w:val="0"/>
          <w:numId w:val="9"/>
        </w:numPr>
        <w:spacing w:after="200" w:line="276" w:lineRule="auto"/>
      </w:pPr>
      <w:r>
        <w:t>M</w:t>
      </w:r>
      <w:r w:rsidRPr="007D63CB">
        <w:t xml:space="preserve">ore information </w:t>
      </w:r>
      <w:r>
        <w:t xml:space="preserve">for regulators </w:t>
      </w:r>
      <w:r w:rsidRPr="007D63CB">
        <w:t>in support of post market surveillance</w:t>
      </w:r>
      <w:r>
        <w:t xml:space="preserve">. </w:t>
      </w:r>
    </w:p>
    <w:p w:rsidR="00CF1CB6" w:rsidRDefault="00CF1CB6" w:rsidP="00CF1CB6">
      <w:pPr>
        <w:pStyle w:val="ListParagraph"/>
        <w:numPr>
          <w:ilvl w:val="0"/>
          <w:numId w:val="9"/>
        </w:numPr>
        <w:spacing w:after="200" w:line="276" w:lineRule="auto"/>
      </w:pPr>
      <w:r>
        <w:t>Improved</w:t>
      </w:r>
      <w:r w:rsidRPr="007D63CB">
        <w:t xml:space="preserve"> efficiency, compliance and accura</w:t>
      </w:r>
      <w:r>
        <w:t xml:space="preserve">cy for both regulators and industry when transferring submission ownership. </w:t>
      </w:r>
    </w:p>
    <w:p w:rsidR="00CF1CB6" w:rsidRDefault="00CF1CB6" w:rsidP="00CF1CB6">
      <w:pPr>
        <w:pStyle w:val="ListParagraph"/>
        <w:numPr>
          <w:ilvl w:val="0"/>
          <w:numId w:val="9"/>
        </w:numPr>
        <w:spacing w:after="200" w:line="276" w:lineRule="auto"/>
      </w:pPr>
      <w:r>
        <w:t>Improved efficiency for industry in review of product changes to determine regulatory impact.</w:t>
      </w:r>
    </w:p>
    <w:p w:rsidR="00CF1CB6" w:rsidRDefault="00CF1CB6" w:rsidP="00CF1CB6">
      <w:pPr>
        <w:pStyle w:val="ListParagraph"/>
        <w:numPr>
          <w:ilvl w:val="0"/>
          <w:numId w:val="9"/>
        </w:numPr>
        <w:spacing w:after="200" w:line="276" w:lineRule="auto"/>
      </w:pPr>
      <w:r>
        <w:t>B</w:t>
      </w:r>
      <w:r w:rsidRPr="007D63CB">
        <w:t>etter understanding of application history</w:t>
      </w:r>
      <w:r>
        <w:t xml:space="preserve"> will e</w:t>
      </w:r>
      <w:r w:rsidRPr="00287C96">
        <w:t>nable more efficient resource utili</w:t>
      </w:r>
      <w:r>
        <w:t>z</w:t>
      </w:r>
      <w:r w:rsidRPr="00287C96">
        <w:t>ation</w:t>
      </w:r>
      <w:r>
        <w:t xml:space="preserve"> for all stakeholders. </w:t>
      </w:r>
    </w:p>
    <w:p w:rsidR="00CF1CB6" w:rsidRPr="00651167" w:rsidRDefault="00CF1CB6" w:rsidP="00CF1CB6">
      <w:pPr>
        <w:pStyle w:val="ListParagraph"/>
        <w:numPr>
          <w:ilvl w:val="0"/>
          <w:numId w:val="9"/>
        </w:numPr>
        <w:spacing w:after="200" w:line="276" w:lineRule="auto"/>
      </w:pPr>
      <w:r>
        <w:rPr>
          <w:szCs w:val="24"/>
        </w:rPr>
        <w:t>A</w:t>
      </w:r>
      <w:r w:rsidRPr="00651167">
        <w:rPr>
          <w:szCs w:val="24"/>
        </w:rPr>
        <w:t xml:space="preserve"> more efficient means of accessing regulated submission content</w:t>
      </w:r>
      <w:r>
        <w:rPr>
          <w:szCs w:val="24"/>
        </w:rPr>
        <w:t xml:space="preserve"> for all stakeholders.</w:t>
      </w:r>
    </w:p>
    <w:p w:rsidR="00CF1CB6" w:rsidRPr="00651167" w:rsidRDefault="00CF1CB6" w:rsidP="00CF1CB6">
      <w:pPr>
        <w:pStyle w:val="ListParagraph"/>
        <w:numPr>
          <w:ilvl w:val="0"/>
          <w:numId w:val="9"/>
        </w:numPr>
        <w:spacing w:after="200" w:line="276" w:lineRule="auto"/>
      </w:pPr>
      <w:r w:rsidRPr="00F52C03">
        <w:rPr>
          <w:szCs w:val="24"/>
        </w:rPr>
        <w:t xml:space="preserve">Significant reduction in </w:t>
      </w:r>
      <w:r>
        <w:rPr>
          <w:szCs w:val="24"/>
        </w:rPr>
        <w:t xml:space="preserve">submission </w:t>
      </w:r>
      <w:r w:rsidRPr="00F52C03">
        <w:rPr>
          <w:szCs w:val="24"/>
        </w:rPr>
        <w:t>storage costs</w:t>
      </w:r>
      <w:r>
        <w:rPr>
          <w:szCs w:val="24"/>
        </w:rPr>
        <w:t xml:space="preserve"> for stakeholders who still retain paper copies.</w:t>
      </w:r>
    </w:p>
    <w:p w:rsidR="00CF1CB6" w:rsidRPr="00651167" w:rsidRDefault="00CF1CB6" w:rsidP="00CF1CB6">
      <w:pPr>
        <w:pStyle w:val="ListParagraph"/>
        <w:numPr>
          <w:ilvl w:val="0"/>
          <w:numId w:val="9"/>
        </w:numPr>
        <w:spacing w:after="200" w:line="276" w:lineRule="auto"/>
        <w:rPr>
          <w:szCs w:val="24"/>
        </w:rPr>
      </w:pPr>
      <w:r>
        <w:rPr>
          <w:szCs w:val="24"/>
        </w:rPr>
        <w:t>A</w:t>
      </w:r>
      <w:r w:rsidRPr="00651167">
        <w:rPr>
          <w:szCs w:val="24"/>
        </w:rPr>
        <w:t xml:space="preserve"> more efficient means </w:t>
      </w:r>
      <w:r>
        <w:rPr>
          <w:szCs w:val="24"/>
        </w:rPr>
        <w:t>for regulators to support</w:t>
      </w:r>
      <w:r w:rsidRPr="00651167">
        <w:rPr>
          <w:szCs w:val="24"/>
        </w:rPr>
        <w:t xml:space="preserve"> review by multiple resources</w:t>
      </w:r>
      <w:r>
        <w:rPr>
          <w:szCs w:val="24"/>
        </w:rPr>
        <w:t>.</w:t>
      </w:r>
    </w:p>
    <w:p w:rsidR="00CF1CB6" w:rsidRDefault="00CF1CB6" w:rsidP="00CF1CB6">
      <w:pPr>
        <w:pStyle w:val="ListParagraph"/>
        <w:numPr>
          <w:ilvl w:val="0"/>
          <w:numId w:val="9"/>
        </w:numPr>
        <w:spacing w:after="200" w:line="276" w:lineRule="auto"/>
        <w:sectPr w:rsidR="00CF1CB6" w:rsidSect="00517FCF">
          <w:footerReference w:type="default" r:id="rId19"/>
          <w:pgSz w:w="12240" w:h="15840"/>
          <w:pgMar w:top="1440" w:right="1440" w:bottom="1440" w:left="1440" w:header="720" w:footer="720" w:gutter="0"/>
          <w:cols w:space="720"/>
          <w:docGrid w:linePitch="360"/>
        </w:sectPr>
      </w:pPr>
      <w:r>
        <w:t>More efficient resource utilization for submission management and review by Regulators.</w:t>
      </w:r>
    </w:p>
    <w:p w:rsidR="002F0FE9" w:rsidRPr="00E56573" w:rsidRDefault="002F0FE9" w:rsidP="003D7CE5">
      <w:pPr>
        <w:pStyle w:val="Heading1"/>
      </w:pPr>
      <w:bookmarkStart w:id="10" w:name="_Toc180458173"/>
      <w:bookmarkStart w:id="11" w:name="_Toc211867543"/>
      <w:bookmarkStart w:id="12" w:name="_Toc213640280"/>
      <w:bookmarkStart w:id="13" w:name="_Toc214438609"/>
      <w:bookmarkStart w:id="14" w:name="_Ref422524636"/>
      <w:bookmarkStart w:id="15" w:name="_Toc425422213"/>
      <w:r w:rsidRPr="00E56573">
        <w:lastRenderedPageBreak/>
        <w:t>Stakeholder</w:t>
      </w:r>
      <w:bookmarkEnd w:id="10"/>
      <w:bookmarkEnd w:id="11"/>
      <w:bookmarkEnd w:id="12"/>
      <w:bookmarkEnd w:id="13"/>
      <w:r>
        <w:t>s</w:t>
      </w:r>
      <w:bookmarkEnd w:id="14"/>
      <w:bookmarkEnd w:id="15"/>
    </w:p>
    <w:p w:rsidR="00D00E7B" w:rsidRDefault="00A4725C" w:rsidP="00A4725C">
      <w:r>
        <w:t xml:space="preserve">At a high level, the medical device industry and regulators are the primary stakeholder segments in the pre-market submission process.  </w:t>
      </w:r>
      <w:r w:rsidR="003D7CE5">
        <w:t xml:space="preserve">These </w:t>
      </w:r>
      <w:r w:rsidR="002C24C1">
        <w:t xml:space="preserve">broad </w:t>
      </w:r>
      <w:r w:rsidR="003D7CE5">
        <w:t>groupings are referenced in</w:t>
      </w:r>
      <w:r w:rsidR="00841EBD">
        <w:t xml:space="preserve"> </w:t>
      </w:r>
      <w:r w:rsidR="003D7CE5">
        <w:fldChar w:fldCharType="begin"/>
      </w:r>
      <w:r w:rsidR="003D7CE5">
        <w:instrText xml:space="preserve"> REF _Ref417300179 \h </w:instrText>
      </w:r>
      <w:r w:rsidR="003D7CE5">
        <w:fldChar w:fldCharType="separate"/>
      </w:r>
      <w:r w:rsidR="00B36C15">
        <w:t xml:space="preserve">Table </w:t>
      </w:r>
      <w:r w:rsidR="00B36C15">
        <w:rPr>
          <w:noProof/>
        </w:rPr>
        <w:t>1</w:t>
      </w:r>
      <w:r w:rsidR="003D7CE5">
        <w:fldChar w:fldCharType="end"/>
      </w:r>
      <w:r w:rsidR="002C24C1">
        <w:t xml:space="preserve"> to indicate if the business objectives have an impact on the stakeholder</w:t>
      </w:r>
      <w:r w:rsidR="003D7CE5">
        <w:t xml:space="preserve">.  </w:t>
      </w:r>
      <w:r>
        <w:t>However there is significant diversity and differ</w:t>
      </w:r>
      <w:r w:rsidR="00E26411">
        <w:t>ing</w:t>
      </w:r>
      <w:r>
        <w:t xml:space="preserve"> points of view within those high level segments.  These differences mean that some in industry may perceive significant benefit from a potential solution, while other</w:t>
      </w:r>
      <w:r w:rsidR="002C24C1">
        <w:t xml:space="preserve"> industry </w:t>
      </w:r>
      <w:r>
        <w:t>s</w:t>
      </w:r>
      <w:r w:rsidR="002C24C1">
        <w:t>takeholders</w:t>
      </w:r>
      <w:r>
        <w:t xml:space="preserve"> see no benefit.  To fully represent this diversity, subgroups of stakeholders have been defined </w:t>
      </w:r>
      <w:r w:rsidR="003D7CE5">
        <w:t xml:space="preserve">and used in analysis of possible solutions </w:t>
      </w:r>
      <w:r>
        <w:t xml:space="preserve">to insure the analysis accurately reflects the full range of perspectives. </w:t>
      </w:r>
      <w:r w:rsidR="002C24C1">
        <w:t xml:space="preserve"> </w:t>
      </w:r>
    </w:p>
    <w:p w:rsidR="00D00E7B" w:rsidRDefault="00D00E7B" w:rsidP="00A4725C"/>
    <w:p w:rsidR="00A4725C" w:rsidRDefault="00A4725C" w:rsidP="00A4725C">
      <w:r>
        <w:t xml:space="preserve">Each group of stakeholders is summarized </w:t>
      </w:r>
      <w:r w:rsidR="003D7CE5">
        <w:t xml:space="preserve">in </w:t>
      </w:r>
      <w:r w:rsidR="003D7CE5">
        <w:fldChar w:fldCharType="begin"/>
      </w:r>
      <w:r w:rsidR="003D7CE5">
        <w:instrText xml:space="preserve"> REF _Ref417300397 \h </w:instrText>
      </w:r>
      <w:r w:rsidR="003D7CE5">
        <w:fldChar w:fldCharType="separate"/>
      </w:r>
      <w:r w:rsidR="00B36C15">
        <w:t xml:space="preserve">Table </w:t>
      </w:r>
      <w:r w:rsidR="00B36C15">
        <w:rPr>
          <w:noProof/>
        </w:rPr>
        <w:t>2</w:t>
      </w:r>
      <w:r w:rsidR="003D7CE5">
        <w:fldChar w:fldCharType="end"/>
      </w:r>
      <w:r w:rsidR="003D7CE5">
        <w:t xml:space="preserve"> </w:t>
      </w:r>
      <w:r>
        <w:t>below.</w:t>
      </w:r>
      <w:r w:rsidR="0088057A">
        <w:t xml:space="preserve">  Appendix B of this document details how these stakeholder groups were weighted in the analysis and final recommendation.</w:t>
      </w:r>
    </w:p>
    <w:p w:rsidR="00A4725C" w:rsidRDefault="00A4725C" w:rsidP="00A4725C"/>
    <w:p w:rsidR="003D7CE5" w:rsidRDefault="003D7CE5" w:rsidP="003D7CE5">
      <w:pPr>
        <w:pStyle w:val="Caption"/>
        <w:keepNext/>
      </w:pPr>
      <w:bookmarkStart w:id="16" w:name="_Ref417300397"/>
      <w:bookmarkStart w:id="17" w:name="_Ref421105628"/>
      <w:r>
        <w:t xml:space="preserve">Table </w:t>
      </w:r>
      <w:r w:rsidR="00F966E2">
        <w:fldChar w:fldCharType="begin"/>
      </w:r>
      <w:r w:rsidR="00F966E2">
        <w:instrText xml:space="preserve"> SEQ Table \* ARABIC </w:instrText>
      </w:r>
      <w:r w:rsidR="00F966E2">
        <w:fldChar w:fldCharType="separate"/>
      </w:r>
      <w:r w:rsidR="00B36C15">
        <w:rPr>
          <w:noProof/>
        </w:rPr>
        <w:t>2</w:t>
      </w:r>
      <w:r w:rsidR="00F966E2">
        <w:rPr>
          <w:noProof/>
        </w:rPr>
        <w:fldChar w:fldCharType="end"/>
      </w:r>
      <w:bookmarkEnd w:id="16"/>
      <w:r>
        <w:t xml:space="preserve"> - Stakeholder Groups</w:t>
      </w:r>
      <w:bookmarkEnd w:id="17"/>
    </w:p>
    <w:tbl>
      <w:tblPr>
        <w:tblStyle w:val="TableGrid"/>
        <w:tblW w:w="0" w:type="auto"/>
        <w:tblLook w:val="04A0" w:firstRow="1" w:lastRow="0" w:firstColumn="1" w:lastColumn="0" w:noHBand="0" w:noVBand="1"/>
      </w:tblPr>
      <w:tblGrid>
        <w:gridCol w:w="4248"/>
        <w:gridCol w:w="5328"/>
      </w:tblGrid>
      <w:tr w:rsidR="00A4725C" w:rsidTr="002C24C1">
        <w:trPr>
          <w:cantSplit/>
        </w:trPr>
        <w:tc>
          <w:tcPr>
            <w:tcW w:w="9576" w:type="dxa"/>
            <w:gridSpan w:val="2"/>
            <w:shd w:val="clear" w:color="auto" w:fill="D9D9D9" w:themeFill="background1" w:themeFillShade="D9"/>
          </w:tcPr>
          <w:p w:rsidR="00A4725C" w:rsidRDefault="00A4725C" w:rsidP="00926803"/>
          <w:p w:rsidR="00A4725C" w:rsidRPr="000F218F" w:rsidRDefault="00A4725C" w:rsidP="00926803">
            <w:pPr>
              <w:rPr>
                <w:b/>
              </w:rPr>
            </w:pPr>
            <w:r w:rsidRPr="000F218F">
              <w:rPr>
                <w:b/>
              </w:rPr>
              <w:t>INDUSTRY</w:t>
            </w:r>
          </w:p>
        </w:tc>
      </w:tr>
      <w:tr w:rsidR="00A4725C" w:rsidTr="002C24C1">
        <w:trPr>
          <w:cantSplit/>
        </w:trPr>
        <w:tc>
          <w:tcPr>
            <w:tcW w:w="4248" w:type="dxa"/>
          </w:tcPr>
          <w:p w:rsidR="00A4725C" w:rsidRPr="00BF3037" w:rsidRDefault="00A4725C" w:rsidP="00926803">
            <w:r>
              <w:t>C</w:t>
            </w:r>
            <w:r w:rsidRPr="00BF3037">
              <w:t>ompanies that currently support eCTD or have publishing software in-house</w:t>
            </w:r>
          </w:p>
          <w:p w:rsidR="00A4725C" w:rsidRDefault="00A4725C" w:rsidP="00926803"/>
        </w:tc>
        <w:tc>
          <w:tcPr>
            <w:tcW w:w="5328" w:type="dxa"/>
          </w:tcPr>
          <w:p w:rsidR="00A4725C" w:rsidRPr="00BF3037" w:rsidRDefault="00A4725C" w:rsidP="00926803">
            <w:r w:rsidRPr="00BF3037">
              <w:t xml:space="preserve">A company in this category has already made an investment in software and staff to support electronic submissions.  The implementation learning curve </w:t>
            </w:r>
            <w:r w:rsidR="00564EB8">
              <w:t>may</w:t>
            </w:r>
            <w:r w:rsidRPr="00BF3037">
              <w:t xml:space="preserve"> not be as steep.  They </w:t>
            </w:r>
            <w:r w:rsidR="00564EB8">
              <w:t>may also be able to</w:t>
            </w:r>
            <w:r w:rsidRPr="00BF3037">
              <w:t xml:space="preserve"> lev</w:t>
            </w:r>
            <w:r w:rsidR="00447F5C">
              <w:t>e</w:t>
            </w:r>
            <w:r w:rsidRPr="00BF3037">
              <w:t>rage money &amp; time already invested.</w:t>
            </w:r>
          </w:p>
          <w:p w:rsidR="00A4725C" w:rsidRDefault="00A4725C" w:rsidP="00926803"/>
        </w:tc>
      </w:tr>
      <w:tr w:rsidR="00A4725C" w:rsidTr="002C24C1">
        <w:trPr>
          <w:cantSplit/>
        </w:trPr>
        <w:tc>
          <w:tcPr>
            <w:tcW w:w="4248" w:type="dxa"/>
          </w:tcPr>
          <w:p w:rsidR="00A4725C" w:rsidRDefault="00A4725C" w:rsidP="00926803">
            <w:r w:rsidRPr="00BF3037">
              <w:t>Companies that support multiple complex submissions</w:t>
            </w:r>
          </w:p>
        </w:tc>
        <w:tc>
          <w:tcPr>
            <w:tcW w:w="5328" w:type="dxa"/>
          </w:tcPr>
          <w:p w:rsidR="00A4725C" w:rsidRPr="00BF3037" w:rsidRDefault="00A4725C" w:rsidP="00926803">
            <w:r w:rsidRPr="00BF3037">
              <w:t xml:space="preserve">A complex submission is one that requires many supporting studies (i.e. clinical, bench testing).  The same product may have a complex submission </w:t>
            </w:r>
            <w:r>
              <w:t xml:space="preserve">for one or two products </w:t>
            </w:r>
            <w:r w:rsidRPr="00BF3037">
              <w:t>in multiple regions, or the company may have many products with complex submissions in only one region.</w:t>
            </w:r>
          </w:p>
          <w:p w:rsidR="00A4725C" w:rsidRDefault="00A4725C" w:rsidP="00926803"/>
          <w:p w:rsidR="00A4725C" w:rsidRPr="00BF3037" w:rsidRDefault="00A4725C" w:rsidP="00926803">
            <w:r w:rsidRPr="00BF3037">
              <w:t>For these companies, there is a different level of value in tracking versions of documents and where they are submitted.</w:t>
            </w:r>
          </w:p>
          <w:p w:rsidR="00A4725C" w:rsidRDefault="00A4725C" w:rsidP="00926803"/>
        </w:tc>
      </w:tr>
      <w:tr w:rsidR="00A4725C" w:rsidTr="002C24C1">
        <w:trPr>
          <w:cantSplit/>
        </w:trPr>
        <w:tc>
          <w:tcPr>
            <w:tcW w:w="4248" w:type="dxa"/>
          </w:tcPr>
          <w:p w:rsidR="00A4725C" w:rsidRDefault="00A4725C" w:rsidP="00926803">
            <w:r w:rsidRPr="00BF3037">
              <w:t>Companies that have primarily simple submissions</w:t>
            </w:r>
          </w:p>
        </w:tc>
        <w:tc>
          <w:tcPr>
            <w:tcW w:w="5328" w:type="dxa"/>
          </w:tcPr>
          <w:p w:rsidR="00A4725C" w:rsidRPr="00BF3037" w:rsidRDefault="00A4725C" w:rsidP="00926803">
            <w:r w:rsidRPr="00BF3037">
              <w:t>Companies in this group work with simple submissions (the submission has only one or two supporting studies), and generally have lower risk products.</w:t>
            </w:r>
          </w:p>
          <w:p w:rsidR="00A4725C" w:rsidRDefault="00A4725C" w:rsidP="00926803"/>
        </w:tc>
      </w:tr>
    </w:tbl>
    <w:p w:rsidR="007D72EE" w:rsidRDefault="007D72EE">
      <w:r>
        <w:br w:type="page"/>
      </w:r>
    </w:p>
    <w:tbl>
      <w:tblPr>
        <w:tblStyle w:val="TableGrid"/>
        <w:tblW w:w="0" w:type="auto"/>
        <w:tblLook w:val="04A0" w:firstRow="1" w:lastRow="0" w:firstColumn="1" w:lastColumn="0" w:noHBand="0" w:noVBand="1"/>
      </w:tblPr>
      <w:tblGrid>
        <w:gridCol w:w="4248"/>
        <w:gridCol w:w="5328"/>
      </w:tblGrid>
      <w:tr w:rsidR="00A4725C" w:rsidTr="002C24C1">
        <w:trPr>
          <w:cantSplit/>
        </w:trPr>
        <w:tc>
          <w:tcPr>
            <w:tcW w:w="9576" w:type="dxa"/>
            <w:gridSpan w:val="2"/>
            <w:shd w:val="clear" w:color="auto" w:fill="D9D9D9" w:themeFill="background1" w:themeFillShade="D9"/>
          </w:tcPr>
          <w:p w:rsidR="00A4725C" w:rsidRPr="000F218F" w:rsidRDefault="00A4725C" w:rsidP="00926803">
            <w:pPr>
              <w:rPr>
                <w:b/>
              </w:rPr>
            </w:pPr>
            <w:r w:rsidRPr="000F218F">
              <w:rPr>
                <w:b/>
              </w:rPr>
              <w:lastRenderedPageBreak/>
              <w:t>REGULATORS</w:t>
            </w:r>
          </w:p>
          <w:p w:rsidR="00A4725C" w:rsidRPr="000F218F" w:rsidRDefault="00A4725C" w:rsidP="00926803">
            <w:pPr>
              <w:rPr>
                <w:b/>
              </w:rPr>
            </w:pPr>
          </w:p>
        </w:tc>
      </w:tr>
      <w:tr w:rsidR="00A34241" w:rsidTr="002C24C1">
        <w:trPr>
          <w:cantSplit/>
        </w:trPr>
        <w:tc>
          <w:tcPr>
            <w:tcW w:w="4248" w:type="dxa"/>
          </w:tcPr>
          <w:p w:rsidR="00A34241" w:rsidRDefault="00A34241" w:rsidP="00926803">
            <w:r>
              <w:t>Regulators with electronic review tools and experience reviewing structured content in submissions</w:t>
            </w:r>
          </w:p>
        </w:tc>
        <w:tc>
          <w:tcPr>
            <w:tcW w:w="5328" w:type="dxa"/>
          </w:tcPr>
          <w:p w:rsidR="00A34241" w:rsidRDefault="00A34241" w:rsidP="00926803">
            <w:r>
              <w:t xml:space="preserve">Regulators in this group have software tools that are used in submission review today.  They may also have experience </w:t>
            </w:r>
            <w:r w:rsidR="00447F5C">
              <w:t xml:space="preserve">within their organization </w:t>
            </w:r>
            <w:r>
              <w:t>reviewing eCTD or other similar submission formats.</w:t>
            </w:r>
          </w:p>
        </w:tc>
      </w:tr>
      <w:tr w:rsidR="00A34241" w:rsidTr="002C24C1">
        <w:trPr>
          <w:cantSplit/>
        </w:trPr>
        <w:tc>
          <w:tcPr>
            <w:tcW w:w="4248" w:type="dxa"/>
          </w:tcPr>
          <w:p w:rsidR="00A34241" w:rsidRDefault="00A34241" w:rsidP="00A34241">
            <w:r>
              <w:t>Regulators who don’t currently have review tools</w:t>
            </w:r>
          </w:p>
        </w:tc>
        <w:tc>
          <w:tcPr>
            <w:tcW w:w="5328" w:type="dxa"/>
          </w:tcPr>
          <w:p w:rsidR="00A34241" w:rsidRDefault="00A34241" w:rsidP="00926803">
            <w:r>
              <w:t>Regulators in this group review in paper or a common electronic file format – like Word or PDF.  They do not currently review submissions in eCTD or similar formats</w:t>
            </w:r>
          </w:p>
        </w:tc>
      </w:tr>
    </w:tbl>
    <w:p w:rsidR="00047E80" w:rsidRDefault="00127107" w:rsidP="00047E80">
      <w:pPr>
        <w:pStyle w:val="Heading1"/>
      </w:pPr>
      <w:bookmarkStart w:id="18" w:name="_Toc425422214"/>
      <w:r>
        <w:t xml:space="preserve">Technology </w:t>
      </w:r>
      <w:r w:rsidR="002E36A5" w:rsidRPr="002E36A5">
        <w:t>Analysis and Recommendation</w:t>
      </w:r>
      <w:bookmarkEnd w:id="18"/>
    </w:p>
    <w:p w:rsidR="003D7CE5" w:rsidRDefault="003D7CE5" w:rsidP="009B222F">
      <w:pPr>
        <w:pStyle w:val="Heading2"/>
        <w:ind w:left="630"/>
      </w:pPr>
      <w:bookmarkStart w:id="19" w:name="_Toc425422215"/>
      <w:r>
        <w:t>Technology Options</w:t>
      </w:r>
      <w:bookmarkEnd w:id="19"/>
    </w:p>
    <w:p w:rsidR="00DA7633" w:rsidRDefault="00E26411" w:rsidP="00E92C3F">
      <w:pPr>
        <w:ind w:left="54"/>
      </w:pPr>
      <w:r>
        <w:t xml:space="preserve">Four </w:t>
      </w:r>
      <w:r w:rsidR="00DA7633">
        <w:t xml:space="preserve">approaches were considered as potential technical exchange format options for premarket submissions.  </w:t>
      </w:r>
      <w:r w:rsidR="00E57758">
        <w:t xml:space="preserve">As discussed in the Scope section of this document, all options assume implementation of the IMDRF TOC.  </w:t>
      </w:r>
      <w:r w:rsidR="00DA7633">
        <w:t>Each of the f</w:t>
      </w:r>
      <w:r>
        <w:t>our</w:t>
      </w:r>
      <w:r w:rsidR="00DA7633">
        <w:t xml:space="preserve"> options </w:t>
      </w:r>
      <w:proofErr w:type="gramStart"/>
      <w:r w:rsidR="00DA7633">
        <w:t>are</w:t>
      </w:r>
      <w:proofErr w:type="gramEnd"/>
      <w:r w:rsidR="00DA7633">
        <w:t xml:space="preserve"> summarized </w:t>
      </w:r>
      <w:r w:rsidR="00C16C38">
        <w:t xml:space="preserve">in </w:t>
      </w:r>
      <w:r w:rsidR="00C16C38">
        <w:fldChar w:fldCharType="begin"/>
      </w:r>
      <w:r w:rsidR="00C16C38">
        <w:instrText xml:space="preserve"> REF _Ref417304869 \h </w:instrText>
      </w:r>
      <w:r w:rsidR="00C16C38">
        <w:fldChar w:fldCharType="separate"/>
      </w:r>
      <w:r w:rsidR="00B36C15">
        <w:t xml:space="preserve">Table </w:t>
      </w:r>
      <w:r w:rsidR="00B36C15">
        <w:rPr>
          <w:noProof/>
        </w:rPr>
        <w:t>3</w:t>
      </w:r>
      <w:r w:rsidR="00C16C38">
        <w:fldChar w:fldCharType="end"/>
      </w:r>
      <w:r w:rsidR="00C16C38">
        <w:t xml:space="preserve"> </w:t>
      </w:r>
      <w:r w:rsidR="00DA7633">
        <w:t xml:space="preserve">below.  </w:t>
      </w:r>
      <w:r>
        <w:t xml:space="preserve">Note that the first option is to maintain current practice, and not implement a harmonized technical exchange format.  This option is included in the analysis as a baseline to compare other alternatives.  The RPS WG does not feel that </w:t>
      </w:r>
      <w:r w:rsidR="009E3426">
        <w:t>O</w:t>
      </w:r>
      <w:r>
        <w:t>ption 1 is a viable solution.</w:t>
      </w:r>
    </w:p>
    <w:p w:rsidR="009342EE" w:rsidRPr="00DA7633" w:rsidRDefault="009342EE" w:rsidP="00DA7633">
      <w:pPr>
        <w:ind w:left="568"/>
      </w:pPr>
    </w:p>
    <w:p w:rsidR="00C16C38" w:rsidRDefault="00C16C38" w:rsidP="00C16C38">
      <w:pPr>
        <w:pStyle w:val="Caption"/>
        <w:keepNext/>
      </w:pPr>
      <w:bookmarkStart w:id="20" w:name="_Ref417304869"/>
      <w:r>
        <w:t xml:space="preserve">Table </w:t>
      </w:r>
      <w:r w:rsidR="00F966E2">
        <w:fldChar w:fldCharType="begin"/>
      </w:r>
      <w:r w:rsidR="00F966E2">
        <w:instrText xml:space="preserve"> SEQ Table \* ARABIC </w:instrText>
      </w:r>
      <w:r w:rsidR="00F966E2">
        <w:fldChar w:fldCharType="separate"/>
      </w:r>
      <w:r w:rsidR="00B36C15">
        <w:rPr>
          <w:noProof/>
        </w:rPr>
        <w:t>3</w:t>
      </w:r>
      <w:r w:rsidR="00F966E2">
        <w:rPr>
          <w:noProof/>
        </w:rPr>
        <w:fldChar w:fldCharType="end"/>
      </w:r>
      <w:bookmarkEnd w:id="20"/>
      <w:r>
        <w:t xml:space="preserve"> - Submission Exchange Options</w:t>
      </w:r>
    </w:p>
    <w:tbl>
      <w:tblPr>
        <w:tblStyle w:val="TableGrid"/>
        <w:tblW w:w="0" w:type="auto"/>
        <w:tblInd w:w="108" w:type="dxa"/>
        <w:tblLook w:val="04A0" w:firstRow="1" w:lastRow="0" w:firstColumn="1" w:lastColumn="0" w:noHBand="0" w:noVBand="1"/>
      </w:tblPr>
      <w:tblGrid>
        <w:gridCol w:w="2154"/>
        <w:gridCol w:w="3364"/>
        <w:gridCol w:w="4670"/>
      </w:tblGrid>
      <w:tr w:rsidR="009342EE" w:rsidTr="00447F5C">
        <w:trPr>
          <w:tblHeader/>
        </w:trPr>
        <w:tc>
          <w:tcPr>
            <w:tcW w:w="2250" w:type="dxa"/>
            <w:shd w:val="clear" w:color="auto" w:fill="D9D9D9" w:themeFill="background1" w:themeFillShade="D9"/>
          </w:tcPr>
          <w:p w:rsidR="00511E0C" w:rsidRDefault="009342EE" w:rsidP="00511E0C">
            <w:pPr>
              <w:rPr>
                <w:b/>
              </w:rPr>
            </w:pPr>
            <w:r w:rsidRPr="009342EE">
              <w:rPr>
                <w:b/>
              </w:rPr>
              <w:t xml:space="preserve">Option </w:t>
            </w:r>
            <w:r w:rsidR="00511E0C">
              <w:rPr>
                <w:b/>
              </w:rPr>
              <w:t>Name</w:t>
            </w:r>
          </w:p>
          <w:p w:rsidR="009342EE" w:rsidRPr="009342EE" w:rsidRDefault="009342EE" w:rsidP="00511E0C">
            <w:pPr>
              <w:rPr>
                <w:b/>
              </w:rPr>
            </w:pPr>
          </w:p>
        </w:tc>
        <w:tc>
          <w:tcPr>
            <w:tcW w:w="3613" w:type="dxa"/>
            <w:shd w:val="clear" w:color="auto" w:fill="D9D9D9" w:themeFill="background1" w:themeFillShade="D9"/>
          </w:tcPr>
          <w:p w:rsidR="009342EE" w:rsidRPr="009342EE" w:rsidRDefault="009342EE" w:rsidP="009342EE">
            <w:pPr>
              <w:rPr>
                <w:b/>
              </w:rPr>
            </w:pPr>
            <w:r w:rsidRPr="009342EE">
              <w:rPr>
                <w:b/>
              </w:rPr>
              <w:t>Description</w:t>
            </w:r>
          </w:p>
        </w:tc>
        <w:tc>
          <w:tcPr>
            <w:tcW w:w="5045" w:type="dxa"/>
            <w:shd w:val="clear" w:color="auto" w:fill="D9D9D9" w:themeFill="background1" w:themeFillShade="D9"/>
          </w:tcPr>
          <w:p w:rsidR="009342EE" w:rsidRPr="009342EE" w:rsidRDefault="009342EE" w:rsidP="009342EE">
            <w:pPr>
              <w:rPr>
                <w:b/>
              </w:rPr>
            </w:pPr>
            <w:r w:rsidRPr="009342EE">
              <w:rPr>
                <w:b/>
              </w:rPr>
              <w:t>Notes</w:t>
            </w:r>
          </w:p>
        </w:tc>
      </w:tr>
      <w:tr w:rsidR="009342EE" w:rsidTr="00447F5C">
        <w:tc>
          <w:tcPr>
            <w:tcW w:w="2250" w:type="dxa"/>
          </w:tcPr>
          <w:p w:rsidR="00511E0C" w:rsidRDefault="00511E0C" w:rsidP="00511E0C">
            <w:r>
              <w:t>Option 1</w:t>
            </w:r>
          </w:p>
          <w:p w:rsidR="009342EE" w:rsidRDefault="00511E0C" w:rsidP="00511E0C">
            <w:r>
              <w:t>Status Quo (Baseline)</w:t>
            </w:r>
          </w:p>
        </w:tc>
        <w:tc>
          <w:tcPr>
            <w:tcW w:w="3613" w:type="dxa"/>
          </w:tcPr>
          <w:p w:rsidR="009342EE" w:rsidRPr="00E80138" w:rsidRDefault="009342EE" w:rsidP="009342EE">
            <w:r w:rsidRPr="009342EE">
              <w:t xml:space="preserve">No Change to Current Practice </w:t>
            </w:r>
            <w:r w:rsidR="00E26411">
              <w:t>(Status Quo)</w:t>
            </w:r>
          </w:p>
          <w:p w:rsidR="009342EE" w:rsidRDefault="009342EE" w:rsidP="009342EE"/>
        </w:tc>
        <w:tc>
          <w:tcPr>
            <w:tcW w:w="5045" w:type="dxa"/>
          </w:tcPr>
          <w:p w:rsidR="009342EE" w:rsidRDefault="00D3211E" w:rsidP="00294D03">
            <w:r>
              <w:t xml:space="preserve">Each region would </w:t>
            </w:r>
            <w:r w:rsidR="00E57758">
              <w:t xml:space="preserve">implement the IMDRF TOC, but would </w:t>
            </w:r>
            <w:r>
              <w:t>continue to operate as they do today</w:t>
            </w:r>
            <w:r w:rsidR="00E57758">
              <w:t xml:space="preserve"> with respect to the submission exchange format.</w:t>
            </w:r>
            <w:r w:rsidR="00F963CE">
              <w:t xml:space="preserve"> </w:t>
            </w:r>
            <w:r w:rsidR="00564EB8">
              <w:t>R</w:t>
            </w:r>
            <w:r w:rsidR="00E57758">
              <w:t>egion</w:t>
            </w:r>
            <w:r w:rsidR="00564EB8">
              <w:t>s</w:t>
            </w:r>
            <w:r w:rsidR="00E57758">
              <w:t xml:space="preserve"> may develop a different submission exchange format</w:t>
            </w:r>
            <w:r w:rsidR="00564EB8">
              <w:t>s</w:t>
            </w:r>
            <w:r w:rsidR="00E57758">
              <w:t xml:space="preserve"> over time</w:t>
            </w:r>
            <w:r>
              <w:t>.</w:t>
            </w:r>
            <w:r w:rsidR="00E57758">
              <w:t xml:space="preserve">  Some regions may opt to stay with paper.  This rep</w:t>
            </w:r>
            <w:r w:rsidR="00E26411">
              <w:t xml:space="preserve">resents the current state today </w:t>
            </w:r>
            <w:r w:rsidR="00447F5C">
              <w:t>(</w:t>
            </w:r>
            <w:r w:rsidR="00E57758">
              <w:t>no harmonized technical exchange format</w:t>
            </w:r>
            <w:r w:rsidR="00447F5C">
              <w:t>)</w:t>
            </w:r>
            <w:r w:rsidR="00E26411">
              <w:t xml:space="preserve"> </w:t>
            </w:r>
            <w:r w:rsidR="00564EB8">
              <w:t xml:space="preserve">and </w:t>
            </w:r>
            <w:r w:rsidR="00E26411">
              <w:t>is a baseline for the analysis of possible alternatives.</w:t>
            </w:r>
          </w:p>
        </w:tc>
      </w:tr>
      <w:tr w:rsidR="009342EE" w:rsidTr="00447F5C">
        <w:tc>
          <w:tcPr>
            <w:tcW w:w="2250" w:type="dxa"/>
          </w:tcPr>
          <w:p w:rsidR="00511E0C" w:rsidRDefault="00511E0C" w:rsidP="00511E0C">
            <w:r>
              <w:t>Option 2</w:t>
            </w:r>
          </w:p>
          <w:p w:rsidR="009342EE" w:rsidRDefault="00511E0C" w:rsidP="00511E0C">
            <w:r>
              <w:t>Harmonized Folder structure</w:t>
            </w:r>
          </w:p>
        </w:tc>
        <w:tc>
          <w:tcPr>
            <w:tcW w:w="3613" w:type="dxa"/>
          </w:tcPr>
          <w:p w:rsidR="009342EE" w:rsidRDefault="00E57758" w:rsidP="00E57758">
            <w:r>
              <w:t>A</w:t>
            </w:r>
            <w:r w:rsidR="009342EE">
              <w:t xml:space="preserve"> harmonized hierarchical folder structure housing e-files, and a harmonized </w:t>
            </w:r>
            <w:proofErr w:type="spellStart"/>
            <w:r w:rsidR="009342EE">
              <w:t>SmartForm</w:t>
            </w:r>
            <w:proofErr w:type="spellEnd"/>
            <w:r w:rsidR="009342EE">
              <w:t xml:space="preserve"> that captures some metadata about the submission.</w:t>
            </w:r>
          </w:p>
        </w:tc>
        <w:tc>
          <w:tcPr>
            <w:tcW w:w="5045" w:type="dxa"/>
          </w:tcPr>
          <w:p w:rsidR="009342EE" w:rsidRDefault="00D3211E" w:rsidP="0095382E">
            <w:r>
              <w:t xml:space="preserve">Assumes </w:t>
            </w:r>
            <w:r w:rsidR="005B60DC">
              <w:t xml:space="preserve">all regions would accept a single folder structure and guidelines for file format that can be provided in the structure.  </w:t>
            </w:r>
            <w:r w:rsidR="0095382E">
              <w:t xml:space="preserve">Electronic </w:t>
            </w:r>
            <w:r>
              <w:t>form</w:t>
            </w:r>
            <w:r w:rsidR="0095382E">
              <w:t xml:space="preserve">s could be </w:t>
            </w:r>
            <w:r w:rsidR="00377D81">
              <w:t>leveraged</w:t>
            </w:r>
            <w:r>
              <w:t xml:space="preserve"> to provide key information about the submission in</w:t>
            </w:r>
            <w:r w:rsidR="00E26411">
              <w:t xml:space="preserve"> format that can be automatically loaded into a system.</w:t>
            </w:r>
          </w:p>
        </w:tc>
      </w:tr>
      <w:tr w:rsidR="009342EE" w:rsidTr="00447F5C">
        <w:tc>
          <w:tcPr>
            <w:tcW w:w="2250" w:type="dxa"/>
          </w:tcPr>
          <w:p w:rsidR="00511E0C" w:rsidRDefault="00511E0C" w:rsidP="00511E0C">
            <w:r>
              <w:t>Option 3</w:t>
            </w:r>
          </w:p>
          <w:p w:rsidR="009342EE" w:rsidRDefault="00511E0C" w:rsidP="00511E0C">
            <w:r>
              <w:t>Custom IMDRF Message Standard</w:t>
            </w:r>
          </w:p>
        </w:tc>
        <w:tc>
          <w:tcPr>
            <w:tcW w:w="3613" w:type="dxa"/>
          </w:tcPr>
          <w:p w:rsidR="009342EE" w:rsidRDefault="00E57758" w:rsidP="00AF4273">
            <w:r>
              <w:t>A</w:t>
            </w:r>
            <w:r w:rsidR="008C2D1B">
              <w:t>n</w:t>
            </w:r>
            <w:r w:rsidR="009342EE">
              <w:t xml:space="preserve"> </w:t>
            </w:r>
            <w:r w:rsidR="00AF4273">
              <w:t xml:space="preserve">IMDRF developed </w:t>
            </w:r>
            <w:r w:rsidR="006439C7">
              <w:t>M</w:t>
            </w:r>
            <w:r w:rsidR="009342EE">
              <w:t>essaging Standard</w:t>
            </w:r>
            <w:r w:rsidR="008C2D1B">
              <w:t xml:space="preserve"> </w:t>
            </w:r>
          </w:p>
        </w:tc>
        <w:tc>
          <w:tcPr>
            <w:tcW w:w="5045" w:type="dxa"/>
          </w:tcPr>
          <w:p w:rsidR="009342EE" w:rsidRDefault="00D3211E" w:rsidP="00AF4273">
            <w:r>
              <w:t xml:space="preserve">IMDRF would develop a harmonized </w:t>
            </w:r>
            <w:r w:rsidR="00AF4273">
              <w:t xml:space="preserve">messaging format </w:t>
            </w:r>
            <w:r>
              <w:t>that specifically meets device needs.</w:t>
            </w:r>
            <w:r w:rsidR="00AF4273">
              <w:t xml:space="preserve">  This option assumes a greater technical complexity than Option 2, and assumes the standard developed would have </w:t>
            </w:r>
            <w:r w:rsidR="00AF4273">
              <w:lastRenderedPageBreak/>
              <w:t>the ability to manage submission content lifecycle and meta-data.</w:t>
            </w:r>
          </w:p>
        </w:tc>
      </w:tr>
      <w:tr w:rsidR="009342EE" w:rsidTr="00447F5C">
        <w:tc>
          <w:tcPr>
            <w:tcW w:w="2250" w:type="dxa"/>
          </w:tcPr>
          <w:p w:rsidR="00511E0C" w:rsidRDefault="00511E0C" w:rsidP="00511E0C">
            <w:r>
              <w:lastRenderedPageBreak/>
              <w:t>Option 4</w:t>
            </w:r>
          </w:p>
          <w:p w:rsidR="009342EE" w:rsidRDefault="00511E0C" w:rsidP="00511E0C">
            <w:r>
              <w:t>HL7 RPS Message Standard</w:t>
            </w:r>
          </w:p>
        </w:tc>
        <w:tc>
          <w:tcPr>
            <w:tcW w:w="3613" w:type="dxa"/>
          </w:tcPr>
          <w:p w:rsidR="009342EE" w:rsidRDefault="009342EE" w:rsidP="009342EE">
            <w:r>
              <w:t>HL7 RPS XML Messaging Standard</w:t>
            </w:r>
          </w:p>
        </w:tc>
        <w:tc>
          <w:tcPr>
            <w:tcW w:w="5045" w:type="dxa"/>
          </w:tcPr>
          <w:p w:rsidR="009342EE" w:rsidRDefault="00AF4273" w:rsidP="009342EE">
            <w:r>
              <w:t>An IMDRF implementation of the HL7 RPS messaging standard for devices.</w:t>
            </w:r>
          </w:p>
        </w:tc>
      </w:tr>
    </w:tbl>
    <w:p w:rsidR="00867BB1" w:rsidRDefault="00867BB1" w:rsidP="00E92C3F">
      <w:pPr>
        <w:pStyle w:val="Heading2"/>
      </w:pPr>
      <w:bookmarkStart w:id="21" w:name="_Toc425422216"/>
      <w:r>
        <w:t xml:space="preserve">Evaluation </w:t>
      </w:r>
      <w:r w:rsidR="00447F5C">
        <w:t>Methodology</w:t>
      </w:r>
      <w:bookmarkEnd w:id="21"/>
    </w:p>
    <w:p w:rsidR="00FC5975" w:rsidRDefault="00FC5975" w:rsidP="00FC5975">
      <w:r>
        <w:t xml:space="preserve">Each technology option will be scored in categories correlating to the Business Objectives from </w:t>
      </w:r>
      <w:r>
        <w:fldChar w:fldCharType="begin"/>
      </w:r>
      <w:r>
        <w:instrText xml:space="preserve"> REF _Ref417300179 \h </w:instrText>
      </w:r>
      <w:r>
        <w:fldChar w:fldCharType="separate"/>
      </w:r>
      <w:r w:rsidR="00B36C15">
        <w:t xml:space="preserve">Table </w:t>
      </w:r>
      <w:r w:rsidR="00B36C15">
        <w:rPr>
          <w:noProof/>
        </w:rPr>
        <w:t>1</w:t>
      </w:r>
      <w:r>
        <w:fldChar w:fldCharType="end"/>
      </w:r>
      <w:r>
        <w:t>, and an additional category of</w:t>
      </w:r>
      <w:r w:rsidR="00E26411">
        <w:t xml:space="preserve"> cost to </w:t>
      </w:r>
      <w:r>
        <w:t>maint</w:t>
      </w:r>
      <w:r w:rsidR="00564EB8">
        <w:t>ain</w:t>
      </w:r>
      <w:r w:rsidR="00E26411">
        <w:t xml:space="preserve"> the solution over time</w:t>
      </w:r>
      <w:r>
        <w:t xml:space="preserve">.  The maintenance category </w:t>
      </w:r>
      <w:r w:rsidR="00E26411">
        <w:t xml:space="preserve">considers costs and time to provide governance for the technology option over time, and to manage day to day submission activity using the solution.  </w:t>
      </w:r>
    </w:p>
    <w:p w:rsidR="00FC5975" w:rsidRDefault="00FC5975" w:rsidP="00FC5975"/>
    <w:p w:rsidR="00FC5975" w:rsidRDefault="00FC5975" w:rsidP="00FC5975">
      <w:r>
        <w:t>Each option is given a score of 1 – 5 (1 is worst, 5 is best) in each of the categories.  Since Option 1 is to do nothing, this has been given a score of 3 in all categories</w:t>
      </w:r>
      <w:r w:rsidR="00E26411">
        <w:t>, and represen</w:t>
      </w:r>
      <w:r w:rsidR="00511E0C">
        <w:t>t</w:t>
      </w:r>
      <w:r w:rsidR="00E26411">
        <w:t>s a baseline against which the other solutions can be compared</w:t>
      </w:r>
      <w:r>
        <w:t>.  Other possible technology solutions are scored comparatively against Option 1 (status quo).  If a solution is no better or worse tha</w:t>
      </w:r>
      <w:r w:rsidR="00564EB8">
        <w:t>n</w:t>
      </w:r>
      <w:r>
        <w:t xml:space="preserve"> the current state in one area, it will receive a 3 – to match the 3 given to Option 1.</w:t>
      </w:r>
      <w:r w:rsidR="00511E0C">
        <w:t xml:space="preserve">  If a solution</w:t>
      </w:r>
      <w:r w:rsidR="00926803">
        <w:t xml:space="preserve"> makes</w:t>
      </w:r>
      <w:r w:rsidR="00511E0C" w:rsidRPr="00511E0C">
        <w:t xml:space="preserve"> the problem area better or worse </w:t>
      </w:r>
      <w:r w:rsidR="00926803" w:rsidRPr="00511E0C">
        <w:t>th</w:t>
      </w:r>
      <w:r w:rsidR="00926803">
        <w:t>a</w:t>
      </w:r>
      <w:r w:rsidR="00926803" w:rsidRPr="00511E0C">
        <w:t>n</w:t>
      </w:r>
      <w:r w:rsidR="00926803">
        <w:t xml:space="preserve"> maintaining Status Quo a score is</w:t>
      </w:r>
      <w:r w:rsidR="00511E0C" w:rsidRPr="00511E0C">
        <w:t xml:space="preserve"> assign</w:t>
      </w:r>
      <w:r w:rsidR="00926803">
        <w:t xml:space="preserve">ed a value higher (4 or 5) or lower (1 or 2) </w:t>
      </w:r>
      <w:r w:rsidR="00511E0C" w:rsidRPr="00511E0C">
        <w:t>to status quo score of 3, respectively</w:t>
      </w:r>
      <w:r w:rsidR="00564EB8">
        <w:t>.</w:t>
      </w:r>
    </w:p>
    <w:p w:rsidR="00FC5975" w:rsidRDefault="00FC5975" w:rsidP="00FC5975"/>
    <w:p w:rsidR="00E26411" w:rsidRDefault="00FC5975" w:rsidP="00FC5975">
      <w:r>
        <w:t xml:space="preserve">Scoring is done from the perspective of each stakeholder subgroup (see </w:t>
      </w:r>
      <w:r>
        <w:fldChar w:fldCharType="begin"/>
      </w:r>
      <w:r>
        <w:instrText xml:space="preserve"> REF _Ref417300397 \h </w:instrText>
      </w:r>
      <w:r>
        <w:fldChar w:fldCharType="separate"/>
      </w:r>
      <w:r w:rsidR="00B36C15">
        <w:t xml:space="preserve">Table </w:t>
      </w:r>
      <w:r w:rsidR="00B36C15">
        <w:rPr>
          <w:noProof/>
        </w:rPr>
        <w:t>2</w:t>
      </w:r>
      <w:r>
        <w:fldChar w:fldCharType="end"/>
      </w:r>
      <w:r>
        <w:t xml:space="preserve">).  As a result each business objective will have multiple scores in each category for each option.  </w:t>
      </w:r>
    </w:p>
    <w:p w:rsidR="00E26411" w:rsidRDefault="00E26411" w:rsidP="00FC5975"/>
    <w:p w:rsidR="00E26411" w:rsidRDefault="00E26411" w:rsidP="00FC5975">
      <w:r>
        <w:t>Scores for each stakeholder group are then weighted to achieve the following:</w:t>
      </w:r>
    </w:p>
    <w:p w:rsidR="00E26411" w:rsidRDefault="00E26411" w:rsidP="005B127B">
      <w:pPr>
        <w:pStyle w:val="ListParagraph"/>
        <w:numPr>
          <w:ilvl w:val="0"/>
          <w:numId w:val="23"/>
        </w:numPr>
        <w:spacing w:before="120"/>
        <w:contextualSpacing w:val="0"/>
      </w:pPr>
      <w:r>
        <w:t>An equal weight to both industry and regulator input</w:t>
      </w:r>
    </w:p>
    <w:p w:rsidR="00E26411" w:rsidRDefault="00E26411" w:rsidP="005B127B">
      <w:pPr>
        <w:pStyle w:val="ListParagraph"/>
        <w:numPr>
          <w:ilvl w:val="0"/>
          <w:numId w:val="23"/>
        </w:numPr>
        <w:spacing w:before="120"/>
        <w:contextualSpacing w:val="0"/>
      </w:pPr>
      <w:r>
        <w:t>Proportional weighting within the regulator scores to reflect the percentage of each regulator stakeholder group on the RPS WG</w:t>
      </w:r>
    </w:p>
    <w:p w:rsidR="00E26411" w:rsidRDefault="00892846" w:rsidP="005B127B">
      <w:pPr>
        <w:pStyle w:val="ListParagraph"/>
        <w:numPr>
          <w:ilvl w:val="0"/>
          <w:numId w:val="23"/>
        </w:numPr>
        <w:spacing w:before="120"/>
        <w:contextualSpacing w:val="0"/>
      </w:pPr>
      <w:r>
        <w:t>Industry scores are weighted to approximate the composition of overall industry.  Stake</w:t>
      </w:r>
      <w:r w:rsidR="009C4B4B">
        <w:t>h</w:t>
      </w:r>
      <w:r>
        <w:t>olders with p</w:t>
      </w:r>
      <w:r w:rsidR="003B2486">
        <w:t>rimarily simple submissions:  85</w:t>
      </w:r>
      <w:r>
        <w:t>%; stakehol</w:t>
      </w:r>
      <w:r w:rsidR="003B2486">
        <w:t>ders with complex submissions 10</w:t>
      </w:r>
      <w:r>
        <w:t>%; stakeholders with eCTD experience and/or publishing tools 5%</w:t>
      </w:r>
    </w:p>
    <w:p w:rsidR="00E26411" w:rsidRDefault="00E26411" w:rsidP="00E26411"/>
    <w:p w:rsidR="00E26411" w:rsidRDefault="00E26411" w:rsidP="00E26411">
      <w:r>
        <w:t>Detailed weighting formulas can be found in Appendix B.</w:t>
      </w:r>
    </w:p>
    <w:p w:rsidR="00E26411" w:rsidRDefault="00E26411" w:rsidP="00E26411"/>
    <w:p w:rsidR="00FC5975" w:rsidRDefault="00E26411" w:rsidP="00E26411">
      <w:r>
        <w:t>After weighting is applied, the</w:t>
      </w:r>
      <w:r w:rsidR="00FC5975">
        <w:t xml:space="preserve"> scores are then added together to create a total score for each option.  This total score provides an objective way to compare the options to each other.</w:t>
      </w:r>
    </w:p>
    <w:p w:rsidR="007E17C4" w:rsidRDefault="007E17C4" w:rsidP="00E26411"/>
    <w:p w:rsidR="007E17C4" w:rsidRDefault="007E17C4" w:rsidP="00B85B80">
      <w:r>
        <w:t xml:space="preserve">It should be noted that this analysis is not intended to be statistically rigorous.  Instead it is an effort to obtain consensus, subjective scores across stakeholder groups; and to build that feedback into an objective analysis that can be used to set strategic direction.  </w:t>
      </w:r>
    </w:p>
    <w:p w:rsidR="00B85B80" w:rsidRDefault="00B85B80">
      <w:pPr>
        <w:rPr>
          <w:b/>
        </w:rPr>
      </w:pPr>
      <w:bookmarkStart w:id="22" w:name="_Ref417305940"/>
    </w:p>
    <w:p w:rsidR="007D72EE" w:rsidRDefault="007D72EE">
      <w:pPr>
        <w:rPr>
          <w:b/>
        </w:rPr>
      </w:pPr>
      <w:bookmarkStart w:id="23" w:name="_Toc425422217"/>
      <w:r>
        <w:br w:type="page"/>
      </w:r>
    </w:p>
    <w:p w:rsidR="00047E80" w:rsidRDefault="00047E80" w:rsidP="00E92C3F">
      <w:pPr>
        <w:pStyle w:val="Heading2"/>
      </w:pPr>
      <w:r>
        <w:lastRenderedPageBreak/>
        <w:t>Evaluation of Techn</w:t>
      </w:r>
      <w:r w:rsidR="00127107">
        <w:t>ology Options</w:t>
      </w:r>
      <w:bookmarkEnd w:id="22"/>
      <w:bookmarkEnd w:id="23"/>
    </w:p>
    <w:p w:rsidR="002E36A5" w:rsidRPr="00447F5C" w:rsidRDefault="002E36A5" w:rsidP="002E36A5">
      <w:pPr>
        <w:spacing w:before="120"/>
        <w:contextualSpacing/>
        <w:rPr>
          <w:szCs w:val="22"/>
        </w:rPr>
      </w:pPr>
      <w:r w:rsidRPr="00447F5C">
        <w:rPr>
          <w:szCs w:val="22"/>
        </w:rPr>
        <w:t xml:space="preserve">This assessment shows </w:t>
      </w:r>
      <w:r w:rsidR="009859EB" w:rsidRPr="00447F5C">
        <w:rPr>
          <w:szCs w:val="22"/>
        </w:rPr>
        <w:t xml:space="preserve">the total score for each option across each of the stakeholder sub-groups.  It also provides the overall score </w:t>
      </w:r>
      <w:r w:rsidR="002A116B">
        <w:rPr>
          <w:szCs w:val="22"/>
        </w:rPr>
        <w:t xml:space="preserve">with weighting applied </w:t>
      </w:r>
      <w:r w:rsidR="009859EB" w:rsidRPr="00447F5C">
        <w:rPr>
          <w:szCs w:val="22"/>
        </w:rPr>
        <w:t>for each option.  Detailed scoring for each detailed category can be found in Appendix A</w:t>
      </w:r>
    </w:p>
    <w:p w:rsidR="002E36A5" w:rsidRDefault="002E36A5" w:rsidP="002E36A5">
      <w:pPr>
        <w:spacing w:before="120"/>
        <w:contextualSpacing/>
        <w:rPr>
          <w:rFonts w:ascii="Arial" w:hAnsi="Arial" w:cs="Arial"/>
          <w:sz w:val="22"/>
          <w:szCs w:val="22"/>
        </w:rPr>
      </w:pPr>
    </w:p>
    <w:tbl>
      <w:tblPr>
        <w:tblW w:w="10278" w:type="dxa"/>
        <w:tblLayout w:type="fixed"/>
        <w:tblLook w:val="00A0" w:firstRow="1" w:lastRow="0" w:firstColumn="1" w:lastColumn="0" w:noHBand="0" w:noVBand="0"/>
      </w:tblPr>
      <w:tblGrid>
        <w:gridCol w:w="2808"/>
        <w:gridCol w:w="1890"/>
        <w:gridCol w:w="1800"/>
        <w:gridCol w:w="1980"/>
        <w:gridCol w:w="1800"/>
      </w:tblGrid>
      <w:tr w:rsidR="00926803" w:rsidRPr="0029276C" w:rsidTr="009C4B4B">
        <w:trPr>
          <w:tblHeader/>
        </w:trPr>
        <w:tc>
          <w:tcPr>
            <w:tcW w:w="2808"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26803" w:rsidRPr="00E92C3F" w:rsidRDefault="00926803" w:rsidP="00926803">
            <w:pPr>
              <w:autoSpaceDE w:val="0"/>
              <w:autoSpaceDN w:val="0"/>
              <w:adjustRightInd w:val="0"/>
              <w:spacing w:before="120" w:after="120"/>
              <w:jc w:val="center"/>
              <w:rPr>
                <w:rFonts w:ascii="Arial" w:hAnsi="Arial" w:cs="Arial"/>
                <w:b/>
                <w:bCs/>
                <w:sz w:val="20"/>
                <w:lang w:eastAsia="en-CA"/>
              </w:rPr>
            </w:pPr>
            <w:r w:rsidRPr="00E92C3F">
              <w:rPr>
                <w:rFonts w:ascii="Arial" w:hAnsi="Arial" w:cs="Arial"/>
                <w:b/>
                <w:bCs/>
                <w:sz w:val="20"/>
                <w:lang w:eastAsia="en-CA"/>
              </w:rPr>
              <w:t>Stakeholder Sub-Group</w:t>
            </w:r>
          </w:p>
        </w:tc>
        <w:tc>
          <w:tcPr>
            <w:tcW w:w="189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26803" w:rsidRPr="00E92C3F" w:rsidRDefault="00926803" w:rsidP="00926803">
            <w:pPr>
              <w:autoSpaceDE w:val="0"/>
              <w:autoSpaceDN w:val="0"/>
              <w:adjustRightInd w:val="0"/>
              <w:spacing w:before="120" w:after="120"/>
              <w:jc w:val="center"/>
              <w:rPr>
                <w:rFonts w:ascii="Calibri" w:hAnsi="Calibri" w:cs="Arial"/>
                <w:b/>
                <w:bCs/>
                <w:kern w:val="24"/>
                <w:lang w:val="en-CA"/>
              </w:rPr>
            </w:pPr>
            <w:r w:rsidRPr="00E92C3F">
              <w:rPr>
                <w:rFonts w:ascii="Calibri" w:hAnsi="Calibri" w:cs="Arial"/>
                <w:b/>
                <w:bCs/>
                <w:kern w:val="24"/>
                <w:lang w:val="en-CA"/>
              </w:rPr>
              <w:t>Option 1</w:t>
            </w:r>
          </w:p>
          <w:p w:rsidR="00926803" w:rsidRPr="00E92C3F" w:rsidRDefault="00926803" w:rsidP="00926803">
            <w:pPr>
              <w:autoSpaceDE w:val="0"/>
              <w:autoSpaceDN w:val="0"/>
              <w:adjustRightInd w:val="0"/>
              <w:spacing w:before="120" w:after="120"/>
              <w:jc w:val="center"/>
              <w:rPr>
                <w:rFonts w:ascii="Calibri" w:hAnsi="Calibri" w:cs="Arial"/>
                <w:b/>
                <w:bCs/>
                <w:kern w:val="24"/>
                <w:lang w:val="en-CA"/>
              </w:rPr>
            </w:pPr>
            <w:r w:rsidRPr="00E92C3F">
              <w:rPr>
                <w:rFonts w:ascii="Calibri" w:hAnsi="Calibri" w:cs="Arial"/>
                <w:b/>
                <w:bCs/>
                <w:kern w:val="24"/>
                <w:lang w:val="en-CA"/>
              </w:rPr>
              <w:t>Status Quo (Baseline)</w:t>
            </w:r>
          </w:p>
          <w:p w:rsidR="00926803" w:rsidRPr="00E92C3F" w:rsidRDefault="00926803" w:rsidP="00F55242">
            <w:pPr>
              <w:autoSpaceDE w:val="0"/>
              <w:autoSpaceDN w:val="0"/>
              <w:adjustRightInd w:val="0"/>
              <w:spacing w:before="120" w:after="120"/>
              <w:jc w:val="center"/>
              <w:rPr>
                <w:rFonts w:ascii="Arial" w:hAnsi="Arial" w:cs="Arial"/>
                <w:b/>
                <w:bCs/>
                <w:sz w:val="20"/>
                <w:lang w:eastAsia="en-CA"/>
              </w:rPr>
            </w:pPr>
          </w:p>
        </w:tc>
        <w:tc>
          <w:tcPr>
            <w:tcW w:w="180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26803" w:rsidRPr="00447F5C" w:rsidRDefault="00926803" w:rsidP="00926803">
            <w:pPr>
              <w:pStyle w:val="NormalWeb"/>
              <w:spacing w:before="0" w:beforeAutospacing="0" w:after="0" w:afterAutospacing="0"/>
              <w:jc w:val="center"/>
              <w:rPr>
                <w:rFonts w:ascii="Arial" w:hAnsi="Arial" w:cs="Arial"/>
                <w:sz w:val="36"/>
                <w:szCs w:val="36"/>
              </w:rPr>
            </w:pPr>
            <w:r w:rsidRPr="00E92C3F">
              <w:rPr>
                <w:rFonts w:ascii="Calibri" w:hAnsi="Calibri" w:cs="Arial"/>
                <w:b/>
                <w:bCs/>
                <w:kern w:val="24"/>
                <w:lang w:val="en-CA"/>
              </w:rPr>
              <w:t>Option 2</w:t>
            </w:r>
          </w:p>
          <w:p w:rsidR="00926803" w:rsidRPr="00E92C3F" w:rsidRDefault="00926803" w:rsidP="00926803">
            <w:pPr>
              <w:autoSpaceDE w:val="0"/>
              <w:autoSpaceDN w:val="0"/>
              <w:adjustRightInd w:val="0"/>
              <w:spacing w:before="120" w:after="120"/>
              <w:jc w:val="center"/>
              <w:rPr>
                <w:rFonts w:ascii="Arial" w:hAnsi="Arial" w:cs="Arial"/>
                <w:b/>
                <w:bCs/>
                <w:sz w:val="20"/>
                <w:lang w:val="fr-CA" w:eastAsia="en-CA"/>
              </w:rPr>
            </w:pPr>
            <w:r w:rsidRPr="00E92C3F">
              <w:rPr>
                <w:rFonts w:ascii="Calibri" w:hAnsi="Calibri" w:cs="Arial"/>
                <w:b/>
                <w:bCs/>
                <w:kern w:val="24"/>
                <w:lang w:val="en-CA"/>
              </w:rPr>
              <w:t>Harmonized Folder structure</w:t>
            </w:r>
          </w:p>
        </w:tc>
        <w:tc>
          <w:tcPr>
            <w:tcW w:w="198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26803" w:rsidRPr="00447F5C" w:rsidRDefault="00926803" w:rsidP="00926803">
            <w:pPr>
              <w:pStyle w:val="NormalWeb"/>
              <w:spacing w:before="0" w:beforeAutospacing="0" w:after="0" w:afterAutospacing="0"/>
              <w:jc w:val="center"/>
              <w:rPr>
                <w:rFonts w:ascii="Arial" w:hAnsi="Arial" w:cs="Arial"/>
                <w:sz w:val="36"/>
                <w:szCs w:val="36"/>
              </w:rPr>
            </w:pPr>
            <w:r w:rsidRPr="00E92C3F">
              <w:rPr>
                <w:rFonts w:ascii="Calibri" w:hAnsi="Calibri" w:cs="Arial"/>
                <w:b/>
                <w:bCs/>
                <w:kern w:val="24"/>
                <w:lang w:val="en-CA"/>
              </w:rPr>
              <w:t>Option 3</w:t>
            </w:r>
          </w:p>
          <w:p w:rsidR="00926803" w:rsidRPr="00AC5CEE" w:rsidRDefault="00926803" w:rsidP="00926803">
            <w:pPr>
              <w:autoSpaceDE w:val="0"/>
              <w:autoSpaceDN w:val="0"/>
              <w:adjustRightInd w:val="0"/>
              <w:spacing w:before="120" w:after="120"/>
              <w:jc w:val="center"/>
              <w:rPr>
                <w:rFonts w:ascii="Arial" w:hAnsi="Arial" w:cs="Arial"/>
                <w:b/>
                <w:bCs/>
                <w:sz w:val="20"/>
                <w:lang w:eastAsia="en-CA"/>
              </w:rPr>
            </w:pPr>
            <w:r w:rsidRPr="00E92C3F">
              <w:rPr>
                <w:rFonts w:ascii="Calibri" w:hAnsi="Calibri" w:cs="Arial"/>
                <w:b/>
                <w:bCs/>
                <w:kern w:val="24"/>
                <w:lang w:val="en-CA"/>
              </w:rPr>
              <w:t>Custom IMDRF Message Standard</w:t>
            </w:r>
          </w:p>
        </w:tc>
        <w:tc>
          <w:tcPr>
            <w:tcW w:w="180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rsidR="00926803" w:rsidRPr="00447F5C" w:rsidRDefault="00926803" w:rsidP="00926803">
            <w:pPr>
              <w:pStyle w:val="NormalWeb"/>
              <w:spacing w:before="0" w:beforeAutospacing="0" w:after="0" w:afterAutospacing="0"/>
              <w:jc w:val="center"/>
              <w:rPr>
                <w:rFonts w:ascii="Arial" w:hAnsi="Arial" w:cs="Arial"/>
                <w:sz w:val="36"/>
                <w:szCs w:val="36"/>
              </w:rPr>
            </w:pPr>
            <w:r w:rsidRPr="00E92C3F">
              <w:rPr>
                <w:rFonts w:ascii="Calibri" w:hAnsi="Calibri" w:cs="Arial"/>
                <w:b/>
                <w:bCs/>
                <w:kern w:val="24"/>
                <w:lang w:val="en-CA"/>
              </w:rPr>
              <w:t>Option 4</w:t>
            </w:r>
          </w:p>
          <w:p w:rsidR="00926803" w:rsidRPr="00E92C3F" w:rsidRDefault="00926803" w:rsidP="00926803">
            <w:pPr>
              <w:autoSpaceDE w:val="0"/>
              <w:autoSpaceDN w:val="0"/>
              <w:adjustRightInd w:val="0"/>
              <w:spacing w:before="120" w:after="120"/>
              <w:jc w:val="center"/>
              <w:rPr>
                <w:rFonts w:ascii="Arial" w:hAnsi="Arial" w:cs="Arial"/>
                <w:b/>
                <w:bCs/>
                <w:sz w:val="20"/>
                <w:lang w:eastAsia="en-CA"/>
              </w:rPr>
            </w:pPr>
            <w:r w:rsidRPr="00E92C3F">
              <w:rPr>
                <w:rFonts w:ascii="Calibri" w:hAnsi="Calibri" w:cs="Arial"/>
                <w:b/>
                <w:bCs/>
                <w:kern w:val="24"/>
                <w:lang w:val="en-CA"/>
              </w:rPr>
              <w:t>HL7 RPS Message Standard</w:t>
            </w:r>
          </w:p>
        </w:tc>
      </w:tr>
      <w:tr w:rsidR="00926803" w:rsidRPr="00F42AE4" w:rsidTr="009C4B4B">
        <w:tc>
          <w:tcPr>
            <w:tcW w:w="2808" w:type="dxa"/>
            <w:tcBorders>
              <w:top w:val="single" w:sz="6" w:space="0" w:color="000000"/>
              <w:left w:val="single" w:sz="6" w:space="0" w:color="000000"/>
              <w:bottom w:val="single" w:sz="6" w:space="0" w:color="000000"/>
              <w:right w:val="single" w:sz="6" w:space="0" w:color="000000"/>
            </w:tcBorders>
          </w:tcPr>
          <w:p w:rsidR="00926803" w:rsidRPr="00464947" w:rsidRDefault="00926803" w:rsidP="00464947">
            <w:pPr>
              <w:rPr>
                <w:sz w:val="22"/>
                <w:szCs w:val="22"/>
              </w:rPr>
            </w:pPr>
            <w:r w:rsidRPr="00464947">
              <w:rPr>
                <w:b/>
                <w:bCs/>
                <w:color w:val="000000"/>
                <w:sz w:val="22"/>
                <w:szCs w:val="22"/>
                <w:lang w:eastAsia="en-CA"/>
              </w:rPr>
              <w:t>INDUSTRY</w:t>
            </w:r>
            <w:r w:rsidRPr="00464947">
              <w:rPr>
                <w:rFonts w:ascii="Arial" w:hAnsi="Arial" w:cs="Arial"/>
                <w:bCs/>
                <w:color w:val="000000"/>
                <w:sz w:val="22"/>
                <w:szCs w:val="22"/>
                <w:lang w:eastAsia="en-CA"/>
              </w:rPr>
              <w:t xml:space="preserve"> - </w:t>
            </w:r>
            <w:r w:rsidRPr="00464947">
              <w:rPr>
                <w:sz w:val="22"/>
                <w:szCs w:val="22"/>
              </w:rPr>
              <w:t>Companies that currently support eCTD or have publishing software in-house</w:t>
            </w:r>
          </w:p>
          <w:p w:rsidR="00926803" w:rsidRPr="009859EB" w:rsidRDefault="00926803" w:rsidP="00E365C9">
            <w:pPr>
              <w:autoSpaceDE w:val="0"/>
              <w:autoSpaceDN w:val="0"/>
              <w:adjustRightInd w:val="0"/>
              <w:spacing w:before="120" w:after="120"/>
              <w:rPr>
                <w:rFonts w:ascii="Arial" w:hAnsi="Arial" w:cs="Arial"/>
                <w:bCs/>
                <w:color w:val="000000"/>
                <w:sz w:val="22"/>
                <w:szCs w:val="22"/>
                <w:lang w:eastAsia="en-CA"/>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926803" w:rsidRPr="004F5E18" w:rsidRDefault="001838E7" w:rsidP="00E365C9">
            <w:pPr>
              <w:autoSpaceDE w:val="0"/>
              <w:autoSpaceDN w:val="0"/>
              <w:adjustRightInd w:val="0"/>
              <w:spacing w:before="20" w:afterLines="20" w:after="48"/>
              <w:jc w:val="center"/>
              <w:rPr>
                <w:rFonts w:ascii="Arial" w:hAnsi="Arial" w:cs="Arial"/>
                <w:color w:val="000000"/>
                <w:sz w:val="22"/>
                <w:szCs w:val="22"/>
                <w:lang w:eastAsia="en-CA"/>
              </w:rPr>
            </w:pPr>
            <w:r>
              <w:rPr>
                <w:rFonts w:ascii="Arial" w:hAnsi="Arial" w:cs="Arial"/>
                <w:color w:val="000000"/>
                <w:sz w:val="22"/>
                <w:szCs w:val="22"/>
                <w:lang w:eastAsia="en-CA"/>
              </w:rPr>
              <w:t>45.0</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C5CEE" w:rsidRDefault="001838E7" w:rsidP="001838E7">
            <w:pPr>
              <w:autoSpaceDE w:val="0"/>
              <w:autoSpaceDN w:val="0"/>
              <w:adjustRightInd w:val="0"/>
              <w:spacing w:before="20" w:afterLines="20" w:after="48"/>
              <w:jc w:val="center"/>
              <w:rPr>
                <w:rFonts w:ascii="Arial" w:hAnsi="Arial" w:cs="Arial"/>
                <w:color w:val="000000"/>
                <w:sz w:val="22"/>
                <w:szCs w:val="22"/>
                <w:u w:val="single"/>
                <w:lang w:eastAsia="en-CA"/>
              </w:rPr>
            </w:pPr>
            <w:r w:rsidRPr="00AC5CEE">
              <w:rPr>
                <w:rFonts w:ascii="Arial" w:hAnsi="Arial" w:cs="Arial"/>
                <w:color w:val="000000"/>
                <w:sz w:val="22"/>
                <w:szCs w:val="22"/>
                <w:u w:val="single"/>
                <w:lang w:eastAsia="en-CA"/>
              </w:rPr>
              <w:t>50</w:t>
            </w:r>
          </w:p>
        </w:tc>
        <w:tc>
          <w:tcPr>
            <w:tcW w:w="1980" w:type="dxa"/>
            <w:tcBorders>
              <w:top w:val="single" w:sz="6" w:space="0" w:color="000000"/>
              <w:left w:val="single" w:sz="6" w:space="0" w:color="000000"/>
              <w:bottom w:val="single" w:sz="6" w:space="0" w:color="000000"/>
              <w:right w:val="single" w:sz="6" w:space="0" w:color="000000"/>
            </w:tcBorders>
            <w:vAlign w:val="center"/>
          </w:tcPr>
          <w:p w:rsidR="00926803" w:rsidRPr="00AC5CEE" w:rsidRDefault="001838E7" w:rsidP="00E365C9">
            <w:pPr>
              <w:autoSpaceDE w:val="0"/>
              <w:autoSpaceDN w:val="0"/>
              <w:adjustRightInd w:val="0"/>
              <w:spacing w:before="20" w:afterLines="20" w:after="48"/>
              <w:jc w:val="center"/>
              <w:rPr>
                <w:rFonts w:ascii="Arial" w:hAnsi="Arial" w:cs="Arial"/>
                <w:color w:val="000000"/>
                <w:sz w:val="22"/>
                <w:szCs w:val="22"/>
                <w:u w:val="single"/>
                <w:lang w:eastAsia="en-CA"/>
              </w:rPr>
            </w:pPr>
            <w:r w:rsidRPr="00AC5CEE">
              <w:rPr>
                <w:rFonts w:ascii="Arial" w:hAnsi="Arial" w:cs="Arial"/>
                <w:color w:val="000000"/>
                <w:sz w:val="22"/>
                <w:szCs w:val="22"/>
                <w:u w:val="single"/>
                <w:lang w:eastAsia="en-CA"/>
              </w:rPr>
              <w:t>48.5</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C5CEE" w:rsidRDefault="001838E7" w:rsidP="00E365C9">
            <w:pPr>
              <w:autoSpaceDE w:val="0"/>
              <w:autoSpaceDN w:val="0"/>
              <w:adjustRightInd w:val="0"/>
              <w:spacing w:before="20" w:afterLines="20" w:after="48"/>
              <w:jc w:val="center"/>
              <w:rPr>
                <w:rFonts w:ascii="Arial" w:hAnsi="Arial" w:cs="Arial"/>
                <w:color w:val="000000"/>
                <w:sz w:val="22"/>
                <w:szCs w:val="22"/>
                <w:u w:val="single"/>
                <w:lang w:eastAsia="en-CA"/>
              </w:rPr>
            </w:pPr>
            <w:r w:rsidRPr="00AC5CEE">
              <w:rPr>
                <w:rFonts w:ascii="Arial" w:hAnsi="Arial" w:cs="Arial"/>
                <w:color w:val="000000"/>
                <w:sz w:val="22"/>
                <w:szCs w:val="22"/>
                <w:u w:val="single"/>
                <w:lang w:eastAsia="en-CA"/>
              </w:rPr>
              <w:t>54.3</w:t>
            </w:r>
          </w:p>
        </w:tc>
      </w:tr>
      <w:tr w:rsidR="00926803" w:rsidRPr="00F42AE4" w:rsidTr="009C4B4B">
        <w:tc>
          <w:tcPr>
            <w:tcW w:w="2808" w:type="dxa"/>
            <w:tcBorders>
              <w:top w:val="single" w:sz="6" w:space="0" w:color="000000"/>
              <w:left w:val="single" w:sz="6" w:space="0" w:color="000000"/>
              <w:bottom w:val="single" w:sz="6" w:space="0" w:color="000000"/>
              <w:right w:val="single" w:sz="6" w:space="0" w:color="000000"/>
            </w:tcBorders>
          </w:tcPr>
          <w:p w:rsidR="00926803" w:rsidRPr="00464947" w:rsidRDefault="00926803" w:rsidP="00E365C9">
            <w:pPr>
              <w:autoSpaceDE w:val="0"/>
              <w:autoSpaceDN w:val="0"/>
              <w:adjustRightInd w:val="0"/>
              <w:spacing w:before="120" w:after="120"/>
              <w:rPr>
                <w:sz w:val="22"/>
                <w:szCs w:val="22"/>
              </w:rPr>
            </w:pPr>
            <w:r w:rsidRPr="00464947">
              <w:rPr>
                <w:b/>
                <w:sz w:val="22"/>
                <w:szCs w:val="22"/>
              </w:rPr>
              <w:t>INDUSTRY</w:t>
            </w:r>
            <w:r w:rsidRPr="00464947">
              <w:rPr>
                <w:sz w:val="22"/>
                <w:szCs w:val="22"/>
              </w:rPr>
              <w:t xml:space="preserve"> - Companies that support multiple complex submissions</w:t>
            </w:r>
          </w:p>
        </w:tc>
        <w:tc>
          <w:tcPr>
            <w:tcW w:w="1890" w:type="dxa"/>
            <w:tcBorders>
              <w:top w:val="single" w:sz="6" w:space="0" w:color="000000"/>
              <w:left w:val="single" w:sz="6" w:space="0" w:color="000000"/>
              <w:bottom w:val="single" w:sz="6" w:space="0" w:color="000000"/>
              <w:right w:val="single" w:sz="6" w:space="0" w:color="000000"/>
            </w:tcBorders>
            <w:vAlign w:val="center"/>
          </w:tcPr>
          <w:p w:rsidR="00926803" w:rsidRDefault="001838E7" w:rsidP="00E365C9">
            <w:pPr>
              <w:autoSpaceDE w:val="0"/>
              <w:autoSpaceDN w:val="0"/>
              <w:adjustRightInd w:val="0"/>
              <w:spacing w:before="20" w:afterLines="20" w:after="48"/>
              <w:jc w:val="center"/>
              <w:rPr>
                <w:rFonts w:ascii="Arial" w:hAnsi="Arial" w:cs="Arial"/>
                <w:color w:val="000000"/>
                <w:sz w:val="22"/>
                <w:szCs w:val="22"/>
                <w:lang w:eastAsia="en-CA"/>
              </w:rPr>
            </w:pPr>
            <w:r>
              <w:rPr>
                <w:rFonts w:ascii="Arial" w:hAnsi="Arial" w:cs="Arial"/>
                <w:color w:val="000000"/>
                <w:sz w:val="22"/>
                <w:szCs w:val="22"/>
                <w:lang w:eastAsia="en-CA"/>
              </w:rPr>
              <w:t>45.0</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1838E7" w:rsidP="001838E7">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48.9</w:t>
            </w:r>
          </w:p>
        </w:tc>
        <w:tc>
          <w:tcPr>
            <w:tcW w:w="198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1838E7" w:rsidP="00E365C9">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50.4</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1838E7" w:rsidP="00E365C9">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50.3</w:t>
            </w:r>
          </w:p>
        </w:tc>
      </w:tr>
      <w:tr w:rsidR="00926803" w:rsidRPr="00F42AE4" w:rsidTr="009C4B4B">
        <w:tc>
          <w:tcPr>
            <w:tcW w:w="2808" w:type="dxa"/>
            <w:tcBorders>
              <w:top w:val="single" w:sz="6" w:space="0" w:color="000000"/>
              <w:left w:val="single" w:sz="6" w:space="0" w:color="000000"/>
              <w:bottom w:val="single" w:sz="6" w:space="0" w:color="000000"/>
              <w:right w:val="single" w:sz="6" w:space="0" w:color="000000"/>
            </w:tcBorders>
          </w:tcPr>
          <w:p w:rsidR="00926803" w:rsidRPr="00464947" w:rsidRDefault="00926803" w:rsidP="00464947">
            <w:pPr>
              <w:rPr>
                <w:sz w:val="22"/>
                <w:szCs w:val="22"/>
              </w:rPr>
            </w:pPr>
            <w:r w:rsidRPr="00464947">
              <w:rPr>
                <w:b/>
                <w:sz w:val="22"/>
                <w:szCs w:val="22"/>
              </w:rPr>
              <w:t>INDUSTRY</w:t>
            </w:r>
            <w:r w:rsidRPr="00464947">
              <w:rPr>
                <w:sz w:val="22"/>
                <w:szCs w:val="22"/>
              </w:rPr>
              <w:t xml:space="preserve"> - Companies that have primarily simple submissions</w:t>
            </w:r>
          </w:p>
        </w:tc>
        <w:tc>
          <w:tcPr>
            <w:tcW w:w="1890" w:type="dxa"/>
            <w:tcBorders>
              <w:top w:val="single" w:sz="6" w:space="0" w:color="000000"/>
              <w:left w:val="single" w:sz="6" w:space="0" w:color="000000"/>
              <w:bottom w:val="single" w:sz="6" w:space="0" w:color="000000"/>
              <w:right w:val="single" w:sz="6" w:space="0" w:color="000000"/>
            </w:tcBorders>
            <w:vAlign w:val="center"/>
          </w:tcPr>
          <w:p w:rsidR="00926803" w:rsidRDefault="001838E7" w:rsidP="00E365C9">
            <w:pPr>
              <w:autoSpaceDE w:val="0"/>
              <w:autoSpaceDN w:val="0"/>
              <w:adjustRightInd w:val="0"/>
              <w:spacing w:before="20" w:afterLines="20" w:after="48"/>
              <w:jc w:val="center"/>
              <w:rPr>
                <w:rFonts w:ascii="Arial" w:hAnsi="Arial" w:cs="Arial"/>
                <w:color w:val="000000"/>
                <w:sz w:val="22"/>
                <w:szCs w:val="22"/>
                <w:lang w:eastAsia="en-CA"/>
              </w:rPr>
            </w:pPr>
            <w:r>
              <w:rPr>
                <w:rFonts w:ascii="Arial" w:hAnsi="Arial" w:cs="Arial"/>
                <w:color w:val="000000"/>
                <w:sz w:val="22"/>
                <w:szCs w:val="22"/>
                <w:lang w:eastAsia="en-CA"/>
              </w:rPr>
              <w:t>45.0</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1838E7" w:rsidP="001838E7">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50.6</w:t>
            </w:r>
          </w:p>
        </w:tc>
        <w:tc>
          <w:tcPr>
            <w:tcW w:w="198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1838E7" w:rsidP="00E365C9">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49.4</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1838E7" w:rsidP="00E365C9">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48.5</w:t>
            </w:r>
          </w:p>
        </w:tc>
      </w:tr>
      <w:tr w:rsidR="00926803" w:rsidRPr="00F42AE4" w:rsidTr="009C4B4B">
        <w:tc>
          <w:tcPr>
            <w:tcW w:w="2808" w:type="dxa"/>
            <w:tcBorders>
              <w:top w:val="single" w:sz="6" w:space="0" w:color="000000"/>
              <w:left w:val="single" w:sz="6" w:space="0" w:color="000000"/>
              <w:bottom w:val="single" w:sz="6" w:space="0" w:color="000000"/>
              <w:right w:val="single" w:sz="6" w:space="0" w:color="000000"/>
            </w:tcBorders>
          </w:tcPr>
          <w:p w:rsidR="00926803" w:rsidRPr="009859EB" w:rsidRDefault="009B222F" w:rsidP="00464947">
            <w:pPr>
              <w:rPr>
                <w:sz w:val="22"/>
                <w:szCs w:val="22"/>
              </w:rPr>
            </w:pPr>
            <w:r w:rsidRPr="00E92C3F">
              <w:rPr>
                <w:b/>
                <w:sz w:val="22"/>
                <w:szCs w:val="22"/>
              </w:rPr>
              <w:t>REGULATORS</w:t>
            </w:r>
            <w:r w:rsidRPr="009B222F">
              <w:rPr>
                <w:sz w:val="22"/>
                <w:szCs w:val="22"/>
              </w:rPr>
              <w:t xml:space="preserve"> </w:t>
            </w:r>
            <w:r>
              <w:rPr>
                <w:sz w:val="22"/>
                <w:szCs w:val="22"/>
              </w:rPr>
              <w:t>–</w:t>
            </w:r>
            <w:r w:rsidRPr="009B222F">
              <w:rPr>
                <w:sz w:val="22"/>
                <w:szCs w:val="22"/>
              </w:rPr>
              <w:t xml:space="preserve"> </w:t>
            </w:r>
            <w:r>
              <w:rPr>
                <w:sz w:val="22"/>
                <w:szCs w:val="22"/>
              </w:rPr>
              <w:t xml:space="preserve">jurisdictions </w:t>
            </w:r>
            <w:r w:rsidRPr="009B222F">
              <w:rPr>
                <w:sz w:val="22"/>
                <w:szCs w:val="22"/>
              </w:rPr>
              <w:t>with electronic review tools or experience reviewing structured content in submissions</w:t>
            </w:r>
          </w:p>
        </w:tc>
        <w:tc>
          <w:tcPr>
            <w:tcW w:w="1890" w:type="dxa"/>
            <w:tcBorders>
              <w:top w:val="single" w:sz="6" w:space="0" w:color="000000"/>
              <w:left w:val="single" w:sz="6" w:space="0" w:color="000000"/>
              <w:bottom w:val="single" w:sz="6" w:space="0" w:color="000000"/>
              <w:right w:val="single" w:sz="6" w:space="0" w:color="000000"/>
            </w:tcBorders>
            <w:vAlign w:val="center"/>
          </w:tcPr>
          <w:p w:rsidR="00926803" w:rsidRDefault="00947379" w:rsidP="00E365C9">
            <w:pPr>
              <w:autoSpaceDE w:val="0"/>
              <w:autoSpaceDN w:val="0"/>
              <w:adjustRightInd w:val="0"/>
              <w:spacing w:before="20" w:afterLines="20" w:after="48"/>
              <w:jc w:val="center"/>
              <w:rPr>
                <w:rFonts w:ascii="Arial" w:hAnsi="Arial" w:cs="Arial"/>
                <w:color w:val="000000"/>
                <w:sz w:val="22"/>
                <w:szCs w:val="22"/>
                <w:lang w:eastAsia="en-CA"/>
              </w:rPr>
            </w:pPr>
            <w:r>
              <w:rPr>
                <w:rFonts w:ascii="Arial" w:hAnsi="Arial" w:cs="Arial"/>
                <w:color w:val="000000"/>
                <w:sz w:val="22"/>
                <w:szCs w:val="22"/>
                <w:lang w:eastAsia="en-CA"/>
              </w:rPr>
              <w:t>45.0</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947379" w:rsidP="00947379">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44.1</w:t>
            </w:r>
          </w:p>
        </w:tc>
        <w:tc>
          <w:tcPr>
            <w:tcW w:w="198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947379" w:rsidP="00E365C9">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53.2</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947379" w:rsidP="00E365C9">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56.5</w:t>
            </w:r>
          </w:p>
        </w:tc>
      </w:tr>
      <w:tr w:rsidR="00926803" w:rsidRPr="00F42AE4" w:rsidTr="009C4B4B">
        <w:tc>
          <w:tcPr>
            <w:tcW w:w="2808" w:type="dxa"/>
            <w:tcBorders>
              <w:top w:val="single" w:sz="6" w:space="0" w:color="000000"/>
              <w:left w:val="single" w:sz="6" w:space="0" w:color="000000"/>
              <w:bottom w:val="single" w:sz="6" w:space="0" w:color="000000"/>
              <w:right w:val="single" w:sz="6" w:space="0" w:color="000000"/>
            </w:tcBorders>
          </w:tcPr>
          <w:p w:rsidR="00926803" w:rsidRPr="009859EB" w:rsidRDefault="009B222F" w:rsidP="009B222F">
            <w:pPr>
              <w:rPr>
                <w:sz w:val="22"/>
                <w:szCs w:val="22"/>
              </w:rPr>
            </w:pPr>
            <w:r w:rsidRPr="00E92C3F">
              <w:rPr>
                <w:b/>
                <w:sz w:val="22"/>
                <w:szCs w:val="22"/>
              </w:rPr>
              <w:t>REGULATORS</w:t>
            </w:r>
            <w:r w:rsidRPr="009B222F">
              <w:rPr>
                <w:sz w:val="22"/>
                <w:szCs w:val="22"/>
              </w:rPr>
              <w:t xml:space="preserve"> </w:t>
            </w:r>
            <w:r>
              <w:rPr>
                <w:sz w:val="22"/>
                <w:szCs w:val="22"/>
              </w:rPr>
              <w:t>- jurisdictions that</w:t>
            </w:r>
            <w:r w:rsidRPr="009B222F">
              <w:rPr>
                <w:sz w:val="22"/>
                <w:szCs w:val="22"/>
              </w:rPr>
              <w:t xml:space="preserve"> don't currently have review tools</w:t>
            </w:r>
          </w:p>
        </w:tc>
        <w:tc>
          <w:tcPr>
            <w:tcW w:w="1890" w:type="dxa"/>
            <w:tcBorders>
              <w:top w:val="single" w:sz="6" w:space="0" w:color="000000"/>
              <w:left w:val="single" w:sz="6" w:space="0" w:color="000000"/>
              <w:bottom w:val="single" w:sz="6" w:space="0" w:color="000000"/>
              <w:right w:val="single" w:sz="6" w:space="0" w:color="000000"/>
            </w:tcBorders>
            <w:vAlign w:val="center"/>
          </w:tcPr>
          <w:p w:rsidR="00926803" w:rsidRDefault="00947379" w:rsidP="00E365C9">
            <w:pPr>
              <w:autoSpaceDE w:val="0"/>
              <w:autoSpaceDN w:val="0"/>
              <w:adjustRightInd w:val="0"/>
              <w:spacing w:before="20" w:afterLines="20" w:after="48"/>
              <w:jc w:val="center"/>
              <w:rPr>
                <w:rFonts w:ascii="Arial" w:hAnsi="Arial" w:cs="Arial"/>
                <w:color w:val="000000"/>
                <w:sz w:val="22"/>
                <w:szCs w:val="22"/>
                <w:lang w:eastAsia="en-CA"/>
              </w:rPr>
            </w:pPr>
            <w:r>
              <w:rPr>
                <w:rFonts w:ascii="Arial" w:hAnsi="Arial" w:cs="Arial"/>
                <w:color w:val="000000"/>
                <w:sz w:val="22"/>
                <w:szCs w:val="22"/>
                <w:lang w:eastAsia="en-CA"/>
              </w:rPr>
              <w:t>45.0</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947379" w:rsidP="00947379">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50.5</w:t>
            </w:r>
          </w:p>
        </w:tc>
        <w:tc>
          <w:tcPr>
            <w:tcW w:w="198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947379" w:rsidP="00E365C9">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53.8</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947379" w:rsidP="00E365C9">
            <w:pPr>
              <w:autoSpaceDE w:val="0"/>
              <w:autoSpaceDN w:val="0"/>
              <w:adjustRightInd w:val="0"/>
              <w:spacing w:before="20" w:afterLines="20" w:after="48"/>
              <w:jc w:val="center"/>
              <w:rPr>
                <w:rFonts w:ascii="Arial" w:hAnsi="Arial" w:cs="Arial"/>
                <w:color w:val="000000"/>
                <w:sz w:val="22"/>
                <w:szCs w:val="22"/>
                <w:u w:val="single"/>
                <w:lang w:eastAsia="en-CA"/>
              </w:rPr>
            </w:pPr>
            <w:r w:rsidRPr="00A24259">
              <w:rPr>
                <w:rFonts w:ascii="Arial" w:hAnsi="Arial" w:cs="Arial"/>
                <w:color w:val="000000"/>
                <w:sz w:val="22"/>
                <w:szCs w:val="22"/>
                <w:u w:val="single"/>
                <w:lang w:eastAsia="en-CA"/>
              </w:rPr>
              <w:t>54.6</w:t>
            </w:r>
          </w:p>
        </w:tc>
      </w:tr>
      <w:tr w:rsidR="00926803" w:rsidRPr="00F42AE4" w:rsidTr="009C4B4B">
        <w:tc>
          <w:tcPr>
            <w:tcW w:w="2808" w:type="dxa"/>
            <w:tcBorders>
              <w:top w:val="single" w:sz="6" w:space="0" w:color="000000"/>
              <w:left w:val="single" w:sz="6" w:space="0" w:color="000000"/>
              <w:bottom w:val="single" w:sz="6" w:space="0" w:color="000000"/>
              <w:right w:val="single" w:sz="6" w:space="0" w:color="000000"/>
            </w:tcBorders>
          </w:tcPr>
          <w:p w:rsidR="00926803" w:rsidRPr="00464947" w:rsidRDefault="00926803" w:rsidP="00E365C9">
            <w:pPr>
              <w:autoSpaceDE w:val="0"/>
              <w:autoSpaceDN w:val="0"/>
              <w:adjustRightInd w:val="0"/>
              <w:spacing w:before="120" w:after="120"/>
              <w:rPr>
                <w:b/>
                <w:sz w:val="22"/>
                <w:szCs w:val="22"/>
              </w:rPr>
            </w:pPr>
            <w:r w:rsidRPr="00464947">
              <w:rPr>
                <w:b/>
                <w:sz w:val="22"/>
                <w:szCs w:val="22"/>
              </w:rPr>
              <w:t>TOTAL SCORE</w:t>
            </w:r>
            <w:r w:rsidR="00892846">
              <w:rPr>
                <w:b/>
                <w:sz w:val="22"/>
                <w:szCs w:val="22"/>
              </w:rPr>
              <w:t xml:space="preserve"> (Weighting Applied)</w:t>
            </w:r>
          </w:p>
        </w:tc>
        <w:tc>
          <w:tcPr>
            <w:tcW w:w="1890" w:type="dxa"/>
            <w:tcBorders>
              <w:top w:val="single" w:sz="6" w:space="0" w:color="000000"/>
              <w:left w:val="single" w:sz="6" w:space="0" w:color="000000"/>
              <w:bottom w:val="single" w:sz="6" w:space="0" w:color="000000"/>
              <w:right w:val="single" w:sz="6" w:space="0" w:color="000000"/>
            </w:tcBorders>
            <w:vAlign w:val="center"/>
          </w:tcPr>
          <w:p w:rsidR="00926803" w:rsidRPr="00AC18C4" w:rsidRDefault="006125CE" w:rsidP="00E365C9">
            <w:pPr>
              <w:autoSpaceDE w:val="0"/>
              <w:autoSpaceDN w:val="0"/>
              <w:adjustRightInd w:val="0"/>
              <w:spacing w:before="20" w:afterLines="20" w:after="48"/>
              <w:jc w:val="center"/>
              <w:rPr>
                <w:rFonts w:ascii="Arial" w:hAnsi="Arial" w:cs="Arial"/>
                <w:color w:val="000000"/>
                <w:sz w:val="22"/>
                <w:szCs w:val="22"/>
                <w:lang w:eastAsia="en-CA"/>
              </w:rPr>
            </w:pPr>
            <w:r>
              <w:rPr>
                <w:rFonts w:ascii="Arial" w:hAnsi="Arial" w:cs="Arial"/>
                <w:color w:val="000000"/>
                <w:sz w:val="22"/>
                <w:szCs w:val="22"/>
                <w:lang w:eastAsia="en-CA"/>
              </w:rPr>
              <w:t>45</w:t>
            </w:r>
            <w:r w:rsidR="00AC18C4" w:rsidRPr="00AC18C4">
              <w:rPr>
                <w:rFonts w:ascii="Arial" w:hAnsi="Arial" w:cs="Arial"/>
                <w:color w:val="000000"/>
                <w:sz w:val="22"/>
                <w:szCs w:val="22"/>
                <w:lang w:eastAsia="en-CA"/>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6125CE" w:rsidP="00AC18C4">
            <w:pPr>
              <w:autoSpaceDE w:val="0"/>
              <w:autoSpaceDN w:val="0"/>
              <w:adjustRightInd w:val="0"/>
              <w:spacing w:before="20" w:afterLines="20" w:after="48"/>
              <w:jc w:val="center"/>
              <w:rPr>
                <w:rFonts w:ascii="Arial" w:hAnsi="Arial" w:cs="Arial"/>
                <w:color w:val="000000"/>
                <w:sz w:val="22"/>
                <w:szCs w:val="22"/>
                <w:u w:val="single"/>
                <w:lang w:eastAsia="en-CA"/>
              </w:rPr>
            </w:pPr>
            <w:r>
              <w:rPr>
                <w:rFonts w:ascii="Arial" w:hAnsi="Arial" w:cs="Arial"/>
                <w:color w:val="000000"/>
                <w:sz w:val="22"/>
                <w:szCs w:val="22"/>
                <w:u w:val="single"/>
                <w:lang w:eastAsia="en-CA"/>
              </w:rPr>
              <w:t>48.9</w:t>
            </w:r>
          </w:p>
        </w:tc>
        <w:tc>
          <w:tcPr>
            <w:tcW w:w="1980" w:type="dxa"/>
            <w:tcBorders>
              <w:top w:val="single" w:sz="6" w:space="0" w:color="000000"/>
              <w:left w:val="single" w:sz="6" w:space="0" w:color="000000"/>
              <w:bottom w:val="single" w:sz="6" w:space="0" w:color="000000"/>
              <w:right w:val="single" w:sz="6" w:space="0" w:color="000000"/>
            </w:tcBorders>
            <w:vAlign w:val="center"/>
          </w:tcPr>
          <w:p w:rsidR="00926803" w:rsidRPr="00A24259" w:rsidRDefault="006125CE" w:rsidP="00E365C9">
            <w:pPr>
              <w:autoSpaceDE w:val="0"/>
              <w:autoSpaceDN w:val="0"/>
              <w:adjustRightInd w:val="0"/>
              <w:spacing w:before="20" w:afterLines="20" w:after="48"/>
              <w:jc w:val="center"/>
              <w:rPr>
                <w:rFonts w:ascii="Arial" w:hAnsi="Arial" w:cs="Arial"/>
                <w:color w:val="000000"/>
                <w:sz w:val="22"/>
                <w:szCs w:val="22"/>
                <w:u w:val="single"/>
                <w:lang w:eastAsia="en-CA"/>
              </w:rPr>
            </w:pPr>
            <w:r>
              <w:rPr>
                <w:rFonts w:ascii="Arial" w:hAnsi="Arial" w:cs="Arial"/>
                <w:color w:val="000000"/>
                <w:sz w:val="22"/>
                <w:szCs w:val="22"/>
                <w:u w:val="single"/>
                <w:lang w:eastAsia="en-CA"/>
              </w:rPr>
              <w:t>51.5</w:t>
            </w:r>
          </w:p>
        </w:tc>
        <w:tc>
          <w:tcPr>
            <w:tcW w:w="1800" w:type="dxa"/>
            <w:tcBorders>
              <w:top w:val="single" w:sz="6" w:space="0" w:color="000000"/>
              <w:left w:val="single" w:sz="6" w:space="0" w:color="000000"/>
              <w:bottom w:val="single" w:sz="6" w:space="0" w:color="000000"/>
              <w:right w:val="single" w:sz="6" w:space="0" w:color="000000"/>
            </w:tcBorders>
            <w:vAlign w:val="center"/>
          </w:tcPr>
          <w:p w:rsidR="00AC18C4" w:rsidRPr="00A24259" w:rsidRDefault="006125CE" w:rsidP="00AC18C4">
            <w:pPr>
              <w:autoSpaceDE w:val="0"/>
              <w:autoSpaceDN w:val="0"/>
              <w:adjustRightInd w:val="0"/>
              <w:spacing w:before="20" w:afterLines="20" w:after="48"/>
              <w:jc w:val="center"/>
              <w:rPr>
                <w:rFonts w:ascii="Arial" w:hAnsi="Arial" w:cs="Arial"/>
                <w:color w:val="000000"/>
                <w:sz w:val="22"/>
                <w:szCs w:val="22"/>
                <w:u w:val="single"/>
                <w:lang w:eastAsia="en-CA"/>
              </w:rPr>
            </w:pPr>
            <w:r>
              <w:rPr>
                <w:rFonts w:ascii="Arial" w:hAnsi="Arial" w:cs="Arial"/>
                <w:color w:val="000000"/>
                <w:sz w:val="22"/>
                <w:szCs w:val="22"/>
                <w:u w:val="single"/>
                <w:lang w:eastAsia="en-CA"/>
              </w:rPr>
              <w:t>52.3</w:t>
            </w:r>
          </w:p>
        </w:tc>
      </w:tr>
    </w:tbl>
    <w:p w:rsidR="005602EE" w:rsidRPr="00571E0C" w:rsidRDefault="003C4DA8" w:rsidP="00571E0C">
      <w:pPr>
        <w:pStyle w:val="Heading3"/>
      </w:pPr>
      <w:bookmarkStart w:id="24" w:name="_Toc425422218"/>
      <w:r w:rsidRPr="00571E0C">
        <w:t>Industry</w:t>
      </w:r>
      <w:r w:rsidR="00EE5245" w:rsidRPr="00571E0C">
        <w:t xml:space="preserve"> </w:t>
      </w:r>
      <w:r w:rsidR="00464947" w:rsidRPr="00571E0C">
        <w:t>Scoring</w:t>
      </w:r>
      <w:r w:rsidR="00EE5245" w:rsidRPr="00571E0C">
        <w:t xml:space="preserve"> </w:t>
      </w:r>
      <w:r w:rsidR="000E2B8C" w:rsidRPr="00571E0C">
        <w:t>Feedback</w:t>
      </w:r>
      <w:bookmarkEnd w:id="24"/>
    </w:p>
    <w:p w:rsidR="003C4DA8" w:rsidRPr="009A052C" w:rsidRDefault="003C4DA8" w:rsidP="00A24259">
      <w:r>
        <w:t>Industry</w:t>
      </w:r>
      <w:r w:rsidR="009A052C">
        <w:t xml:space="preserve"> discussions</w:t>
      </w:r>
      <w:r>
        <w:t xml:space="preserve"> are summarized </w:t>
      </w:r>
      <w:r w:rsidR="009A052C">
        <w:t xml:space="preserve">below </w:t>
      </w:r>
      <w:r w:rsidR="003B2486">
        <w:t>according to</w:t>
      </w:r>
      <w:r>
        <w:t xml:space="preserve"> </w:t>
      </w:r>
      <w:r w:rsidR="009A052C">
        <w:t xml:space="preserve">each </w:t>
      </w:r>
      <w:r>
        <w:t xml:space="preserve">business objective.  </w:t>
      </w:r>
      <w:r w:rsidR="009A052C">
        <w:t>The overall scores a</w:t>
      </w:r>
      <w:r>
        <w:t xml:space="preserve">re the result of consensus discussions within multiple industry groups, and </w:t>
      </w:r>
      <w:r w:rsidR="009A052C">
        <w:t xml:space="preserve">represent the </w:t>
      </w:r>
      <w:r>
        <w:t>averag</w:t>
      </w:r>
      <w:r w:rsidR="009A052C">
        <w:t>e of</w:t>
      </w:r>
      <w:r>
        <w:t xml:space="preserve"> the scores receive</w:t>
      </w:r>
      <w:r w:rsidR="00EC3576">
        <w:t>d</w:t>
      </w:r>
      <w:r>
        <w:t xml:space="preserve">.  </w:t>
      </w:r>
      <w:r w:rsidR="009A052C">
        <w:t xml:space="preserve">It should be noted that </w:t>
      </w:r>
      <w:r w:rsidR="009A052C" w:rsidRPr="009A052C">
        <w:t>i</w:t>
      </w:r>
      <w:r w:rsidRPr="009A052C">
        <w:t>ndustry scoring discussions revealed very different perspectives based a combination of factors:</w:t>
      </w:r>
    </w:p>
    <w:p w:rsidR="003C4DA8" w:rsidRDefault="00970333" w:rsidP="007D72EE">
      <w:pPr>
        <w:pStyle w:val="ListParagraph"/>
        <w:numPr>
          <w:ilvl w:val="0"/>
          <w:numId w:val="25"/>
        </w:numPr>
        <w:spacing w:before="120"/>
      </w:pPr>
      <w:r>
        <w:t xml:space="preserve"> </w:t>
      </w:r>
      <w:r w:rsidR="0095382E">
        <w:t>The region(s) represented in the discussions</w:t>
      </w:r>
    </w:p>
    <w:p w:rsidR="003C4DA8" w:rsidRDefault="003C4DA8" w:rsidP="007D72EE">
      <w:pPr>
        <w:pStyle w:val="ListParagraph"/>
        <w:numPr>
          <w:ilvl w:val="0"/>
          <w:numId w:val="25"/>
        </w:numPr>
        <w:spacing w:before="120"/>
      </w:pPr>
      <w:r>
        <w:t xml:space="preserve">Stakeholder group – </w:t>
      </w:r>
      <w:r w:rsidR="0095382E">
        <w:t xml:space="preserve">(variance </w:t>
      </w:r>
      <w:r w:rsidR="00067E43">
        <w:t xml:space="preserve">between stakeholder groups was </w:t>
      </w:r>
      <w:r w:rsidR="0095382E">
        <w:t>present in</w:t>
      </w:r>
      <w:r>
        <w:t xml:space="preserve"> some region</w:t>
      </w:r>
      <w:r w:rsidR="00067E43">
        <w:t>al discussions</w:t>
      </w:r>
      <w:r>
        <w:t>, but not all</w:t>
      </w:r>
      <w:r w:rsidR="0095382E">
        <w:t>)</w:t>
      </w:r>
    </w:p>
    <w:p w:rsidR="003C4DA8" w:rsidRDefault="00970333" w:rsidP="007D72EE">
      <w:pPr>
        <w:pStyle w:val="ListParagraph"/>
        <w:numPr>
          <w:ilvl w:val="0"/>
          <w:numId w:val="25"/>
        </w:numPr>
        <w:spacing w:before="120"/>
      </w:pPr>
      <w:r>
        <w:t xml:space="preserve">The organizational structure of the company as </w:t>
      </w:r>
      <w:r w:rsidR="003C4DA8">
        <w:t xml:space="preserve">centralized or de-centralized </w:t>
      </w:r>
    </w:p>
    <w:p w:rsidR="00067E43" w:rsidRDefault="003C4DA8" w:rsidP="007D72EE">
      <w:pPr>
        <w:spacing w:before="120"/>
      </w:pPr>
      <w:r>
        <w:lastRenderedPageBreak/>
        <w:t xml:space="preserve">The summary below includes </w:t>
      </w:r>
      <w:r w:rsidR="00904A17">
        <w:t>views expressed</w:t>
      </w:r>
      <w:r>
        <w:t xml:space="preserve"> during al</w:t>
      </w:r>
      <w:r w:rsidR="009A052C">
        <w:t xml:space="preserve">l discussions for full transparency and an accurate view of the diverse perspectives. </w:t>
      </w:r>
      <w:r w:rsidR="00B85B80">
        <w:t>As a result the final scores are based the weighted average and do not represent in</w:t>
      </w:r>
      <w:r w:rsidR="00CD53AD">
        <w:t>dividual stakeholder viewpoints</w:t>
      </w:r>
      <w:r w:rsidR="009A052C">
        <w:t xml:space="preserve">. </w:t>
      </w:r>
      <w:r>
        <w:t xml:space="preserve"> </w:t>
      </w:r>
    </w:p>
    <w:p w:rsidR="00067E43" w:rsidRDefault="00067E43" w:rsidP="00904A17"/>
    <w:p w:rsidR="001213E2" w:rsidRDefault="001213E2" w:rsidP="00A37C9C">
      <w:r>
        <w:t>The main concern within industry remains the cost to implement and maintain software tools that may be required for any option.  Many companies with simple submissions in particular do not see any benefit to the additional costs they feel would be incurred for all options.</w:t>
      </w:r>
      <w:r w:rsidR="009236E3">
        <w:t xml:space="preserve">  </w:t>
      </w:r>
    </w:p>
    <w:p w:rsidR="001213E2" w:rsidRDefault="001213E2" w:rsidP="00904A17"/>
    <w:p w:rsidR="00904A17" w:rsidRDefault="001213E2" w:rsidP="00904A17">
      <w:pPr>
        <w:rPr>
          <w:rFonts w:eastAsiaTheme="minorHAnsi"/>
          <w:szCs w:val="24"/>
        </w:rPr>
      </w:pPr>
      <w:r>
        <w:t>S</w:t>
      </w:r>
      <w:r w:rsidR="00904A17">
        <w:t>ince consideration of options 3 and 4 are currently in a</w:t>
      </w:r>
      <w:r w:rsidR="00067E43">
        <w:t>n early exploratory stage, it was</w:t>
      </w:r>
      <w:r w:rsidR="00904A17">
        <w:t xml:space="preserve"> understood </w:t>
      </w:r>
      <w:r w:rsidR="00067E43">
        <w:t>throughout industry discussions that a robust cost-</w:t>
      </w:r>
      <w:r w:rsidR="00904A17">
        <w:t xml:space="preserve">benefit analysis is not possible at this time. For industry stakeholder adoption this </w:t>
      </w:r>
      <w:r w:rsidR="00067E43">
        <w:t>is</w:t>
      </w:r>
      <w:r w:rsidR="00904A17">
        <w:t xml:space="preserve"> a significant consideration, and will need to be assessed </w:t>
      </w:r>
      <w:r w:rsidR="00675F6F">
        <w:t>once sufficient implementation planning has been done to support such an analysis</w:t>
      </w:r>
      <w:r w:rsidR="00904A17">
        <w:t>.</w:t>
      </w:r>
      <w:r w:rsidR="00904A17">
        <w:rPr>
          <w:rFonts w:eastAsiaTheme="minorHAnsi"/>
          <w:szCs w:val="24"/>
        </w:rPr>
        <w:t xml:space="preserve"> </w:t>
      </w:r>
      <w:r w:rsidR="00675F6F">
        <w:rPr>
          <w:rFonts w:eastAsiaTheme="minorHAnsi"/>
          <w:szCs w:val="24"/>
        </w:rPr>
        <w:t>Industry views this cost-benefit analysis as a critical step.</w:t>
      </w:r>
    </w:p>
    <w:p w:rsidR="009C6093" w:rsidRDefault="009C6093" w:rsidP="00904A17">
      <w:pPr>
        <w:rPr>
          <w:rFonts w:eastAsiaTheme="minorHAnsi"/>
          <w:szCs w:val="24"/>
        </w:rPr>
      </w:pPr>
    </w:p>
    <w:p w:rsidR="009A052C" w:rsidRDefault="009A052C" w:rsidP="00A24259">
      <w:pPr>
        <w:ind w:left="720"/>
        <w:rPr>
          <w:i/>
        </w:rPr>
      </w:pPr>
      <w:r w:rsidRPr="007214ED">
        <w:rPr>
          <w:b/>
          <w:i/>
        </w:rPr>
        <w:t>Efficiently produce submissions for multiple regions without managing multiple submission creation processes, and software tools</w:t>
      </w:r>
    </w:p>
    <w:p w:rsidR="0054065F" w:rsidRDefault="0054065F" w:rsidP="00A24259">
      <w:pPr>
        <w:ind w:left="720"/>
      </w:pPr>
      <w:r>
        <w:t xml:space="preserve">Although some companies could see the potential benefit of meeting this objective, there were some that did not view this as a priority.  Companies who operate in a de-centralized fashion today </w:t>
      </w:r>
      <w:r w:rsidR="00702DDF">
        <w:t>manage multiple processes and tools as a result of the way they are structured.  Introduction of a harmonized submission format is not likely to change that.  Among those companies, some viewed all options as adding unnecessary complexity.</w:t>
      </w:r>
      <w:r w:rsidR="009C6093">
        <w:t xml:space="preserve"> </w:t>
      </w:r>
    </w:p>
    <w:p w:rsidR="00702DDF" w:rsidRDefault="00702DDF" w:rsidP="00A24259">
      <w:pPr>
        <w:ind w:left="720"/>
      </w:pPr>
    </w:p>
    <w:p w:rsidR="00702DDF" w:rsidRDefault="00702DDF" w:rsidP="00A24259">
      <w:pPr>
        <w:ind w:left="720"/>
      </w:pPr>
      <w:r>
        <w:t>There were many companies who felt the move to a harmonized format is worthwhile.  Although there was concern that even with use of a messaging standard like RPS, each region may impose unique implementation requirements that would undermine this objective.  Regional differences in eCTD implementation were cited as an example.</w:t>
      </w:r>
    </w:p>
    <w:p w:rsidR="00702DDF" w:rsidRDefault="00702DDF" w:rsidP="00A24259">
      <w:pPr>
        <w:ind w:left="720"/>
      </w:pPr>
    </w:p>
    <w:p w:rsidR="00702DDF" w:rsidRDefault="00702DDF" w:rsidP="00A24259">
      <w:pPr>
        <w:ind w:left="720"/>
      </w:pPr>
      <w:r>
        <w:t>Some felt that Option 4 would only be the best choice if regional variance could be eliminated, and tools used to create the RPS format also could produce PDF and other paper format submissions to meet requirements in countries</w:t>
      </w:r>
      <w:r w:rsidR="003B2486">
        <w:t xml:space="preserve"> that</w:t>
      </w:r>
      <w:r>
        <w:t xml:space="preserve"> do not recognize the format chosen by IMDRF.</w:t>
      </w:r>
    </w:p>
    <w:p w:rsidR="00702DDF" w:rsidRDefault="00702DDF" w:rsidP="00A24259">
      <w:pPr>
        <w:ind w:left="720"/>
      </w:pPr>
    </w:p>
    <w:p w:rsidR="00702DDF" w:rsidRPr="0054065F" w:rsidRDefault="00702DDF" w:rsidP="00A24259">
      <w:pPr>
        <w:ind w:left="720"/>
      </w:pPr>
      <w:r>
        <w:t>Generally, companies with simple submissions preferred use of the folder structure.</w:t>
      </w:r>
    </w:p>
    <w:p w:rsidR="003C4DA8" w:rsidRDefault="003C4DA8" w:rsidP="00A24259"/>
    <w:p w:rsidR="003C4DA8" w:rsidRDefault="009A052C" w:rsidP="00A24259">
      <w:pPr>
        <w:ind w:left="720"/>
        <w:rPr>
          <w:i/>
        </w:rPr>
      </w:pPr>
      <w:r w:rsidRPr="00A24259">
        <w:rPr>
          <w:b/>
          <w:i/>
        </w:rPr>
        <w:t>Enable a clear view to the lifecycle of Application content over time, as well as the ability to quickly see the most current version of an Application.</w:t>
      </w:r>
    </w:p>
    <w:p w:rsidR="001A5FC8" w:rsidRDefault="001A5FC8" w:rsidP="00A24259">
      <w:pPr>
        <w:ind w:left="720"/>
      </w:pPr>
      <w:r>
        <w:t xml:space="preserve">Companies with complex submissions who currently manage submissions with many supplements or change submissions that occur over time saw the benefit of </w:t>
      </w:r>
      <w:r w:rsidR="000E2B8C">
        <w:t xml:space="preserve">content </w:t>
      </w:r>
      <w:r>
        <w:t>lifecycle tracking.</w:t>
      </w:r>
      <w:r w:rsidR="000E2B8C">
        <w:t xml:space="preserve">  This clearly resonated with those who manage multiple PMAs in the US, and with European companies who manage design dossiers.</w:t>
      </w:r>
    </w:p>
    <w:p w:rsidR="000E2B8C" w:rsidRDefault="000E2B8C" w:rsidP="00A24259">
      <w:pPr>
        <w:ind w:left="720"/>
      </w:pPr>
    </w:p>
    <w:p w:rsidR="000E2B8C" w:rsidRDefault="000E2B8C" w:rsidP="00A24259">
      <w:pPr>
        <w:ind w:left="720"/>
      </w:pPr>
      <w:r>
        <w:t>Some companies noted that the ability to fully take advantage of lifecycle tracking will depend on the tools available to industry, and on the cost of those tools.</w:t>
      </w:r>
    </w:p>
    <w:p w:rsidR="000E2B8C" w:rsidRDefault="000E2B8C" w:rsidP="00A24259">
      <w:pPr>
        <w:ind w:left="720"/>
      </w:pPr>
    </w:p>
    <w:p w:rsidR="000E2B8C" w:rsidRDefault="000E2B8C" w:rsidP="00A24259">
      <w:pPr>
        <w:ind w:left="720"/>
      </w:pPr>
      <w:r>
        <w:t>Some did not see that Option 2 provided any ability to manage lifecycle of submission content.  Others noted that since RPS is being adopted by ICH as eCTD v4.0, it clearly meets requirements for submission lifecycle tracking.</w:t>
      </w:r>
    </w:p>
    <w:p w:rsidR="000E2B8C" w:rsidRDefault="000E2B8C" w:rsidP="00A24259">
      <w:pPr>
        <w:ind w:left="720"/>
      </w:pPr>
    </w:p>
    <w:p w:rsidR="000E2B8C" w:rsidRPr="00A24259" w:rsidRDefault="000E2B8C" w:rsidP="00A24259">
      <w:pPr>
        <w:ind w:left="720"/>
        <w:rPr>
          <w:b/>
        </w:rPr>
      </w:pPr>
      <w:r>
        <w:lastRenderedPageBreak/>
        <w:t>In the US, companies with primarily 510(k</w:t>
      </w:r>
      <w:proofErr w:type="gramStart"/>
      <w:r>
        <w:t>)s</w:t>
      </w:r>
      <w:proofErr w:type="gramEnd"/>
      <w:r>
        <w:t xml:space="preserve"> did not see the need fo</w:t>
      </w:r>
      <w:r w:rsidR="007D59F3">
        <w:t>r,</w:t>
      </w:r>
      <w:r>
        <w:t xml:space="preserve"> or benefit in lifecycle tracking.  Each 510(k) is its own application.  Submission of a new 510(k) for a line extension or change results in a new application, rather than a change to an existing application.  </w:t>
      </w:r>
    </w:p>
    <w:p w:rsidR="00AB5ABE" w:rsidRDefault="00AB5ABE" w:rsidP="00A24259">
      <w:pPr>
        <w:ind w:left="720"/>
        <w:rPr>
          <w:i/>
        </w:rPr>
      </w:pPr>
    </w:p>
    <w:p w:rsidR="00AB5ABE" w:rsidRDefault="00AB5ABE" w:rsidP="00A24259">
      <w:pPr>
        <w:ind w:left="720"/>
        <w:rPr>
          <w:b/>
          <w:i/>
        </w:rPr>
      </w:pPr>
      <w:r w:rsidRPr="007214ED">
        <w:rPr>
          <w:b/>
          <w:i/>
        </w:rPr>
        <w:t>Provide a mechanism through which the full submission lifecycle for a product can be easily transferred between stakeholders</w:t>
      </w:r>
      <w:r w:rsidRPr="00A24259">
        <w:rPr>
          <w:b/>
          <w:i/>
        </w:rPr>
        <w:t xml:space="preserve"> </w:t>
      </w:r>
    </w:p>
    <w:p w:rsidR="000E2B8C" w:rsidRDefault="00BC5AF8" w:rsidP="00A24259">
      <w:pPr>
        <w:ind w:left="720"/>
      </w:pPr>
      <w:r>
        <w:t>Some companies did not see the value in this objective.  They did not feel transfer of existing submissions during an acquisition was a problem today, and so did not see the relevance of the submission exchange format to this objective.</w:t>
      </w:r>
    </w:p>
    <w:p w:rsidR="00BC5AF8" w:rsidRDefault="00BC5AF8" w:rsidP="00A24259">
      <w:pPr>
        <w:ind w:left="720"/>
      </w:pPr>
    </w:p>
    <w:p w:rsidR="00BC5AF8" w:rsidRDefault="00BC5AF8" w:rsidP="00A24259">
      <w:pPr>
        <w:ind w:left="720"/>
      </w:pPr>
      <w:r>
        <w:t>For those companies who saw value in the objec</w:t>
      </w:r>
      <w:r w:rsidR="007D59F3">
        <w:t>tive, there was not a clear cons</w:t>
      </w:r>
      <w:r>
        <w:t>ensus as to which of the options could best enable this.</w:t>
      </w:r>
    </w:p>
    <w:p w:rsidR="00BC5AF8" w:rsidRDefault="00BC5AF8" w:rsidP="00A24259">
      <w:pPr>
        <w:ind w:left="720"/>
      </w:pPr>
    </w:p>
    <w:p w:rsidR="00EC3576" w:rsidRDefault="00EC3576" w:rsidP="00A24259">
      <w:pPr>
        <w:ind w:left="720"/>
        <w:rPr>
          <w:b/>
          <w:i/>
        </w:rPr>
      </w:pPr>
      <w:r w:rsidRPr="00FD1EB1">
        <w:rPr>
          <w:b/>
          <w:i/>
        </w:rPr>
        <w:t>When product changes result in changes to submitted documentation, facilitate more efficient analysis of which submissions and which regions would be impacted by the change.</w:t>
      </w:r>
    </w:p>
    <w:p w:rsidR="00CB0C45" w:rsidRPr="00CB0C45" w:rsidRDefault="00CB0C45" w:rsidP="00A24259">
      <w:pPr>
        <w:ind w:left="720"/>
      </w:pPr>
      <w:r>
        <w:t xml:space="preserve">A large number of companies felt that the ability to meet this objective exists today if companies are willing to invest in the tools and processes to do so. Although a future electronic messaging format may contain information that could aid in this analysis, a sponsor’s ability to take advantage of that would still depend greatly on the type of tool implemented within the company.  As a result, many felt that all proposed options would </w:t>
      </w:r>
      <w:r w:rsidR="00FD1EB1">
        <w:t>not provide a significant improvement over</w:t>
      </w:r>
      <w:r>
        <w:t xml:space="preserve"> the current state (Option 1).</w:t>
      </w:r>
    </w:p>
    <w:p w:rsidR="00EC3576" w:rsidRPr="00A24259" w:rsidRDefault="00EC3576" w:rsidP="00A24259">
      <w:pPr>
        <w:ind w:left="720"/>
        <w:rPr>
          <w:b/>
          <w:i/>
        </w:rPr>
      </w:pPr>
    </w:p>
    <w:p w:rsidR="00AB5ABE" w:rsidRDefault="00EC3576" w:rsidP="00A24259">
      <w:pPr>
        <w:ind w:left="720"/>
        <w:rPr>
          <w:i/>
        </w:rPr>
      </w:pPr>
      <w:r w:rsidRPr="00A24259">
        <w:rPr>
          <w:b/>
          <w:i/>
        </w:rPr>
        <w:t>Enable regulators and industry to consistently and clearly identify / communicate how a submission relates to previous applications</w:t>
      </w:r>
    </w:p>
    <w:p w:rsidR="00BC5AF8" w:rsidRDefault="007D59F3" w:rsidP="00A24259">
      <w:pPr>
        <w:ind w:left="720"/>
      </w:pPr>
      <w:r>
        <w:t>There was general cons</w:t>
      </w:r>
      <w:r w:rsidR="00BC5AF8">
        <w:t xml:space="preserve">ensus among most companies participating in the scoring process that Options 3 and 4 would be better able to provide the submission to application(s) relationships in a structured way.  The folder structure as currently proposed for the TOC pilot does not embed this information, so development of a harmonized </w:t>
      </w:r>
      <w:proofErr w:type="spellStart"/>
      <w:r w:rsidR="00677D54">
        <w:t>S</w:t>
      </w:r>
      <w:r w:rsidR="00710AE4">
        <w:t>martForm</w:t>
      </w:r>
      <w:proofErr w:type="spellEnd"/>
      <w:r w:rsidR="00BC5AF8">
        <w:t xml:space="preserve"> would be required to meet the objective with Option 2.  </w:t>
      </w:r>
    </w:p>
    <w:p w:rsidR="00BC5AF8" w:rsidRDefault="00BC5AF8" w:rsidP="00A24259">
      <w:pPr>
        <w:ind w:left="720"/>
      </w:pPr>
    </w:p>
    <w:p w:rsidR="00BC5AF8" w:rsidRDefault="00BC5AF8" w:rsidP="00A24259">
      <w:pPr>
        <w:ind w:left="720"/>
      </w:pPr>
      <w:r>
        <w:t>Some companies did not see the value in this objective.  They felt that these relationships are currently communicated in the body of cover letters and other documentation that accompanies submissions; and did not see the value of communicating the information in a more structured way.</w:t>
      </w:r>
    </w:p>
    <w:p w:rsidR="00BC5AF8" w:rsidRPr="00BC5AF8" w:rsidRDefault="00BC5AF8" w:rsidP="00A24259">
      <w:pPr>
        <w:ind w:left="720"/>
      </w:pPr>
    </w:p>
    <w:p w:rsidR="00EC3576" w:rsidRDefault="00EC3576" w:rsidP="00A24259">
      <w:pPr>
        <w:ind w:left="720"/>
        <w:rPr>
          <w:i/>
          <w:szCs w:val="24"/>
        </w:rPr>
      </w:pPr>
      <w:r w:rsidRPr="00A24259">
        <w:rPr>
          <w:b/>
          <w:i/>
          <w:szCs w:val="24"/>
        </w:rPr>
        <w:t>Enable efficient access (for appropriate parties) to information provided electronically in submissions</w:t>
      </w:r>
    </w:p>
    <w:p w:rsidR="007D59F3" w:rsidRDefault="00302744" w:rsidP="00A24259">
      <w:pPr>
        <w:ind w:left="720"/>
        <w:rPr>
          <w:szCs w:val="24"/>
        </w:rPr>
      </w:pPr>
      <w:r>
        <w:rPr>
          <w:szCs w:val="24"/>
        </w:rPr>
        <w:t>This objective directly relates to the challenges of still managing paper submissions.  In many industry discussions, this objective was viewed as enabling efficient access to submissions within each company (including to functions outside of Regulatory Affairs).</w:t>
      </w:r>
      <w:r w:rsidR="00EF29E8">
        <w:rPr>
          <w:szCs w:val="24"/>
        </w:rPr>
        <w:t xml:space="preserve">  </w:t>
      </w:r>
    </w:p>
    <w:p w:rsidR="007D59F3" w:rsidRDefault="007D59F3" w:rsidP="00A24259">
      <w:pPr>
        <w:ind w:left="720"/>
        <w:rPr>
          <w:szCs w:val="24"/>
        </w:rPr>
      </w:pPr>
    </w:p>
    <w:p w:rsidR="00EF29E8" w:rsidRDefault="00EF29E8" w:rsidP="00A24259">
      <w:pPr>
        <w:ind w:left="720"/>
        <w:rPr>
          <w:szCs w:val="24"/>
        </w:rPr>
      </w:pPr>
      <w:r>
        <w:rPr>
          <w:szCs w:val="24"/>
        </w:rPr>
        <w:t>Some companies currently have an electronic archive of submissions made that is broadly available within their organizations.  For those that do not, all three</w:t>
      </w:r>
      <w:r w:rsidR="007D59F3">
        <w:rPr>
          <w:szCs w:val="24"/>
        </w:rPr>
        <w:t xml:space="preserve"> options were viewed as providing</w:t>
      </w:r>
      <w:r>
        <w:rPr>
          <w:szCs w:val="24"/>
        </w:rPr>
        <w:t xml:space="preserve"> a consistent structure around which such access could be built.  However Options 3 and 4 would require additional software to view the submission, which Option 2 does not.  For that reason, many felt that </w:t>
      </w:r>
      <w:r w:rsidR="009E3426">
        <w:rPr>
          <w:szCs w:val="24"/>
        </w:rPr>
        <w:t>O</w:t>
      </w:r>
      <w:r>
        <w:rPr>
          <w:szCs w:val="24"/>
        </w:rPr>
        <w:t>ption 2 would best meet this objective.</w:t>
      </w:r>
    </w:p>
    <w:p w:rsidR="00EF29E8" w:rsidRPr="00302744" w:rsidRDefault="00EF29E8" w:rsidP="00A24259">
      <w:pPr>
        <w:ind w:left="720"/>
        <w:rPr>
          <w:szCs w:val="24"/>
        </w:rPr>
      </w:pPr>
    </w:p>
    <w:p w:rsidR="007D72EE" w:rsidRDefault="007D72EE">
      <w:pPr>
        <w:rPr>
          <w:b/>
          <w:i/>
          <w:szCs w:val="24"/>
        </w:rPr>
      </w:pPr>
      <w:r>
        <w:rPr>
          <w:b/>
          <w:i/>
          <w:szCs w:val="24"/>
        </w:rPr>
        <w:br w:type="page"/>
      </w:r>
    </w:p>
    <w:p w:rsidR="00EC3576" w:rsidRDefault="00EC3576" w:rsidP="00A24259">
      <w:pPr>
        <w:ind w:left="720"/>
        <w:rPr>
          <w:i/>
          <w:szCs w:val="24"/>
        </w:rPr>
      </w:pPr>
      <w:r w:rsidRPr="00A24259">
        <w:rPr>
          <w:b/>
          <w:i/>
          <w:szCs w:val="24"/>
        </w:rPr>
        <w:lastRenderedPageBreak/>
        <w:t>Enable a solution for electronic storage of product submissions</w:t>
      </w:r>
    </w:p>
    <w:p w:rsidR="00EF29E8" w:rsidRDefault="006C5A04" w:rsidP="00A24259">
      <w:pPr>
        <w:ind w:left="720"/>
        <w:rPr>
          <w:szCs w:val="24"/>
        </w:rPr>
      </w:pPr>
      <w:r>
        <w:rPr>
          <w:szCs w:val="24"/>
        </w:rPr>
        <w:t xml:space="preserve">This objective relates specifically to elimination of paper storage.  Most companies who participated in the scoring process currently store submissions they have made electronically.  As a result many did not feel any of the options would improve the current state.  A few companies who currently still manage paper expressed concerns about the part 11 compliance burden that may result from </w:t>
      </w:r>
      <w:r w:rsidR="007D59F3">
        <w:rPr>
          <w:szCs w:val="24"/>
        </w:rPr>
        <w:t xml:space="preserve">the change to </w:t>
      </w:r>
      <w:r>
        <w:rPr>
          <w:szCs w:val="24"/>
        </w:rPr>
        <w:t>electronic submission storage.</w:t>
      </w:r>
    </w:p>
    <w:p w:rsidR="006C5A04" w:rsidRDefault="006C5A04" w:rsidP="00A24259">
      <w:pPr>
        <w:ind w:left="720"/>
        <w:rPr>
          <w:szCs w:val="24"/>
        </w:rPr>
      </w:pPr>
    </w:p>
    <w:p w:rsidR="006C5A04" w:rsidRPr="00A24259" w:rsidRDefault="006C5A04" w:rsidP="00A24259">
      <w:pPr>
        <w:ind w:left="720"/>
        <w:rPr>
          <w:b/>
          <w:szCs w:val="24"/>
        </w:rPr>
      </w:pPr>
      <w:r>
        <w:rPr>
          <w:szCs w:val="24"/>
        </w:rPr>
        <w:t xml:space="preserve">Part </w:t>
      </w:r>
      <w:proofErr w:type="gramStart"/>
      <w:r>
        <w:rPr>
          <w:szCs w:val="24"/>
        </w:rPr>
        <w:t>11</w:t>
      </w:r>
      <w:r w:rsidR="00AC5CEE">
        <w:rPr>
          <w:szCs w:val="24"/>
        </w:rPr>
        <w:t xml:space="preserve"> </w:t>
      </w:r>
      <w:r>
        <w:rPr>
          <w:szCs w:val="24"/>
        </w:rPr>
        <w:t>compliance</w:t>
      </w:r>
      <w:proofErr w:type="gramEnd"/>
      <w:r>
        <w:rPr>
          <w:szCs w:val="24"/>
        </w:rPr>
        <w:t xml:space="preserve"> was also a concern for the tools that might be required to produce any of the proposed formats; including the potential use of a </w:t>
      </w:r>
      <w:proofErr w:type="spellStart"/>
      <w:r>
        <w:rPr>
          <w:szCs w:val="24"/>
        </w:rPr>
        <w:t>SmartForm</w:t>
      </w:r>
      <w:proofErr w:type="spellEnd"/>
      <w:r>
        <w:rPr>
          <w:szCs w:val="24"/>
        </w:rPr>
        <w:t xml:space="preserve"> for </w:t>
      </w:r>
      <w:r w:rsidR="009E3426">
        <w:rPr>
          <w:szCs w:val="24"/>
        </w:rPr>
        <w:t>O</w:t>
      </w:r>
      <w:r>
        <w:rPr>
          <w:szCs w:val="24"/>
        </w:rPr>
        <w:t>ption 2.</w:t>
      </w:r>
    </w:p>
    <w:p w:rsidR="00EF29E8" w:rsidRPr="00A24259" w:rsidRDefault="00EF29E8" w:rsidP="00A24259">
      <w:pPr>
        <w:ind w:left="720"/>
        <w:rPr>
          <w:i/>
          <w:szCs w:val="24"/>
        </w:rPr>
      </w:pPr>
    </w:p>
    <w:p w:rsidR="00EC3576" w:rsidRPr="00A24259" w:rsidRDefault="00EC3576" w:rsidP="00A24259">
      <w:pPr>
        <w:ind w:left="720"/>
        <w:rPr>
          <w:b/>
          <w:i/>
          <w:szCs w:val="24"/>
        </w:rPr>
      </w:pPr>
      <w:r w:rsidRPr="00A24259">
        <w:rPr>
          <w:b/>
          <w:i/>
          <w:szCs w:val="24"/>
        </w:rPr>
        <w:t xml:space="preserve">Provide a way to automatically identify the current review status of a submission.  </w:t>
      </w:r>
    </w:p>
    <w:p w:rsidR="007D59F3" w:rsidRDefault="006C5A04" w:rsidP="00A24259">
      <w:pPr>
        <w:ind w:left="720"/>
      </w:pPr>
      <w:r>
        <w:t xml:space="preserve">Within the US, </w:t>
      </w:r>
      <w:r w:rsidRPr="00A24259">
        <w:t xml:space="preserve">industry </w:t>
      </w:r>
      <w:r>
        <w:t xml:space="preserve">identified </w:t>
      </w:r>
      <w:r w:rsidRPr="00A24259">
        <w:t>two components</w:t>
      </w:r>
      <w:r>
        <w:t xml:space="preserve"> to this objective</w:t>
      </w:r>
      <w:r w:rsidRPr="00A24259">
        <w:t xml:space="preserve">:  1) automatically push submission status changes to industry as they occur; 2) provide a mechanism for industry to query the status of a submission in “real-time”.  </w:t>
      </w:r>
    </w:p>
    <w:p w:rsidR="007D59F3" w:rsidRDefault="007D59F3" w:rsidP="00A24259">
      <w:pPr>
        <w:ind w:left="720"/>
      </w:pPr>
    </w:p>
    <w:p w:rsidR="00EC3576" w:rsidRPr="006C5A04" w:rsidRDefault="006C5A04" w:rsidP="00A24259">
      <w:pPr>
        <w:ind w:left="720"/>
      </w:pPr>
      <w:r>
        <w:t xml:space="preserve">Many felt </w:t>
      </w:r>
      <w:r w:rsidRPr="00A24259">
        <w:t>that the XML solution</w:t>
      </w:r>
      <w:r w:rsidRPr="006C5A04">
        <w:t xml:space="preserve">s have potential to improve </w:t>
      </w:r>
      <w:r>
        <w:t>meet these requirements</w:t>
      </w:r>
      <w:r w:rsidRPr="00A24259">
        <w:t xml:space="preserve">.  The RPS standard has a status value for a Submission – and can store acceptable values based on controlled vocabulary lists.  However </w:t>
      </w:r>
      <w:r>
        <w:t>the ability of any option to</w:t>
      </w:r>
      <w:r w:rsidRPr="00A24259">
        <w:t xml:space="preserve"> meet industry requirements depends very much on how the submission format is implemented within each regulatory agency.</w:t>
      </w:r>
      <w:r>
        <w:t xml:space="preserve">  </w:t>
      </w:r>
    </w:p>
    <w:p w:rsidR="00C34984" w:rsidRDefault="00C34984" w:rsidP="00A24259">
      <w:pPr>
        <w:ind w:left="720"/>
        <w:rPr>
          <w:i/>
          <w:szCs w:val="24"/>
        </w:rPr>
      </w:pPr>
    </w:p>
    <w:p w:rsidR="00EC3576" w:rsidRDefault="00EC3576" w:rsidP="00A24259">
      <w:pPr>
        <w:ind w:left="720"/>
        <w:rPr>
          <w:i/>
          <w:szCs w:val="24"/>
        </w:rPr>
      </w:pPr>
      <w:r w:rsidRPr="00A24259">
        <w:rPr>
          <w:b/>
          <w:i/>
          <w:szCs w:val="24"/>
        </w:rPr>
        <w:t>Provide a way to maintain the lifecycle of an Application over time when the regulation changes result in TOC variance between submissions.</w:t>
      </w:r>
    </w:p>
    <w:p w:rsidR="006C5A04" w:rsidRDefault="00C34984" w:rsidP="00A24259">
      <w:pPr>
        <w:ind w:left="720"/>
        <w:rPr>
          <w:szCs w:val="24"/>
        </w:rPr>
      </w:pPr>
      <w:r>
        <w:rPr>
          <w:szCs w:val="24"/>
        </w:rPr>
        <w:t>Many companies agreed that Options 3 and 4 have a better ability to track changes in the TOC and still maintain the Application lifecycle.  US stakeholders with primarily 510(k</w:t>
      </w:r>
      <w:proofErr w:type="gramStart"/>
      <w:r>
        <w:rPr>
          <w:szCs w:val="24"/>
        </w:rPr>
        <w:t>)s</w:t>
      </w:r>
      <w:proofErr w:type="gramEnd"/>
      <w:r>
        <w:rPr>
          <w:szCs w:val="24"/>
        </w:rPr>
        <w:t xml:space="preserve"> noted that this was not a concern for 510(k)s since there is no lifecycle to manage.</w:t>
      </w:r>
    </w:p>
    <w:p w:rsidR="007D59F3" w:rsidRDefault="007D59F3" w:rsidP="00A24259">
      <w:pPr>
        <w:ind w:left="720"/>
        <w:rPr>
          <w:szCs w:val="24"/>
        </w:rPr>
      </w:pPr>
    </w:p>
    <w:p w:rsidR="00C34984" w:rsidRDefault="00C34984" w:rsidP="00A24259">
      <w:pPr>
        <w:ind w:left="720"/>
        <w:rPr>
          <w:szCs w:val="24"/>
        </w:rPr>
      </w:pPr>
      <w:r>
        <w:rPr>
          <w:szCs w:val="24"/>
        </w:rPr>
        <w:t>Ther</w:t>
      </w:r>
      <w:r w:rsidR="00F97C8E">
        <w:rPr>
          <w:szCs w:val="24"/>
        </w:rPr>
        <w:t>e were concerns brought forward</w:t>
      </w:r>
      <w:r>
        <w:rPr>
          <w:szCs w:val="24"/>
        </w:rPr>
        <w:t xml:space="preserve"> around how changes to the TOC would </w:t>
      </w:r>
      <w:r w:rsidR="00E67355">
        <w:rPr>
          <w:szCs w:val="24"/>
        </w:rPr>
        <w:t xml:space="preserve">be </w:t>
      </w:r>
      <w:r>
        <w:rPr>
          <w:szCs w:val="24"/>
        </w:rPr>
        <w:t>managed / implemented.  Some companies expressed concern that additional submissions might be required to bring older Applications in-line with TOC changes.  In countries where approvals expire, there was concern that products might need to comply with new TOC requirements upon renewal – and that the documentation might not exist for older products.</w:t>
      </w:r>
      <w:r w:rsidR="00F97C8E">
        <w:rPr>
          <w:szCs w:val="24"/>
        </w:rPr>
        <w:t xml:space="preserve">  There were questions around how much notice industry would be given before changes to the TOC and classification matrices would take effect.</w:t>
      </w:r>
    </w:p>
    <w:p w:rsidR="00C34984" w:rsidRDefault="00C34984" w:rsidP="00A24259">
      <w:pPr>
        <w:ind w:left="720"/>
        <w:rPr>
          <w:szCs w:val="24"/>
        </w:rPr>
      </w:pPr>
    </w:p>
    <w:p w:rsidR="00C34984" w:rsidRDefault="00F97C8E" w:rsidP="00A24259">
      <w:pPr>
        <w:ind w:left="720"/>
        <w:rPr>
          <w:szCs w:val="24"/>
        </w:rPr>
      </w:pPr>
      <w:r>
        <w:rPr>
          <w:szCs w:val="24"/>
        </w:rPr>
        <w:t>Some companies noted that while Options 3 and 4 would clearly be better at dealing with TOC changes over time, it may require that companies invest in software tools to take advantage of that ability.  There is concern that those tools may not be affordable for all companies.</w:t>
      </w:r>
    </w:p>
    <w:p w:rsidR="00F97C8E" w:rsidRDefault="00F97C8E" w:rsidP="00A24259">
      <w:pPr>
        <w:ind w:left="720"/>
        <w:rPr>
          <w:szCs w:val="24"/>
        </w:rPr>
      </w:pPr>
    </w:p>
    <w:p w:rsidR="00F97C8E" w:rsidRDefault="00F97C8E" w:rsidP="00A24259">
      <w:pPr>
        <w:ind w:left="720"/>
        <w:rPr>
          <w:szCs w:val="24"/>
        </w:rPr>
      </w:pPr>
      <w:r>
        <w:rPr>
          <w:szCs w:val="24"/>
        </w:rPr>
        <w:t>Within Europe, there was a suggestion that the TOC implementation should be timed to align with the MDD changes, since the MDD changes might require TOC changes.</w:t>
      </w:r>
    </w:p>
    <w:p w:rsidR="00F97C8E" w:rsidRDefault="00F97C8E" w:rsidP="00A24259">
      <w:pPr>
        <w:ind w:left="720"/>
        <w:rPr>
          <w:szCs w:val="24"/>
        </w:rPr>
      </w:pPr>
    </w:p>
    <w:p w:rsidR="00F97C8E" w:rsidRDefault="00E67355" w:rsidP="00A24259">
      <w:pPr>
        <w:ind w:left="720"/>
        <w:rPr>
          <w:i/>
        </w:rPr>
      </w:pPr>
      <w:r w:rsidRPr="00A24259">
        <w:rPr>
          <w:b/>
          <w:i/>
        </w:rPr>
        <w:t>Cost to maintain the solution. This includes consideration of resources to manage day to day submission activity, and effort to provide governance over time</w:t>
      </w:r>
    </w:p>
    <w:p w:rsidR="00E67355" w:rsidRDefault="00E67355" w:rsidP="00A24259">
      <w:pPr>
        <w:ind w:left="720"/>
      </w:pPr>
      <w:r>
        <w:t xml:space="preserve">Most industry stakeholders felt that any of the proposed options would be more complex and require some technology investment and maintenance vs what is done today.  </w:t>
      </w:r>
    </w:p>
    <w:p w:rsidR="00E67355" w:rsidRDefault="00E67355" w:rsidP="00A24259">
      <w:pPr>
        <w:ind w:left="720"/>
      </w:pPr>
    </w:p>
    <w:p w:rsidR="00E67355" w:rsidRDefault="00E67355" w:rsidP="00A24259">
      <w:pPr>
        <w:ind w:left="720"/>
      </w:pPr>
      <w:r>
        <w:lastRenderedPageBreak/>
        <w:t>A few companies felt the structure and consistency would over time enable more efficient use of internal resources within companies, and as a result the maintenance cost would over time go down.</w:t>
      </w:r>
    </w:p>
    <w:p w:rsidR="00E67355" w:rsidRDefault="00E67355" w:rsidP="00A24259">
      <w:pPr>
        <w:ind w:left="720"/>
      </w:pPr>
    </w:p>
    <w:p w:rsidR="00E67355" w:rsidRDefault="00E67355" w:rsidP="00A24259">
      <w:pPr>
        <w:ind w:left="720"/>
      </w:pPr>
      <w:r>
        <w:t xml:space="preserve">Companies that current maintain </w:t>
      </w:r>
      <w:proofErr w:type="spellStart"/>
      <w:r>
        <w:t>eCTDs</w:t>
      </w:r>
      <w:proofErr w:type="spellEnd"/>
      <w:r>
        <w:t>, felt that Option 4 (RPS) would allow them to take advantage of costs they already need to incur to maintain their current tools.  Options 2 or 3 would instead require an investment in maintenance of additional tools.</w:t>
      </w:r>
    </w:p>
    <w:p w:rsidR="00E67355" w:rsidRDefault="00E67355" w:rsidP="00A24259">
      <w:pPr>
        <w:ind w:left="720"/>
      </w:pPr>
    </w:p>
    <w:p w:rsidR="00E67355" w:rsidRDefault="00E67355" w:rsidP="00A24259">
      <w:pPr>
        <w:ind w:left="720"/>
      </w:pPr>
      <w:r>
        <w:t>Most expressed concern about IMDRF effort that might be required to maintain / govern a custom format over time.</w:t>
      </w:r>
    </w:p>
    <w:p w:rsidR="00E60007" w:rsidRPr="00664910" w:rsidRDefault="0082542A" w:rsidP="00571E0C">
      <w:pPr>
        <w:pStyle w:val="Heading3"/>
      </w:pPr>
      <w:bookmarkStart w:id="25" w:name="_Toc425422219"/>
      <w:r w:rsidRPr="00664910">
        <w:t>Regulator Scoring Feedback</w:t>
      </w:r>
      <w:bookmarkEnd w:id="25"/>
    </w:p>
    <w:p w:rsidR="00021F2E" w:rsidRDefault="00021F2E" w:rsidP="00571E0C">
      <w:r>
        <w:t xml:space="preserve">Regulator comments are summarized below according to business objectives.  The scores for electronic submission options for both regulator groups were relatively consistent, giving Option 2 the lowest overall score, and Option 4 the highest. Although the scores were consistent, the regulator groups had comments to be noted about the business objectives, which have been summarized below: </w:t>
      </w:r>
    </w:p>
    <w:p w:rsidR="00021F2E" w:rsidRPr="008A48CD" w:rsidRDefault="00021F2E" w:rsidP="00021F2E"/>
    <w:p w:rsidR="00021F2E" w:rsidRDefault="00021F2E" w:rsidP="00021F2E">
      <w:pPr>
        <w:ind w:left="720"/>
        <w:rPr>
          <w:b/>
          <w:i/>
        </w:rPr>
      </w:pPr>
      <w:r w:rsidRPr="00D077F5">
        <w:rPr>
          <w:b/>
          <w:i/>
        </w:rPr>
        <w:t xml:space="preserve">Enable efficient exchange of information amongst regulators. </w:t>
      </w:r>
    </w:p>
    <w:p w:rsidR="00021F2E" w:rsidRDefault="00021F2E" w:rsidP="00021F2E">
      <w:pPr>
        <w:ind w:left="720"/>
      </w:pPr>
      <w:r>
        <w:t xml:space="preserve">This objective assumes that work-sharing will occur beyond Notified Bodies. </w:t>
      </w:r>
    </w:p>
    <w:p w:rsidR="00021F2E" w:rsidRDefault="00021F2E" w:rsidP="00021F2E">
      <w:pPr>
        <w:ind w:left="720"/>
      </w:pPr>
    </w:p>
    <w:p w:rsidR="00021F2E" w:rsidRDefault="00021F2E" w:rsidP="00021F2E">
      <w:pPr>
        <w:ind w:left="720"/>
      </w:pPr>
      <w:r>
        <w:t>Regulators also were in consensus that although this objective states that an “exchange” of information will take place, two way communication is out of scope for</w:t>
      </w:r>
      <w:r w:rsidR="004D43B1">
        <w:t xml:space="preserve"> </w:t>
      </w:r>
      <w:r w:rsidR="004D43B1" w:rsidRPr="00AC5CEE">
        <w:t>the assessment of</w:t>
      </w:r>
      <w:r>
        <w:t xml:space="preserve"> the IMDRF message standard as well as the HL7 RPS message standard, Options 3 and 4. The exchange would be instead defined as one way transfer of information amongst regulators. </w:t>
      </w:r>
    </w:p>
    <w:p w:rsidR="00021F2E" w:rsidRDefault="00021F2E" w:rsidP="00021F2E">
      <w:pPr>
        <w:ind w:left="720"/>
      </w:pPr>
    </w:p>
    <w:p w:rsidR="00021F2E" w:rsidRPr="00B62DBE" w:rsidRDefault="00021F2E" w:rsidP="00021F2E">
      <w:pPr>
        <w:ind w:left="720"/>
      </w:pPr>
      <w:r>
        <w:t xml:space="preserve">This concern for a lack of two way communication prevented regulators from ranking the proposed solutions significantly higher than the status quo.  </w:t>
      </w:r>
    </w:p>
    <w:p w:rsidR="00021F2E" w:rsidRPr="00D077F5" w:rsidRDefault="00021F2E" w:rsidP="00021F2E">
      <w:pPr>
        <w:ind w:left="720"/>
        <w:rPr>
          <w:b/>
          <w:i/>
        </w:rPr>
      </w:pPr>
      <w:r>
        <w:rPr>
          <w:b/>
          <w:i/>
        </w:rPr>
        <w:tab/>
      </w:r>
    </w:p>
    <w:p w:rsidR="00021F2E" w:rsidRDefault="00021F2E" w:rsidP="00021F2E">
      <w:pPr>
        <w:ind w:left="720"/>
        <w:rPr>
          <w:b/>
          <w:i/>
        </w:rPr>
      </w:pPr>
      <w:r w:rsidRPr="00D077F5">
        <w:rPr>
          <w:b/>
          <w:i/>
        </w:rPr>
        <w:t xml:space="preserve">Provide a mechanism through which the full submission lifecycle for a product can be easily transferred. </w:t>
      </w:r>
    </w:p>
    <w:p w:rsidR="00021F2E" w:rsidRPr="00B62DBE" w:rsidRDefault="00021F2E" w:rsidP="00021F2E">
      <w:pPr>
        <w:ind w:left="720"/>
      </w:pPr>
      <w:r>
        <w:t xml:space="preserve">Regulators also assumed that this objective referred to one way communication amongst regulator groups, and so, regulators were in consensus that the scores for the proposed options should not differ significantly from the status quo. </w:t>
      </w:r>
    </w:p>
    <w:p w:rsidR="00021F2E" w:rsidRDefault="00021F2E" w:rsidP="00021F2E">
      <w:pPr>
        <w:ind w:left="720"/>
        <w:rPr>
          <w:b/>
          <w:i/>
        </w:rPr>
      </w:pPr>
    </w:p>
    <w:p w:rsidR="00021F2E" w:rsidRDefault="00021F2E" w:rsidP="00021F2E">
      <w:pPr>
        <w:ind w:left="720"/>
        <w:rPr>
          <w:b/>
          <w:i/>
        </w:rPr>
      </w:pPr>
      <w:r>
        <w:rPr>
          <w:b/>
          <w:i/>
        </w:rPr>
        <w:t xml:space="preserve">Enable a solution for electronic storage of product submissions. </w:t>
      </w:r>
    </w:p>
    <w:p w:rsidR="00021F2E" w:rsidRDefault="00021F2E" w:rsidP="00021F2E">
      <w:pPr>
        <w:ind w:left="720"/>
        <w:rPr>
          <w:szCs w:val="24"/>
        </w:rPr>
      </w:pPr>
      <w:r>
        <w:rPr>
          <w:szCs w:val="24"/>
        </w:rPr>
        <w:t xml:space="preserve">Regulators under the subgroup “Regulators </w:t>
      </w:r>
      <w:proofErr w:type="gramStart"/>
      <w:r>
        <w:rPr>
          <w:szCs w:val="24"/>
        </w:rPr>
        <w:t>With</w:t>
      </w:r>
      <w:proofErr w:type="gramEnd"/>
      <w:r>
        <w:rPr>
          <w:szCs w:val="24"/>
        </w:rPr>
        <w:t xml:space="preserve"> Tools” gave the options for this objective </w:t>
      </w:r>
      <w:r w:rsidR="008F4D07">
        <w:rPr>
          <w:szCs w:val="24"/>
        </w:rPr>
        <w:t xml:space="preserve">relatively </w:t>
      </w:r>
      <w:r>
        <w:rPr>
          <w:szCs w:val="24"/>
        </w:rPr>
        <w:t xml:space="preserve">neutral scores, as these regulators already have access to the electronic review and/or submission tools. All information regarding product submissions is assumed to be currently stored electronically. </w:t>
      </w:r>
      <w:r w:rsidR="008F4D07">
        <w:rPr>
          <w:szCs w:val="24"/>
        </w:rPr>
        <w:t xml:space="preserve">The only additional benefit would be any reuse of submission documents as the files will be retrievable from the electronic storage by its meta-data (e.g., unique identifier).  </w:t>
      </w:r>
    </w:p>
    <w:p w:rsidR="00021F2E" w:rsidRDefault="00021F2E" w:rsidP="00021F2E">
      <w:r>
        <w:tab/>
      </w:r>
    </w:p>
    <w:p w:rsidR="00021F2E" w:rsidRDefault="00021F2E" w:rsidP="00021F2E">
      <w:pPr>
        <w:ind w:left="720"/>
      </w:pPr>
      <w:r>
        <w:t xml:space="preserve">Regulators </w:t>
      </w:r>
      <w:proofErr w:type="gramStart"/>
      <w:r>
        <w:t>Without</w:t>
      </w:r>
      <w:proofErr w:type="gramEnd"/>
      <w:r>
        <w:t xml:space="preserve"> Tools, however, gave higher scores than the status quo, as these regulators do not currently have access to the tools that allow for electronic storage of submissions. The regulators without tools were in agreement that Option 3 and 4 are more effective solutions in electronically storing and reusing submission content. </w:t>
      </w:r>
    </w:p>
    <w:p w:rsidR="00021F2E" w:rsidRPr="003B1665" w:rsidRDefault="00021F2E" w:rsidP="00021F2E">
      <w:pPr>
        <w:ind w:left="720"/>
      </w:pPr>
    </w:p>
    <w:p w:rsidR="00021F2E" w:rsidRDefault="00021F2E" w:rsidP="00021F2E">
      <w:pPr>
        <w:ind w:left="720"/>
        <w:rPr>
          <w:b/>
          <w:i/>
        </w:rPr>
      </w:pPr>
      <w:r>
        <w:rPr>
          <w:b/>
          <w:i/>
        </w:rPr>
        <w:lastRenderedPageBreak/>
        <w:t xml:space="preserve">Enable reduction of resources/time required for manual login (data entry, record creation) of submissions. </w:t>
      </w:r>
    </w:p>
    <w:p w:rsidR="00021F2E" w:rsidRDefault="00021F2E" w:rsidP="00021F2E">
      <w:pPr>
        <w:ind w:left="720"/>
      </w:pPr>
      <w:r>
        <w:t xml:space="preserve">Most regulators agreed that the proposed solution of creating a harmonized folder structure was not pertinent to addressing this objective, and therefore was given a score relatively close the status quo. </w:t>
      </w:r>
    </w:p>
    <w:p w:rsidR="00021F2E" w:rsidRDefault="00021F2E" w:rsidP="00021F2E">
      <w:pPr>
        <w:ind w:left="720"/>
      </w:pPr>
    </w:p>
    <w:p w:rsidR="00021F2E" w:rsidRDefault="00021F2E" w:rsidP="00021F2E">
      <w:pPr>
        <w:ind w:left="720"/>
      </w:pPr>
      <w:r>
        <w:t xml:space="preserve">Regulators scored Option 3 </w:t>
      </w:r>
      <w:r w:rsidR="00914DD9">
        <w:t xml:space="preserve">highest </w:t>
      </w:r>
      <w:r>
        <w:t>under the assumption that structured data</w:t>
      </w:r>
      <w:r w:rsidR="00914DD9">
        <w:t>, which fully meets all information requirements,</w:t>
      </w:r>
      <w:r>
        <w:t xml:space="preserve"> enables the automation of data entry and record creation. </w:t>
      </w:r>
    </w:p>
    <w:p w:rsidR="00021F2E" w:rsidRDefault="00021F2E" w:rsidP="00021F2E">
      <w:pPr>
        <w:ind w:left="720"/>
      </w:pPr>
    </w:p>
    <w:p w:rsidR="00021F2E" w:rsidRPr="00BE7288" w:rsidRDefault="00021F2E" w:rsidP="00021F2E">
      <w:pPr>
        <w:ind w:left="720"/>
      </w:pPr>
      <w:r>
        <w:t>It was also discussed among regulators that Option 4 had limits to what is provided in the RPS standard message, and could possibly lead to the exclusion and/or removal of certain product information (i.e., C</w:t>
      </w:r>
      <w:r w:rsidR="00914DD9">
        <w:t xml:space="preserve">ommon </w:t>
      </w:r>
      <w:r>
        <w:t>D</w:t>
      </w:r>
      <w:r w:rsidR="00914DD9">
        <w:t xml:space="preserve">ata </w:t>
      </w:r>
      <w:r>
        <w:t>E</w:t>
      </w:r>
      <w:r w:rsidR="00914DD9">
        <w:t xml:space="preserve">lements (CDE) </w:t>
      </w:r>
      <w:r w:rsidR="007214ED">
        <w:t>as a starting point</w:t>
      </w:r>
      <w:r>
        <w:t xml:space="preserve">). </w:t>
      </w:r>
    </w:p>
    <w:p w:rsidR="00021F2E" w:rsidRDefault="00021F2E" w:rsidP="00021F2E">
      <w:pPr>
        <w:rPr>
          <w:b/>
          <w:i/>
        </w:rPr>
      </w:pPr>
    </w:p>
    <w:p w:rsidR="00021F2E" w:rsidRDefault="00021F2E" w:rsidP="00021F2E">
      <w:pPr>
        <w:ind w:left="720"/>
        <w:rPr>
          <w:b/>
          <w:i/>
        </w:rPr>
      </w:pPr>
      <w:r>
        <w:rPr>
          <w:b/>
          <w:i/>
        </w:rPr>
        <w:t xml:space="preserve">Provide a way to maintain the lifecycle of an application over time when the regulation changes results in TOC variance between submissions. </w:t>
      </w:r>
    </w:p>
    <w:p w:rsidR="00021F2E" w:rsidRDefault="00021F2E" w:rsidP="00021F2E">
      <w:pPr>
        <w:ind w:left="720"/>
      </w:pPr>
      <w:r>
        <w:t xml:space="preserve">For this objective, regulators agreed that Options 3 and 4 should be given significantly higher scores, as </w:t>
      </w:r>
      <w:r w:rsidR="00914DD9">
        <w:t xml:space="preserve">controlled vocabularies (i.e., pre-defined value sets) </w:t>
      </w:r>
      <w:r>
        <w:t xml:space="preserve">are present for both options. </w:t>
      </w:r>
    </w:p>
    <w:p w:rsidR="00021F2E" w:rsidRDefault="00021F2E" w:rsidP="00021F2E">
      <w:pPr>
        <w:ind w:left="720"/>
      </w:pPr>
    </w:p>
    <w:p w:rsidR="00021F2E" w:rsidRPr="0048574E" w:rsidRDefault="00021F2E" w:rsidP="00021F2E">
      <w:pPr>
        <w:ind w:left="720"/>
      </w:pPr>
      <w:r>
        <w:t xml:space="preserve">Both the IMDRF and RPS Message standards would provide a greater flexibility in submissions and are therefore scored accordingly. </w:t>
      </w:r>
    </w:p>
    <w:p w:rsidR="00021F2E" w:rsidRDefault="00021F2E" w:rsidP="00021F2E">
      <w:pPr>
        <w:ind w:left="720"/>
        <w:rPr>
          <w:b/>
          <w:i/>
        </w:rPr>
      </w:pPr>
    </w:p>
    <w:p w:rsidR="00021F2E" w:rsidRPr="00386D40" w:rsidRDefault="00021F2E" w:rsidP="00021F2E">
      <w:pPr>
        <w:ind w:left="720"/>
        <w:rPr>
          <w:b/>
          <w:i/>
        </w:rPr>
      </w:pPr>
      <w:r>
        <w:rPr>
          <w:b/>
          <w:i/>
        </w:rPr>
        <w:t xml:space="preserve">Cost to maintain the solution. This includes consideration of resources to manage day to day submission activity, and effort to provide governance over time. </w:t>
      </w:r>
    </w:p>
    <w:p w:rsidR="00021F2E" w:rsidRDefault="00021F2E" w:rsidP="00021F2E">
      <w:pPr>
        <w:ind w:left="720"/>
      </w:pPr>
      <w:r>
        <w:t>Most regulators felt that the proposed options raised several concerns in regards to this objective. This is due to the complexity of the costs involved in the</w:t>
      </w:r>
      <w:r w:rsidR="0050738E">
        <w:t xml:space="preserve"> implementation and</w:t>
      </w:r>
      <w:r>
        <w:t xml:space="preserve"> maintenance of the solution, and certain concerns include: </w:t>
      </w:r>
    </w:p>
    <w:p w:rsidR="00021F2E" w:rsidRDefault="00021F2E" w:rsidP="00021F2E">
      <w:pPr>
        <w:pStyle w:val="ListParagraph"/>
        <w:numPr>
          <w:ilvl w:val="0"/>
          <w:numId w:val="34"/>
        </w:numPr>
      </w:pPr>
      <w:r>
        <w:t>What is the total cost of ownership?</w:t>
      </w:r>
    </w:p>
    <w:p w:rsidR="00021F2E" w:rsidRDefault="00021F2E" w:rsidP="00021F2E">
      <w:pPr>
        <w:pStyle w:val="ListParagraph"/>
        <w:numPr>
          <w:ilvl w:val="0"/>
          <w:numId w:val="34"/>
        </w:numPr>
      </w:pPr>
      <w:r>
        <w:t>Will the business as usual and change management costs split?</w:t>
      </w:r>
    </w:p>
    <w:p w:rsidR="009F5DE2" w:rsidRDefault="00D65C66" w:rsidP="009F5DE2">
      <w:pPr>
        <w:pStyle w:val="ListParagraph"/>
        <w:numPr>
          <w:ilvl w:val="0"/>
          <w:numId w:val="34"/>
        </w:numPr>
      </w:pPr>
      <w:r>
        <w:t>Focus on supporting one submission format</w:t>
      </w:r>
    </w:p>
    <w:p w:rsidR="00021F2E" w:rsidRDefault="00021F2E" w:rsidP="000652C8">
      <w:pPr>
        <w:ind w:left="720"/>
      </w:pPr>
    </w:p>
    <w:p w:rsidR="00AC54C0" w:rsidRDefault="009A0305" w:rsidP="000652C8">
      <w:pPr>
        <w:ind w:left="720"/>
      </w:pPr>
      <w:r>
        <w:t xml:space="preserve">For regulators that have eCTD software, the creation of an IMDRF message (Option 3), would require additional investment to maintain an exchange message that would have </w:t>
      </w:r>
      <w:r w:rsidR="00AC54C0">
        <w:t>the same functionality as the RPS message.  It was also noted that there are existing commercial software vendors that will be updating their software to meet the</w:t>
      </w:r>
      <w:r w:rsidR="00D65C66">
        <w:t xml:space="preserve"> new</w:t>
      </w:r>
      <w:r w:rsidR="00AC54C0">
        <w:t xml:space="preserve"> ICH requirements.  By creating a separate IMDRF message, the medical device regulators and industry would not fully benefit from investment made by the software vendors to meet the ICH requirements.</w:t>
      </w:r>
    </w:p>
    <w:p w:rsidR="009A0305" w:rsidRDefault="00AC54C0" w:rsidP="000652C8">
      <w:pPr>
        <w:ind w:left="720"/>
      </w:pPr>
      <w:r>
        <w:t xml:space="preserve"> </w:t>
      </w:r>
    </w:p>
    <w:p w:rsidR="00021F2E" w:rsidRDefault="00021F2E" w:rsidP="00021F2E">
      <w:pPr>
        <w:ind w:left="568"/>
      </w:pPr>
      <w:r>
        <w:t>For the remaining objectives, all regulators were in consensus and the scores were consistent.</w:t>
      </w:r>
    </w:p>
    <w:p w:rsidR="00B40900" w:rsidRPr="00664910" w:rsidRDefault="00B40900" w:rsidP="00571E0C">
      <w:pPr>
        <w:pStyle w:val="Heading3"/>
      </w:pPr>
      <w:bookmarkStart w:id="26" w:name="_Toc425422220"/>
      <w:r w:rsidRPr="00664910">
        <w:t>Overall Scoring Analysis</w:t>
      </w:r>
      <w:bookmarkEnd w:id="26"/>
    </w:p>
    <w:p w:rsidR="00B40900" w:rsidRDefault="00F4251A" w:rsidP="00571E0C">
      <w:r>
        <w:t>F</w:t>
      </w:r>
      <w:r w:rsidR="00B40900">
        <w:t xml:space="preserve">or all stakeholder groups, </w:t>
      </w:r>
      <w:r w:rsidR="00025907">
        <w:t>more than</w:t>
      </w:r>
      <w:r w:rsidR="00B40900">
        <w:t xml:space="preserve"> one of the evaluated options scored higher than the status quo.  </w:t>
      </w:r>
      <w:r>
        <w:t>Based on this, t</w:t>
      </w:r>
      <w:r w:rsidR="00B40900">
        <w:t>here is value for stakeholders in pursuing a harmonized electronic submission format.  The cumulative scoring results show that RPS has the highest score of all the options evaluated.</w:t>
      </w:r>
    </w:p>
    <w:p w:rsidR="005F77F6" w:rsidRDefault="005F77F6" w:rsidP="00571E0C"/>
    <w:p w:rsidR="00A41C17" w:rsidRDefault="001213E2" w:rsidP="00571E0C">
      <w:r>
        <w:t>S</w:t>
      </w:r>
      <w:r w:rsidR="00B40900">
        <w:t xml:space="preserve">coring showed a lack of consensus across industry stakeholders.  Prior to weighting, each of the three industry stakeholder groups had higher scores for a different option.  In addition, industry stakeholders </w:t>
      </w:r>
      <w:r w:rsidR="00B40900">
        <w:lastRenderedPageBreak/>
        <w:t>in the simple submissions category scored RPS lower than Options 2 and 3.  This is notable because the simple submissions stakeholder group is estimated to represent 85% of industry.</w:t>
      </w:r>
      <w:r w:rsidR="00A41C17" w:rsidRPr="00A41C17">
        <w:t xml:space="preserve"> </w:t>
      </w:r>
    </w:p>
    <w:p w:rsidR="009D3A50" w:rsidRDefault="009D3A50" w:rsidP="00571E0C"/>
    <w:p w:rsidR="00CB3E26" w:rsidRDefault="007F2279" w:rsidP="00571E0C">
      <w:r>
        <w:t xml:space="preserve">All </w:t>
      </w:r>
      <w:r w:rsidR="00D408DE">
        <w:t xml:space="preserve">Regulators </w:t>
      </w:r>
      <w:r>
        <w:t>scored</w:t>
      </w:r>
      <w:r w:rsidR="00D408DE">
        <w:t xml:space="preserve"> the </w:t>
      </w:r>
      <w:r w:rsidR="00D408DE" w:rsidRPr="00D408DE">
        <w:t>HL7 RPS Message Standard</w:t>
      </w:r>
      <w:r w:rsidR="00D408DE">
        <w:t xml:space="preserve">, Option 4, as the </w:t>
      </w:r>
      <w:r>
        <w:t xml:space="preserve">best </w:t>
      </w:r>
      <w:r w:rsidR="00D408DE">
        <w:t>option</w:t>
      </w:r>
      <w:r>
        <w:t>, with Option 3</w:t>
      </w:r>
      <w:r w:rsidR="00CB3E26">
        <w:t xml:space="preserve"> also</w:t>
      </w:r>
      <w:r>
        <w:t xml:space="preserve"> rating better than the Option 2.  Therefore, Regulators did not think the move from status quo to a harmonized folder structure </w:t>
      </w:r>
      <w:r w:rsidR="007E17C4">
        <w:t xml:space="preserve">will </w:t>
      </w:r>
      <w:r w:rsidR="00CB3E26">
        <w:t>lead to any</w:t>
      </w:r>
      <w:r>
        <w:t xml:space="preserve"> significant be</w:t>
      </w:r>
      <w:r w:rsidR="00CB3E26">
        <w:t>nefit, whereas moving</w:t>
      </w:r>
      <w:r w:rsidR="00060A26">
        <w:t xml:space="preserve"> to a</w:t>
      </w:r>
      <w:r w:rsidR="00CB3E26">
        <w:t xml:space="preserve"> standard message based option would yield the most benefit because it would provide additional functionality (e.g., life cycle of submission content and structured data) and</w:t>
      </w:r>
      <w:r w:rsidR="00060A26">
        <w:t xml:space="preserve"> with Option 4</w:t>
      </w:r>
      <w:r w:rsidR="00CB3E26">
        <w:t xml:space="preserve"> there would be the opportunity to share resources available in the pharmaceutical and biologic domain.</w:t>
      </w:r>
      <w:r>
        <w:t xml:space="preserve"> </w:t>
      </w:r>
      <w:r w:rsidR="00D408DE">
        <w:t xml:space="preserve"> </w:t>
      </w:r>
    </w:p>
    <w:p w:rsidR="00047E80" w:rsidRPr="00EF63D0" w:rsidRDefault="00047E80" w:rsidP="0071238F">
      <w:pPr>
        <w:pStyle w:val="Heading1"/>
      </w:pPr>
      <w:bookmarkStart w:id="27" w:name="_Toc425422221"/>
      <w:r w:rsidRPr="00EF63D0">
        <w:t>Final Recommendation</w:t>
      </w:r>
      <w:bookmarkEnd w:id="27"/>
    </w:p>
    <w:p w:rsidR="006A14AD" w:rsidRDefault="00877BE5" w:rsidP="00B7068C">
      <w:r>
        <w:t>Based on the scoring and subsequent analysis, it is recommended that the IMDRF MC endorse RPS as the future electronic information exchange format to be used for medical device submissions; and that the MC charter</w:t>
      </w:r>
      <w:r w:rsidR="00411F8E">
        <w:t xml:space="preserve"> additional efforts within the RPS WG</w:t>
      </w:r>
      <w:r>
        <w:t xml:space="preserve"> to develop a harmonized, device specific implementation of the RPS standard.  The RPS WG feels this</w:t>
      </w:r>
      <w:r w:rsidR="006424E2">
        <w:t xml:space="preserve"> is strategically the best option given the scoring </w:t>
      </w:r>
      <w:r w:rsidR="006A14AD">
        <w:t xml:space="preserve">outcome, </w:t>
      </w:r>
      <w:r>
        <w:t xml:space="preserve">and </w:t>
      </w:r>
      <w:r w:rsidR="006424E2">
        <w:t xml:space="preserve">the </w:t>
      </w:r>
      <w:r>
        <w:t xml:space="preserve">planned </w:t>
      </w:r>
      <w:r w:rsidR="006424E2">
        <w:t xml:space="preserve">use of RPS by ICH for pharmaceutical submissions.  Submission messaging format alignment between the drug and device industries </w:t>
      </w:r>
      <w:r w:rsidR="00365AE8">
        <w:t xml:space="preserve">could </w:t>
      </w:r>
      <w:r w:rsidR="006424E2">
        <w:t xml:space="preserve">benefit combination product submissions </w:t>
      </w:r>
      <w:r w:rsidR="00365AE8">
        <w:t>in the future</w:t>
      </w:r>
      <w:r w:rsidR="006A14AD">
        <w:t xml:space="preserve">.  </w:t>
      </w:r>
      <w:r w:rsidR="006424E2">
        <w:t xml:space="preserve"> </w:t>
      </w:r>
    </w:p>
    <w:p w:rsidR="00D721DD" w:rsidRDefault="00D721DD" w:rsidP="00BD2F4A"/>
    <w:p w:rsidR="002E1E54" w:rsidRDefault="00D721DD" w:rsidP="00AC5CEE">
      <w:r>
        <w:t xml:space="preserve">It should be noted that implementation of RPS is a long term undertaking, and efforts will most likely take several years. </w:t>
      </w:r>
      <w:r w:rsidR="00D65C66">
        <w:t xml:space="preserve"> </w:t>
      </w:r>
      <w:r w:rsidR="001551FB">
        <w:t xml:space="preserve">The medical device industry structure differs </w:t>
      </w:r>
      <w:r w:rsidR="00A0065C">
        <w:t>from</w:t>
      </w:r>
      <w:r w:rsidR="001551FB">
        <w:t xml:space="preserve"> pharmaceuticals in that it is primarily composed of small and medium size enterprises (80 – 95% / jurisdiction), and generally has a lower revenue per product.  These differences should be taken into consideration when planning RPS implementation.</w:t>
      </w:r>
    </w:p>
    <w:p w:rsidR="001551FB" w:rsidRDefault="001551FB" w:rsidP="00AC5CEE"/>
    <w:p w:rsidR="00D721DD" w:rsidRPr="00877BE5" w:rsidRDefault="00024327" w:rsidP="00BD2F4A">
      <w:r>
        <w:t>To address these concerns, t</w:t>
      </w:r>
      <w:r w:rsidR="00D65C66">
        <w:t>he RPS WG recommends that gradual steps be taken to implement the HL7 RPS Message Standard</w:t>
      </w:r>
      <w:r w:rsidR="00F73730">
        <w:t xml:space="preserve"> (</w:t>
      </w:r>
      <w:r w:rsidR="00F73730" w:rsidRPr="00AC5CEE">
        <w:t xml:space="preserve">e.g. </w:t>
      </w:r>
      <w:r w:rsidR="00973926" w:rsidRPr="00AC5CEE">
        <w:t xml:space="preserve">use </w:t>
      </w:r>
      <w:r w:rsidR="00A0065C" w:rsidRPr="00AC5CEE">
        <w:t>of a harmonized folder structure</w:t>
      </w:r>
      <w:r w:rsidR="00973926" w:rsidRPr="00AC5CEE">
        <w:t xml:space="preserve"> as a transition format</w:t>
      </w:r>
      <w:r w:rsidR="00A0065C" w:rsidRPr="00AC5CEE">
        <w:t>, etc.</w:t>
      </w:r>
      <w:r w:rsidR="00F73730">
        <w:t>)</w:t>
      </w:r>
      <w:r w:rsidR="00D65C66">
        <w:t xml:space="preserve">. </w:t>
      </w:r>
      <w:r w:rsidR="00D721DD">
        <w:t xml:space="preserve"> </w:t>
      </w:r>
      <w:r w:rsidR="00D65C66">
        <w:t>In addition, the f</w:t>
      </w:r>
      <w:r w:rsidR="00D721DD">
        <w:t xml:space="preserve">ull implementation of RPS </w:t>
      </w:r>
      <w:r w:rsidR="00EF63D0">
        <w:t xml:space="preserve">that </w:t>
      </w:r>
      <w:r w:rsidR="00D721DD">
        <w:t>will require establishment of an ongoing governance model to maintain harmonization and address proposed changes.</w:t>
      </w:r>
    </w:p>
    <w:p w:rsidR="00EE5245" w:rsidRDefault="00BD2F4A" w:rsidP="00A24259">
      <w:pPr>
        <w:pStyle w:val="Heading2"/>
      </w:pPr>
      <w:bookmarkStart w:id="28" w:name="_Toc425422222"/>
      <w:r>
        <w:t>Next Steps</w:t>
      </w:r>
      <w:bookmarkEnd w:id="28"/>
      <w:r>
        <w:t xml:space="preserve"> </w:t>
      </w:r>
    </w:p>
    <w:p w:rsidR="00024327" w:rsidRDefault="000652C8" w:rsidP="00BD2F4A">
      <w:r>
        <w:t>If the recommendation</w:t>
      </w:r>
      <w:r w:rsidR="0050738E">
        <w:t xml:space="preserve"> of the strategic direction</w:t>
      </w:r>
      <w:r>
        <w:t xml:space="preserve"> is accepted</w:t>
      </w:r>
      <w:r w:rsidR="0082396C">
        <w:t xml:space="preserve">, </w:t>
      </w:r>
      <w:r w:rsidR="00BD2F4A">
        <w:t>the RP</w:t>
      </w:r>
      <w:r w:rsidR="005B2471">
        <w:t xml:space="preserve">S WG </w:t>
      </w:r>
      <w:r w:rsidR="003609AD">
        <w:t xml:space="preserve">will </w:t>
      </w:r>
      <w:r w:rsidR="005B2471">
        <w:t xml:space="preserve">develop </w:t>
      </w:r>
      <w:r w:rsidR="00411F8E">
        <w:t xml:space="preserve">and post a </w:t>
      </w:r>
      <w:r w:rsidR="00D721DD">
        <w:t>strateg</w:t>
      </w:r>
      <w:r w:rsidR="0050738E">
        <w:t>ic plan</w:t>
      </w:r>
      <w:r w:rsidR="005B2471">
        <w:t xml:space="preserve"> that details milestones </w:t>
      </w:r>
      <w:r w:rsidR="00951D55">
        <w:t xml:space="preserve">for a future </w:t>
      </w:r>
      <w:r w:rsidR="005B2471">
        <w:t>RPS implementation</w:t>
      </w:r>
      <w:r>
        <w:t xml:space="preserve"> including incremental steps towards the full implementation</w:t>
      </w:r>
      <w:r w:rsidR="00804A71">
        <w:t xml:space="preserve"> </w:t>
      </w:r>
      <w:r w:rsidR="003609AD">
        <w:t>and key stakeholder implementation requirements</w:t>
      </w:r>
      <w:r w:rsidR="005B2471">
        <w:t xml:space="preserve">.  </w:t>
      </w:r>
      <w:r w:rsidR="00A8670B">
        <w:t>The strategy should include the necessary sequence of events to provide stakeholders with a roadmap of the key changes that may occur</w:t>
      </w:r>
      <w:r w:rsidR="000422E5">
        <w:t xml:space="preserve"> during the transition to a standardized messaging format</w:t>
      </w:r>
      <w:r w:rsidR="000B7ACA">
        <w:t xml:space="preserve">, </w:t>
      </w:r>
      <w:r w:rsidR="00F42876">
        <w:t xml:space="preserve">and </w:t>
      </w:r>
      <w:r w:rsidR="000B7ACA">
        <w:t>timing for those changes, and key decision points</w:t>
      </w:r>
      <w:r w:rsidR="00A8670B">
        <w:t xml:space="preserve">. </w:t>
      </w:r>
      <w:r w:rsidR="00024327">
        <w:t xml:space="preserve">Examples of </w:t>
      </w:r>
      <w:r w:rsidR="00F42876">
        <w:t xml:space="preserve">roadmap </w:t>
      </w:r>
      <w:r w:rsidR="00024327">
        <w:t>milestones may include, but are not limited to:</w:t>
      </w:r>
    </w:p>
    <w:p w:rsidR="00091E94" w:rsidRDefault="00091E94" w:rsidP="007D72EE">
      <w:pPr>
        <w:pStyle w:val="ListParagraph"/>
        <w:numPr>
          <w:ilvl w:val="0"/>
          <w:numId w:val="36"/>
        </w:numPr>
        <w:spacing w:before="120"/>
      </w:pPr>
      <w:r>
        <w:t>Developing an IMDRF RPS implementation guide (and regional guidance)</w:t>
      </w:r>
    </w:p>
    <w:p w:rsidR="00091E94" w:rsidRDefault="00024327" w:rsidP="007D72EE">
      <w:pPr>
        <w:pStyle w:val="ListParagraph"/>
        <w:numPr>
          <w:ilvl w:val="0"/>
          <w:numId w:val="36"/>
        </w:numPr>
        <w:spacing w:before="120"/>
      </w:pPr>
      <w:r>
        <w:t>Identification / implementation of a transitional format</w:t>
      </w:r>
      <w:r w:rsidR="00091E94">
        <w:t xml:space="preserve"> </w:t>
      </w:r>
      <w:r w:rsidR="0050738E">
        <w:t>to begin accepting submissions using the IMDRF TOC</w:t>
      </w:r>
      <w:r>
        <w:t>.</w:t>
      </w:r>
    </w:p>
    <w:p w:rsidR="00F41600" w:rsidRDefault="00F41600" w:rsidP="007D72EE">
      <w:pPr>
        <w:pStyle w:val="ListParagraph"/>
        <w:numPr>
          <w:ilvl w:val="0"/>
          <w:numId w:val="39"/>
        </w:numPr>
        <w:spacing w:before="120"/>
      </w:pPr>
      <w:r>
        <w:t xml:space="preserve">Identification of regulatory requirements (e.g., rulemaking and legislation) necessary for implementation and resulting timelines </w:t>
      </w:r>
    </w:p>
    <w:p w:rsidR="00F41600" w:rsidRDefault="00F41600" w:rsidP="007D72EE">
      <w:pPr>
        <w:pStyle w:val="ListParagraph"/>
        <w:numPr>
          <w:ilvl w:val="0"/>
          <w:numId w:val="36"/>
        </w:numPr>
        <w:spacing w:before="120"/>
      </w:pPr>
      <w:r>
        <w:t>Consolidation of stakeholder-specific</w:t>
      </w:r>
      <w:r w:rsidRPr="00F41600">
        <w:t xml:space="preserve"> </w:t>
      </w:r>
      <w:r>
        <w:t>cost analysis (e.g., region-specific economic impact assessment and/or industry-based cost assessments) based on implementation plans and vendor inputs</w:t>
      </w:r>
    </w:p>
    <w:p w:rsidR="00024327" w:rsidRDefault="00024327" w:rsidP="00F41600">
      <w:pPr>
        <w:pStyle w:val="ListParagraph"/>
        <w:numPr>
          <w:ilvl w:val="0"/>
          <w:numId w:val="37"/>
        </w:numPr>
        <w:spacing w:before="120"/>
      </w:pPr>
      <w:r>
        <w:t>Creation of a governance structure and process</w:t>
      </w:r>
    </w:p>
    <w:p w:rsidR="00024327" w:rsidRDefault="00024327" w:rsidP="00BD2F4A"/>
    <w:p w:rsidR="00A8670B" w:rsidRDefault="00A8670B" w:rsidP="00BD2F4A">
      <w:r>
        <w:t>The</w:t>
      </w:r>
      <w:r w:rsidR="000B7ACA">
        <w:t xml:space="preserve"> strateg</w:t>
      </w:r>
      <w:r w:rsidR="00F41600">
        <w:t>ic plan</w:t>
      </w:r>
      <w:r>
        <w:t xml:space="preserve"> will provide a clear path for all parties – specifically industry and software vendors</w:t>
      </w:r>
      <w:r w:rsidR="000B7ACA">
        <w:t>.</w:t>
      </w:r>
      <w:r w:rsidR="00091E94">
        <w:t xml:space="preserve">  </w:t>
      </w:r>
      <w:r>
        <w:t>It may also be used as an action plan within the RPS WG to support any f</w:t>
      </w:r>
      <w:r w:rsidR="00517FCF">
        <w:t>uture implementation activities;</w:t>
      </w:r>
    </w:p>
    <w:p w:rsidR="00A8670B" w:rsidRDefault="00A8670B" w:rsidP="00BD2F4A"/>
    <w:p w:rsidR="00EE5245" w:rsidRDefault="00517FCF" w:rsidP="00EE5245">
      <w:r>
        <w:t xml:space="preserve">  </w:t>
      </w:r>
      <w:r w:rsidR="00447F5C">
        <w:t xml:space="preserve">  </w:t>
      </w:r>
    </w:p>
    <w:p w:rsidR="00EE5245" w:rsidRDefault="00EE5245" w:rsidP="00EE5245"/>
    <w:p w:rsidR="00534A4C" w:rsidRDefault="00534A4C" w:rsidP="00534A4C"/>
    <w:p w:rsidR="00B04BE0" w:rsidRDefault="00B04BE0" w:rsidP="00B04BE0">
      <w:pPr>
        <w:spacing w:after="200" w:line="276" w:lineRule="auto"/>
        <w:sectPr w:rsidR="00B04BE0" w:rsidSect="009C4B4B">
          <w:footerReference w:type="default" r:id="rId20"/>
          <w:pgSz w:w="12240" w:h="15840" w:code="1"/>
          <w:pgMar w:top="720" w:right="1440" w:bottom="720" w:left="720" w:header="720" w:footer="720" w:gutter="0"/>
          <w:cols w:space="720"/>
          <w:docGrid w:linePitch="360"/>
        </w:sectPr>
      </w:pPr>
      <w:r>
        <w:br w:type="page"/>
      </w:r>
    </w:p>
    <w:p w:rsidR="00B04BE0" w:rsidRDefault="00B04BE0" w:rsidP="0071238F">
      <w:pPr>
        <w:pStyle w:val="Heading1"/>
      </w:pPr>
      <w:bookmarkStart w:id="29" w:name="_Toc425422223"/>
      <w:r>
        <w:lastRenderedPageBreak/>
        <w:t xml:space="preserve">Appendix A:  </w:t>
      </w:r>
      <w:r w:rsidR="00A32917">
        <w:t>Detailed Scoring of Technology Options</w:t>
      </w:r>
      <w:bookmarkEnd w:id="29"/>
    </w:p>
    <w:p w:rsidR="00182A4F" w:rsidRPr="00182A4F" w:rsidRDefault="00182A4F" w:rsidP="00182A4F">
      <w:r>
        <w:t xml:space="preserve">The information in this appendix provides the raw scores for each of the stakeholder groups defined in Section </w:t>
      </w:r>
      <w:r>
        <w:fldChar w:fldCharType="begin"/>
      </w:r>
      <w:r>
        <w:instrText xml:space="preserve"> REF _Ref422524636 \r \h </w:instrText>
      </w:r>
      <w:r>
        <w:fldChar w:fldCharType="separate"/>
      </w:r>
      <w:r w:rsidR="00B36C15">
        <w:t>6</w:t>
      </w:r>
      <w:r>
        <w:fldChar w:fldCharType="end"/>
      </w:r>
      <w:r>
        <w:t>.  The business objectives that did not affect the stakeholder are defaulted to a score of 3.0, and therefore are grayed out in the tables presented below.  In addition, Option 1, Status Quo as a baseline was also defaulted to a score of 3.0, and is therefore also grayed out for each objective.</w:t>
      </w:r>
    </w:p>
    <w:p w:rsidR="00CE36B6" w:rsidRDefault="00CE36B6" w:rsidP="00A24259">
      <w:pPr>
        <w:pStyle w:val="Heading2"/>
        <w:rPr>
          <w:rFonts w:eastAsiaTheme="majorEastAsia"/>
        </w:rPr>
      </w:pPr>
      <w:bookmarkStart w:id="30" w:name="_Toc425422224"/>
      <w:r>
        <w:rPr>
          <w:rFonts w:eastAsiaTheme="majorEastAsia"/>
        </w:rPr>
        <w:t xml:space="preserve">Regulators </w:t>
      </w:r>
      <w:proofErr w:type="gramStart"/>
      <w:r>
        <w:rPr>
          <w:rFonts w:eastAsiaTheme="majorEastAsia"/>
        </w:rPr>
        <w:t>With</w:t>
      </w:r>
      <w:proofErr w:type="gramEnd"/>
      <w:r>
        <w:rPr>
          <w:rFonts w:eastAsiaTheme="majorEastAsia"/>
        </w:rPr>
        <w:t xml:space="preserve"> Tools</w:t>
      </w:r>
      <w:bookmarkEnd w:id="30"/>
    </w:p>
    <w:tbl>
      <w:tblPr>
        <w:tblStyle w:val="TableGrid"/>
        <w:tblW w:w="0" w:type="auto"/>
        <w:tblLook w:val="04A0" w:firstRow="1" w:lastRow="0" w:firstColumn="1" w:lastColumn="0" w:noHBand="0" w:noVBand="1"/>
      </w:tblPr>
      <w:tblGrid>
        <w:gridCol w:w="4698"/>
        <w:gridCol w:w="2430"/>
        <w:gridCol w:w="2430"/>
        <w:gridCol w:w="2610"/>
        <w:gridCol w:w="2448"/>
      </w:tblGrid>
      <w:tr w:rsidR="00F8008E" w:rsidRPr="00F8008E" w:rsidTr="00A24259">
        <w:trPr>
          <w:tblHeader/>
        </w:trPr>
        <w:tc>
          <w:tcPr>
            <w:tcW w:w="4698" w:type="dxa"/>
          </w:tcPr>
          <w:p w:rsidR="00F8008E" w:rsidRPr="00A24259" w:rsidRDefault="00F8008E" w:rsidP="00CE36B6">
            <w:pPr>
              <w:rPr>
                <w:rFonts w:eastAsiaTheme="majorEastAsia"/>
                <w:b/>
                <w:sz w:val="22"/>
              </w:rPr>
            </w:pPr>
            <w:r>
              <w:rPr>
                <w:rFonts w:eastAsiaTheme="majorEastAsia"/>
                <w:b/>
                <w:sz w:val="22"/>
              </w:rPr>
              <w:t xml:space="preserve">Problem Area / </w:t>
            </w:r>
            <w:r w:rsidRPr="00A24259">
              <w:rPr>
                <w:rFonts w:eastAsiaTheme="majorEastAsia"/>
                <w:b/>
                <w:sz w:val="22"/>
              </w:rPr>
              <w:t>Objective</w:t>
            </w:r>
          </w:p>
        </w:tc>
        <w:tc>
          <w:tcPr>
            <w:tcW w:w="2430" w:type="dxa"/>
          </w:tcPr>
          <w:p w:rsidR="00F8008E" w:rsidRPr="00A24259" w:rsidRDefault="00F8008E" w:rsidP="00CE36B6">
            <w:pPr>
              <w:rPr>
                <w:rFonts w:eastAsiaTheme="majorEastAsia"/>
                <w:b/>
                <w:sz w:val="22"/>
              </w:rPr>
            </w:pPr>
            <w:r w:rsidRPr="00A24259">
              <w:rPr>
                <w:rFonts w:eastAsiaTheme="majorEastAsia"/>
                <w:b/>
                <w:sz w:val="22"/>
              </w:rPr>
              <w:t>Option 1</w:t>
            </w:r>
          </w:p>
          <w:p w:rsidR="00F8008E" w:rsidRPr="00A24259" w:rsidRDefault="00F8008E" w:rsidP="00CE36B6">
            <w:pPr>
              <w:rPr>
                <w:rFonts w:eastAsiaTheme="majorEastAsia"/>
                <w:b/>
                <w:sz w:val="22"/>
              </w:rPr>
            </w:pPr>
            <w:r w:rsidRPr="00A24259">
              <w:rPr>
                <w:rFonts w:eastAsiaTheme="majorEastAsia"/>
                <w:b/>
                <w:sz w:val="22"/>
              </w:rPr>
              <w:t>Status Quo (Baseline)</w:t>
            </w:r>
          </w:p>
        </w:tc>
        <w:tc>
          <w:tcPr>
            <w:tcW w:w="2430" w:type="dxa"/>
          </w:tcPr>
          <w:p w:rsidR="00F8008E" w:rsidRPr="00A24259" w:rsidRDefault="00F8008E" w:rsidP="00CE36B6">
            <w:pPr>
              <w:rPr>
                <w:rFonts w:eastAsiaTheme="majorEastAsia"/>
                <w:b/>
                <w:sz w:val="22"/>
              </w:rPr>
            </w:pPr>
            <w:r w:rsidRPr="00A24259">
              <w:rPr>
                <w:rFonts w:eastAsiaTheme="majorEastAsia"/>
                <w:b/>
                <w:sz w:val="22"/>
              </w:rPr>
              <w:t>Option 2</w:t>
            </w:r>
          </w:p>
          <w:p w:rsidR="00F8008E" w:rsidRPr="00A24259" w:rsidRDefault="00F8008E" w:rsidP="00CE36B6">
            <w:pPr>
              <w:rPr>
                <w:rFonts w:eastAsiaTheme="majorEastAsia"/>
                <w:b/>
                <w:sz w:val="22"/>
              </w:rPr>
            </w:pPr>
            <w:r w:rsidRPr="00A24259">
              <w:rPr>
                <w:rFonts w:eastAsiaTheme="majorEastAsia"/>
                <w:b/>
                <w:sz w:val="22"/>
              </w:rPr>
              <w:t>Harmonized Folder Structure</w:t>
            </w:r>
          </w:p>
        </w:tc>
        <w:tc>
          <w:tcPr>
            <w:tcW w:w="2610" w:type="dxa"/>
          </w:tcPr>
          <w:p w:rsidR="00F8008E" w:rsidRPr="00A24259" w:rsidRDefault="00F8008E" w:rsidP="00CE36B6">
            <w:pPr>
              <w:rPr>
                <w:rFonts w:eastAsiaTheme="majorEastAsia"/>
                <w:b/>
                <w:sz w:val="22"/>
              </w:rPr>
            </w:pPr>
            <w:r w:rsidRPr="00A24259">
              <w:rPr>
                <w:rFonts w:eastAsiaTheme="majorEastAsia"/>
                <w:b/>
                <w:sz w:val="22"/>
              </w:rPr>
              <w:t>Option 3</w:t>
            </w:r>
          </w:p>
          <w:p w:rsidR="00F8008E" w:rsidRPr="00A24259" w:rsidRDefault="00F8008E" w:rsidP="00CE36B6">
            <w:pPr>
              <w:rPr>
                <w:rFonts w:eastAsiaTheme="majorEastAsia"/>
                <w:b/>
                <w:sz w:val="22"/>
              </w:rPr>
            </w:pPr>
            <w:r w:rsidRPr="00A24259">
              <w:rPr>
                <w:rFonts w:eastAsiaTheme="majorEastAsia"/>
                <w:b/>
                <w:sz w:val="22"/>
              </w:rPr>
              <w:t>Custom IMDRF Message Standard</w:t>
            </w:r>
          </w:p>
        </w:tc>
        <w:tc>
          <w:tcPr>
            <w:tcW w:w="2448" w:type="dxa"/>
          </w:tcPr>
          <w:p w:rsidR="00F8008E" w:rsidRPr="00A24259" w:rsidRDefault="00F8008E" w:rsidP="00CE36B6">
            <w:pPr>
              <w:rPr>
                <w:rFonts w:eastAsiaTheme="majorEastAsia"/>
                <w:b/>
                <w:sz w:val="22"/>
              </w:rPr>
            </w:pPr>
            <w:r w:rsidRPr="00A24259">
              <w:rPr>
                <w:rFonts w:eastAsiaTheme="majorEastAsia"/>
                <w:b/>
                <w:sz w:val="22"/>
              </w:rPr>
              <w:t>Option 4</w:t>
            </w:r>
          </w:p>
          <w:p w:rsidR="00F8008E" w:rsidRPr="00A24259" w:rsidRDefault="00F8008E" w:rsidP="00CE36B6">
            <w:pPr>
              <w:rPr>
                <w:rFonts w:eastAsiaTheme="majorEastAsia"/>
                <w:b/>
                <w:sz w:val="22"/>
              </w:rPr>
            </w:pPr>
            <w:r w:rsidRPr="00A24259">
              <w:rPr>
                <w:rFonts w:eastAsiaTheme="majorEastAsia"/>
                <w:b/>
                <w:sz w:val="22"/>
              </w:rPr>
              <w:t>HL7 RPS Message Standard</w:t>
            </w:r>
          </w:p>
        </w:tc>
      </w:tr>
      <w:tr w:rsidR="001F3338" w:rsidTr="00182A4F">
        <w:tc>
          <w:tcPr>
            <w:tcW w:w="4698" w:type="dxa"/>
          </w:tcPr>
          <w:p w:rsidR="001F3338" w:rsidRDefault="001F3338" w:rsidP="00CE36B6">
            <w:pPr>
              <w:rPr>
                <w:rFonts w:eastAsiaTheme="majorEastAsia"/>
              </w:rPr>
            </w:pPr>
            <w:r w:rsidRPr="00283CA1">
              <w:t>Efficiently produce submissions for mu</w:t>
            </w:r>
            <w:r>
              <w:t>l</w:t>
            </w:r>
            <w:r w:rsidRPr="00283CA1">
              <w:t>tiple regions without managing multiple submission creation processes, and software tools</w:t>
            </w:r>
          </w:p>
        </w:tc>
        <w:tc>
          <w:tcPr>
            <w:tcW w:w="2430" w:type="dxa"/>
            <w:shd w:val="clear" w:color="auto" w:fill="D9D9D9" w:themeFill="background1" w:themeFillShade="D9"/>
          </w:tcPr>
          <w:p w:rsidR="001F3338" w:rsidRDefault="001F3338" w:rsidP="00CE36B6">
            <w:pPr>
              <w:rPr>
                <w:rFonts w:eastAsiaTheme="majorEastAsia"/>
              </w:rPr>
            </w:pPr>
            <w:r>
              <w:rPr>
                <w:rFonts w:eastAsiaTheme="majorEastAsia"/>
              </w:rPr>
              <w:t>3.0</w:t>
            </w:r>
          </w:p>
        </w:tc>
        <w:tc>
          <w:tcPr>
            <w:tcW w:w="2430" w:type="dxa"/>
            <w:shd w:val="clear" w:color="auto" w:fill="D9D9D9" w:themeFill="background1" w:themeFillShade="D9"/>
          </w:tcPr>
          <w:p w:rsidR="001F3338" w:rsidRDefault="001F3338" w:rsidP="00CE36B6">
            <w:pPr>
              <w:rPr>
                <w:rFonts w:eastAsiaTheme="majorEastAsia"/>
              </w:rPr>
            </w:pPr>
            <w:r w:rsidRPr="006F2D6F">
              <w:rPr>
                <w:rFonts w:eastAsiaTheme="majorEastAsia"/>
              </w:rPr>
              <w:t>3.0</w:t>
            </w:r>
          </w:p>
        </w:tc>
        <w:tc>
          <w:tcPr>
            <w:tcW w:w="2610" w:type="dxa"/>
            <w:shd w:val="clear" w:color="auto" w:fill="D9D9D9" w:themeFill="background1" w:themeFillShade="D9"/>
          </w:tcPr>
          <w:p w:rsidR="001F3338" w:rsidRDefault="001F3338" w:rsidP="00CE36B6">
            <w:pPr>
              <w:rPr>
                <w:rFonts w:eastAsiaTheme="majorEastAsia"/>
              </w:rPr>
            </w:pPr>
            <w:r w:rsidRPr="006F2D6F">
              <w:rPr>
                <w:rFonts w:eastAsiaTheme="majorEastAsia"/>
              </w:rPr>
              <w:t>3.0</w:t>
            </w:r>
          </w:p>
        </w:tc>
        <w:tc>
          <w:tcPr>
            <w:tcW w:w="2448" w:type="dxa"/>
            <w:shd w:val="clear" w:color="auto" w:fill="D9D9D9" w:themeFill="background1" w:themeFillShade="D9"/>
          </w:tcPr>
          <w:p w:rsidR="001F3338" w:rsidRDefault="001F3338" w:rsidP="00CE36B6">
            <w:pPr>
              <w:rPr>
                <w:rFonts w:eastAsiaTheme="majorEastAsia"/>
              </w:rPr>
            </w:pPr>
            <w:r w:rsidRPr="006F2D6F">
              <w:rPr>
                <w:rFonts w:eastAsiaTheme="majorEastAsia"/>
              </w:rPr>
              <w:t>3.0</w:t>
            </w:r>
          </w:p>
        </w:tc>
      </w:tr>
      <w:tr w:rsidR="00F307CA" w:rsidTr="0079720C">
        <w:tc>
          <w:tcPr>
            <w:tcW w:w="4698" w:type="dxa"/>
          </w:tcPr>
          <w:p w:rsidR="00F307CA" w:rsidRDefault="00F307CA" w:rsidP="00CE36B6">
            <w:pPr>
              <w:rPr>
                <w:rFonts w:eastAsiaTheme="majorEastAsia"/>
              </w:rPr>
            </w:pPr>
            <w:r>
              <w:rPr>
                <w:rFonts w:eastAsiaTheme="majorEastAsia"/>
              </w:rPr>
              <w:t>Enable efficient exchange of information amongst regulators</w:t>
            </w:r>
          </w:p>
        </w:tc>
        <w:tc>
          <w:tcPr>
            <w:tcW w:w="2430" w:type="dxa"/>
            <w:shd w:val="clear" w:color="auto" w:fill="D9D9D9" w:themeFill="background1" w:themeFillShade="D9"/>
          </w:tcPr>
          <w:p w:rsidR="00F307CA" w:rsidRDefault="00F307CA" w:rsidP="00CE36B6">
            <w:pPr>
              <w:rPr>
                <w:rFonts w:eastAsiaTheme="majorEastAsia"/>
              </w:rPr>
            </w:pPr>
            <w:r w:rsidRPr="00FE2C6D">
              <w:rPr>
                <w:rFonts w:eastAsiaTheme="majorEastAsia"/>
              </w:rPr>
              <w:t>3.0</w:t>
            </w:r>
          </w:p>
        </w:tc>
        <w:tc>
          <w:tcPr>
            <w:tcW w:w="2430" w:type="dxa"/>
          </w:tcPr>
          <w:p w:rsidR="00F307CA" w:rsidRDefault="0015628B" w:rsidP="00CE36B6">
            <w:pPr>
              <w:rPr>
                <w:rFonts w:eastAsiaTheme="majorEastAsia"/>
              </w:rPr>
            </w:pPr>
            <w:r>
              <w:rPr>
                <w:rFonts w:eastAsiaTheme="majorEastAsia"/>
              </w:rPr>
              <w:t>3.6</w:t>
            </w:r>
          </w:p>
        </w:tc>
        <w:tc>
          <w:tcPr>
            <w:tcW w:w="2610" w:type="dxa"/>
          </w:tcPr>
          <w:p w:rsidR="00F307CA" w:rsidRDefault="0015628B" w:rsidP="00CE36B6">
            <w:pPr>
              <w:rPr>
                <w:rFonts w:eastAsiaTheme="majorEastAsia"/>
              </w:rPr>
            </w:pPr>
            <w:r>
              <w:rPr>
                <w:rFonts w:eastAsiaTheme="majorEastAsia"/>
              </w:rPr>
              <w:t>3.6</w:t>
            </w:r>
          </w:p>
        </w:tc>
        <w:tc>
          <w:tcPr>
            <w:tcW w:w="2448" w:type="dxa"/>
          </w:tcPr>
          <w:p w:rsidR="00F307CA" w:rsidRDefault="0015628B" w:rsidP="00CE36B6">
            <w:pPr>
              <w:rPr>
                <w:rFonts w:eastAsiaTheme="majorEastAsia"/>
              </w:rPr>
            </w:pPr>
            <w:r>
              <w:rPr>
                <w:rFonts w:eastAsiaTheme="majorEastAsia"/>
              </w:rPr>
              <w:t>3.6</w:t>
            </w:r>
          </w:p>
        </w:tc>
      </w:tr>
      <w:tr w:rsidR="00F307CA" w:rsidTr="0079720C">
        <w:tc>
          <w:tcPr>
            <w:tcW w:w="4698" w:type="dxa"/>
          </w:tcPr>
          <w:p w:rsidR="00F307CA" w:rsidRPr="00A24259" w:rsidRDefault="00F307CA" w:rsidP="00CE36B6">
            <w:r w:rsidRPr="00287C96">
              <w:t>Enable a clear view to the</w:t>
            </w:r>
            <w:r w:rsidRPr="00E37CAA">
              <w:t xml:space="preserve"> lifecycle of A</w:t>
            </w:r>
            <w:r w:rsidRPr="007D63CB">
              <w:t>pplication content over time, as well as the ability to quickly see the most cur</w:t>
            </w:r>
            <w:r>
              <w:t>rent version of an Application.</w:t>
            </w:r>
          </w:p>
        </w:tc>
        <w:tc>
          <w:tcPr>
            <w:tcW w:w="2430" w:type="dxa"/>
            <w:shd w:val="clear" w:color="auto" w:fill="D9D9D9" w:themeFill="background1" w:themeFillShade="D9"/>
          </w:tcPr>
          <w:p w:rsidR="00F307CA" w:rsidRDefault="00F307CA" w:rsidP="00CE36B6">
            <w:pPr>
              <w:rPr>
                <w:rFonts w:eastAsiaTheme="majorEastAsia"/>
              </w:rPr>
            </w:pPr>
            <w:r w:rsidRPr="00FE2C6D">
              <w:rPr>
                <w:rFonts w:eastAsiaTheme="majorEastAsia"/>
              </w:rPr>
              <w:t>3.0</w:t>
            </w:r>
          </w:p>
        </w:tc>
        <w:tc>
          <w:tcPr>
            <w:tcW w:w="2430" w:type="dxa"/>
          </w:tcPr>
          <w:p w:rsidR="00F307CA" w:rsidRDefault="0015628B" w:rsidP="00CE36B6">
            <w:pPr>
              <w:rPr>
                <w:rFonts w:eastAsiaTheme="majorEastAsia"/>
              </w:rPr>
            </w:pPr>
            <w:r>
              <w:rPr>
                <w:rFonts w:eastAsiaTheme="majorEastAsia"/>
              </w:rPr>
              <w:t>4.1</w:t>
            </w:r>
          </w:p>
        </w:tc>
        <w:tc>
          <w:tcPr>
            <w:tcW w:w="2610" w:type="dxa"/>
          </w:tcPr>
          <w:p w:rsidR="00F307CA" w:rsidRDefault="0015628B" w:rsidP="00CE36B6">
            <w:pPr>
              <w:rPr>
                <w:rFonts w:eastAsiaTheme="majorEastAsia"/>
              </w:rPr>
            </w:pPr>
            <w:r>
              <w:rPr>
                <w:rFonts w:eastAsiaTheme="majorEastAsia"/>
              </w:rPr>
              <w:t>4.6</w:t>
            </w:r>
          </w:p>
        </w:tc>
        <w:tc>
          <w:tcPr>
            <w:tcW w:w="2448" w:type="dxa"/>
          </w:tcPr>
          <w:p w:rsidR="00F307CA" w:rsidRDefault="0015628B" w:rsidP="00CE36B6">
            <w:pPr>
              <w:rPr>
                <w:rFonts w:eastAsiaTheme="majorEastAsia"/>
              </w:rPr>
            </w:pPr>
            <w:r>
              <w:rPr>
                <w:rFonts w:eastAsiaTheme="majorEastAsia"/>
              </w:rPr>
              <w:t>4.6</w:t>
            </w:r>
          </w:p>
        </w:tc>
      </w:tr>
      <w:tr w:rsidR="00F307CA" w:rsidTr="0079720C">
        <w:tc>
          <w:tcPr>
            <w:tcW w:w="4698" w:type="dxa"/>
          </w:tcPr>
          <w:p w:rsidR="00F307CA" w:rsidRPr="00A24259" w:rsidRDefault="00F307CA" w:rsidP="00CE36B6">
            <w:r w:rsidRPr="007D63CB">
              <w:t>Include additional metadata on submission content for better discovery in the future (i.</w:t>
            </w:r>
            <w:r>
              <w:t>e., TOC headings and keywords).</w:t>
            </w:r>
          </w:p>
        </w:tc>
        <w:tc>
          <w:tcPr>
            <w:tcW w:w="2430" w:type="dxa"/>
            <w:shd w:val="clear" w:color="auto" w:fill="D9D9D9" w:themeFill="background1" w:themeFillShade="D9"/>
          </w:tcPr>
          <w:p w:rsidR="00F307CA" w:rsidRDefault="00F307CA" w:rsidP="00CE36B6">
            <w:pPr>
              <w:rPr>
                <w:rFonts w:eastAsiaTheme="majorEastAsia"/>
              </w:rPr>
            </w:pPr>
            <w:r w:rsidRPr="00FE2C6D">
              <w:rPr>
                <w:rFonts w:eastAsiaTheme="majorEastAsia"/>
              </w:rPr>
              <w:t>3.0</w:t>
            </w:r>
          </w:p>
        </w:tc>
        <w:tc>
          <w:tcPr>
            <w:tcW w:w="2430" w:type="dxa"/>
          </w:tcPr>
          <w:p w:rsidR="00F307CA" w:rsidRDefault="0015628B" w:rsidP="00CE36B6">
            <w:pPr>
              <w:rPr>
                <w:rFonts w:eastAsiaTheme="majorEastAsia"/>
              </w:rPr>
            </w:pPr>
            <w:r>
              <w:rPr>
                <w:rFonts w:eastAsiaTheme="majorEastAsia"/>
              </w:rPr>
              <w:t>3.0</w:t>
            </w:r>
          </w:p>
        </w:tc>
        <w:tc>
          <w:tcPr>
            <w:tcW w:w="2610" w:type="dxa"/>
          </w:tcPr>
          <w:p w:rsidR="00F307CA" w:rsidRDefault="0015628B" w:rsidP="00CE36B6">
            <w:pPr>
              <w:rPr>
                <w:rFonts w:eastAsiaTheme="majorEastAsia"/>
              </w:rPr>
            </w:pPr>
            <w:r>
              <w:rPr>
                <w:rFonts w:eastAsiaTheme="majorEastAsia"/>
              </w:rPr>
              <w:t>3.5</w:t>
            </w:r>
          </w:p>
        </w:tc>
        <w:tc>
          <w:tcPr>
            <w:tcW w:w="2448" w:type="dxa"/>
          </w:tcPr>
          <w:p w:rsidR="00F307CA" w:rsidRDefault="0015628B" w:rsidP="00CE36B6">
            <w:pPr>
              <w:rPr>
                <w:rFonts w:eastAsiaTheme="majorEastAsia"/>
              </w:rPr>
            </w:pPr>
            <w:r>
              <w:rPr>
                <w:rFonts w:eastAsiaTheme="majorEastAsia"/>
              </w:rPr>
              <w:t>3.5</w:t>
            </w:r>
          </w:p>
        </w:tc>
      </w:tr>
      <w:tr w:rsidR="0015628B" w:rsidTr="0079720C">
        <w:tc>
          <w:tcPr>
            <w:tcW w:w="4698" w:type="dxa"/>
          </w:tcPr>
          <w:p w:rsidR="0015628B" w:rsidRPr="00A24259" w:rsidRDefault="0015628B" w:rsidP="00CE36B6">
            <w:r w:rsidRPr="007D63CB">
              <w:t>Provide a mechanism through which the full submission lifecycle for a product can be easily tr</w:t>
            </w:r>
            <w:r>
              <w:t xml:space="preserve">ansferred between stakeholders </w:t>
            </w:r>
          </w:p>
        </w:tc>
        <w:tc>
          <w:tcPr>
            <w:tcW w:w="2430" w:type="dxa"/>
            <w:shd w:val="clear" w:color="auto" w:fill="D9D9D9" w:themeFill="background1" w:themeFillShade="D9"/>
          </w:tcPr>
          <w:p w:rsidR="0015628B" w:rsidRDefault="0015628B" w:rsidP="00CE36B6">
            <w:pPr>
              <w:rPr>
                <w:rFonts w:eastAsiaTheme="majorEastAsia"/>
              </w:rPr>
            </w:pPr>
            <w:r w:rsidRPr="00FE2C6D">
              <w:rPr>
                <w:rFonts w:eastAsiaTheme="majorEastAsia"/>
              </w:rPr>
              <w:t>3.0</w:t>
            </w:r>
          </w:p>
        </w:tc>
        <w:tc>
          <w:tcPr>
            <w:tcW w:w="2430" w:type="dxa"/>
          </w:tcPr>
          <w:p w:rsidR="0015628B" w:rsidRDefault="0015628B" w:rsidP="00CE36B6">
            <w:pPr>
              <w:rPr>
                <w:rFonts w:eastAsiaTheme="majorEastAsia"/>
              </w:rPr>
            </w:pPr>
            <w:r w:rsidRPr="00612A25">
              <w:rPr>
                <w:rFonts w:eastAsiaTheme="majorEastAsia"/>
              </w:rPr>
              <w:t>3.0</w:t>
            </w:r>
          </w:p>
        </w:tc>
        <w:tc>
          <w:tcPr>
            <w:tcW w:w="2610" w:type="dxa"/>
          </w:tcPr>
          <w:p w:rsidR="0015628B" w:rsidRDefault="0015628B" w:rsidP="00CE36B6">
            <w:pPr>
              <w:rPr>
                <w:rFonts w:eastAsiaTheme="majorEastAsia"/>
              </w:rPr>
            </w:pPr>
            <w:r w:rsidRPr="00612A25">
              <w:rPr>
                <w:rFonts w:eastAsiaTheme="majorEastAsia"/>
              </w:rPr>
              <w:t>3.0</w:t>
            </w:r>
          </w:p>
        </w:tc>
        <w:tc>
          <w:tcPr>
            <w:tcW w:w="2448" w:type="dxa"/>
          </w:tcPr>
          <w:p w:rsidR="0015628B" w:rsidRDefault="0015628B" w:rsidP="00CE36B6">
            <w:pPr>
              <w:rPr>
                <w:rFonts w:eastAsiaTheme="majorEastAsia"/>
              </w:rPr>
            </w:pPr>
            <w:r w:rsidRPr="00612A25">
              <w:rPr>
                <w:rFonts w:eastAsiaTheme="majorEastAsia"/>
              </w:rPr>
              <w:t>3.0</w:t>
            </w:r>
          </w:p>
        </w:tc>
      </w:tr>
      <w:tr w:rsidR="001F3338" w:rsidTr="0079720C">
        <w:tc>
          <w:tcPr>
            <w:tcW w:w="4698" w:type="dxa"/>
          </w:tcPr>
          <w:p w:rsidR="001F3338" w:rsidRPr="00A24259" w:rsidRDefault="001F3338" w:rsidP="00CE36B6">
            <w:r w:rsidRPr="007D63CB">
              <w:t>When product changes result in changes to submitted documentation, facilitate more efficient analysis of which submissions and which regions w</w:t>
            </w:r>
            <w:r>
              <w:t>ould be impacted by the change.</w:t>
            </w:r>
          </w:p>
        </w:tc>
        <w:tc>
          <w:tcPr>
            <w:tcW w:w="2430" w:type="dxa"/>
            <w:shd w:val="clear" w:color="auto" w:fill="D9D9D9" w:themeFill="background1" w:themeFillShade="D9"/>
          </w:tcPr>
          <w:p w:rsidR="001F3338" w:rsidRDefault="001F3338" w:rsidP="00CE36B6">
            <w:pPr>
              <w:rPr>
                <w:rFonts w:eastAsiaTheme="majorEastAsia"/>
              </w:rPr>
            </w:pPr>
            <w:r w:rsidRPr="00FE2C6D">
              <w:rPr>
                <w:rFonts w:eastAsiaTheme="majorEastAsia"/>
              </w:rPr>
              <w:t>3.0</w:t>
            </w:r>
          </w:p>
        </w:tc>
        <w:tc>
          <w:tcPr>
            <w:tcW w:w="2430" w:type="dxa"/>
            <w:shd w:val="clear" w:color="auto" w:fill="D9D9D9" w:themeFill="background1" w:themeFillShade="D9"/>
          </w:tcPr>
          <w:p w:rsidR="001F3338" w:rsidRDefault="001F3338" w:rsidP="00CE36B6">
            <w:pPr>
              <w:rPr>
                <w:rFonts w:eastAsiaTheme="majorEastAsia"/>
              </w:rPr>
            </w:pPr>
            <w:r w:rsidRPr="0066371B">
              <w:rPr>
                <w:rFonts w:eastAsiaTheme="majorEastAsia"/>
              </w:rPr>
              <w:t>3.0</w:t>
            </w:r>
          </w:p>
        </w:tc>
        <w:tc>
          <w:tcPr>
            <w:tcW w:w="2610" w:type="dxa"/>
            <w:shd w:val="clear" w:color="auto" w:fill="D9D9D9" w:themeFill="background1" w:themeFillShade="D9"/>
          </w:tcPr>
          <w:p w:rsidR="001F3338" w:rsidRDefault="001F3338" w:rsidP="00CE36B6">
            <w:pPr>
              <w:rPr>
                <w:rFonts w:eastAsiaTheme="majorEastAsia"/>
              </w:rPr>
            </w:pPr>
            <w:r w:rsidRPr="0066371B">
              <w:rPr>
                <w:rFonts w:eastAsiaTheme="majorEastAsia"/>
              </w:rPr>
              <w:t>3.0</w:t>
            </w:r>
          </w:p>
        </w:tc>
        <w:tc>
          <w:tcPr>
            <w:tcW w:w="2448" w:type="dxa"/>
            <w:shd w:val="clear" w:color="auto" w:fill="D9D9D9" w:themeFill="background1" w:themeFillShade="D9"/>
          </w:tcPr>
          <w:p w:rsidR="001F3338" w:rsidRDefault="001F3338" w:rsidP="00CE36B6">
            <w:pPr>
              <w:rPr>
                <w:rFonts w:eastAsiaTheme="majorEastAsia"/>
              </w:rPr>
            </w:pPr>
            <w:r w:rsidRPr="0066371B">
              <w:rPr>
                <w:rFonts w:eastAsiaTheme="majorEastAsia"/>
              </w:rPr>
              <w:t>3.0</w:t>
            </w:r>
          </w:p>
        </w:tc>
      </w:tr>
      <w:tr w:rsidR="00F307CA" w:rsidTr="0079720C">
        <w:tc>
          <w:tcPr>
            <w:tcW w:w="4698" w:type="dxa"/>
          </w:tcPr>
          <w:p w:rsidR="00F307CA" w:rsidRDefault="00F307CA" w:rsidP="00CE36B6">
            <w:pPr>
              <w:rPr>
                <w:rFonts w:eastAsiaTheme="majorEastAsia"/>
              </w:rPr>
            </w:pPr>
            <w:r w:rsidRPr="007D63CB">
              <w:t>Enable regulators and industry to consistently and clearly identify / communicate how a submission relates to previous applications</w:t>
            </w:r>
          </w:p>
        </w:tc>
        <w:tc>
          <w:tcPr>
            <w:tcW w:w="2430" w:type="dxa"/>
            <w:shd w:val="clear" w:color="auto" w:fill="D9D9D9" w:themeFill="background1" w:themeFillShade="D9"/>
          </w:tcPr>
          <w:p w:rsidR="00F307CA" w:rsidRDefault="00F307CA" w:rsidP="00CE36B6">
            <w:pPr>
              <w:rPr>
                <w:rFonts w:eastAsiaTheme="majorEastAsia"/>
              </w:rPr>
            </w:pPr>
            <w:r w:rsidRPr="00FE2C6D">
              <w:rPr>
                <w:rFonts w:eastAsiaTheme="majorEastAsia"/>
              </w:rPr>
              <w:t>3.0</w:t>
            </w:r>
          </w:p>
        </w:tc>
        <w:tc>
          <w:tcPr>
            <w:tcW w:w="2430" w:type="dxa"/>
          </w:tcPr>
          <w:p w:rsidR="00F307CA" w:rsidRDefault="0015628B" w:rsidP="00CE36B6">
            <w:pPr>
              <w:rPr>
                <w:rFonts w:eastAsiaTheme="majorEastAsia"/>
              </w:rPr>
            </w:pPr>
            <w:r>
              <w:rPr>
                <w:rFonts w:eastAsiaTheme="majorEastAsia"/>
              </w:rPr>
              <w:t>3.0</w:t>
            </w:r>
          </w:p>
        </w:tc>
        <w:tc>
          <w:tcPr>
            <w:tcW w:w="2610" w:type="dxa"/>
          </w:tcPr>
          <w:p w:rsidR="00F307CA" w:rsidRDefault="0015628B" w:rsidP="00CE36B6">
            <w:pPr>
              <w:rPr>
                <w:rFonts w:eastAsiaTheme="majorEastAsia"/>
              </w:rPr>
            </w:pPr>
            <w:r>
              <w:rPr>
                <w:rFonts w:eastAsiaTheme="majorEastAsia"/>
              </w:rPr>
              <w:t>4.6</w:t>
            </w:r>
          </w:p>
        </w:tc>
        <w:tc>
          <w:tcPr>
            <w:tcW w:w="2448" w:type="dxa"/>
          </w:tcPr>
          <w:p w:rsidR="00F307CA" w:rsidRDefault="0015628B" w:rsidP="00CE36B6">
            <w:pPr>
              <w:rPr>
                <w:rFonts w:eastAsiaTheme="majorEastAsia"/>
              </w:rPr>
            </w:pPr>
            <w:r>
              <w:rPr>
                <w:rFonts w:eastAsiaTheme="majorEastAsia"/>
              </w:rPr>
              <w:t>5.0</w:t>
            </w:r>
          </w:p>
        </w:tc>
      </w:tr>
      <w:tr w:rsidR="00F307CA" w:rsidTr="0079720C">
        <w:tc>
          <w:tcPr>
            <w:tcW w:w="4698" w:type="dxa"/>
          </w:tcPr>
          <w:p w:rsidR="00F307CA" w:rsidRDefault="00F307CA" w:rsidP="00CE36B6">
            <w:pPr>
              <w:rPr>
                <w:rFonts w:eastAsiaTheme="majorEastAsia"/>
              </w:rPr>
            </w:pPr>
            <w:r w:rsidRPr="007D63CB">
              <w:rPr>
                <w:szCs w:val="24"/>
              </w:rPr>
              <w:lastRenderedPageBreak/>
              <w:t xml:space="preserve">Enable efficient access </w:t>
            </w:r>
            <w:r>
              <w:rPr>
                <w:szCs w:val="24"/>
              </w:rPr>
              <w:t xml:space="preserve">(for appropriate parties) to </w:t>
            </w:r>
            <w:r w:rsidRPr="007D63CB">
              <w:rPr>
                <w:szCs w:val="24"/>
              </w:rPr>
              <w:t>information provided electronically in submissions</w:t>
            </w:r>
          </w:p>
        </w:tc>
        <w:tc>
          <w:tcPr>
            <w:tcW w:w="2430" w:type="dxa"/>
            <w:shd w:val="clear" w:color="auto" w:fill="D9D9D9" w:themeFill="background1" w:themeFillShade="D9"/>
          </w:tcPr>
          <w:p w:rsidR="00F307CA" w:rsidRDefault="00F307CA" w:rsidP="00CE36B6">
            <w:pPr>
              <w:rPr>
                <w:rFonts w:eastAsiaTheme="majorEastAsia"/>
              </w:rPr>
            </w:pPr>
            <w:r w:rsidRPr="00FE2C6D">
              <w:rPr>
                <w:rFonts w:eastAsiaTheme="majorEastAsia"/>
              </w:rPr>
              <w:t>3.0</w:t>
            </w:r>
          </w:p>
        </w:tc>
        <w:tc>
          <w:tcPr>
            <w:tcW w:w="2430" w:type="dxa"/>
          </w:tcPr>
          <w:p w:rsidR="00F307CA" w:rsidRDefault="0015628B" w:rsidP="00CE36B6">
            <w:pPr>
              <w:rPr>
                <w:rFonts w:eastAsiaTheme="majorEastAsia"/>
              </w:rPr>
            </w:pPr>
            <w:r>
              <w:rPr>
                <w:rFonts w:eastAsiaTheme="majorEastAsia"/>
              </w:rPr>
              <w:t>3.8</w:t>
            </w:r>
          </w:p>
        </w:tc>
        <w:tc>
          <w:tcPr>
            <w:tcW w:w="2610" w:type="dxa"/>
          </w:tcPr>
          <w:p w:rsidR="00F307CA" w:rsidRDefault="0015628B" w:rsidP="00CE36B6">
            <w:pPr>
              <w:rPr>
                <w:rFonts w:eastAsiaTheme="majorEastAsia"/>
              </w:rPr>
            </w:pPr>
            <w:r>
              <w:rPr>
                <w:rFonts w:eastAsiaTheme="majorEastAsia"/>
              </w:rPr>
              <w:t>4.5</w:t>
            </w:r>
          </w:p>
        </w:tc>
        <w:tc>
          <w:tcPr>
            <w:tcW w:w="2448" w:type="dxa"/>
          </w:tcPr>
          <w:p w:rsidR="00F307CA" w:rsidRDefault="0015628B" w:rsidP="00CE36B6">
            <w:pPr>
              <w:rPr>
                <w:rFonts w:eastAsiaTheme="majorEastAsia"/>
              </w:rPr>
            </w:pPr>
            <w:r>
              <w:rPr>
                <w:rFonts w:eastAsiaTheme="majorEastAsia"/>
              </w:rPr>
              <w:t>4.9</w:t>
            </w:r>
          </w:p>
        </w:tc>
      </w:tr>
      <w:tr w:rsidR="0015628B" w:rsidTr="0079720C">
        <w:tc>
          <w:tcPr>
            <w:tcW w:w="4698" w:type="dxa"/>
          </w:tcPr>
          <w:p w:rsidR="0015628B" w:rsidRDefault="0015628B" w:rsidP="00CE36B6">
            <w:pPr>
              <w:rPr>
                <w:rFonts w:eastAsiaTheme="majorEastAsia"/>
              </w:rPr>
            </w:pPr>
            <w:r w:rsidRPr="00A65750">
              <w:rPr>
                <w:szCs w:val="24"/>
              </w:rPr>
              <w:t xml:space="preserve">Enable a solution for electronic storage of product submissions </w:t>
            </w:r>
          </w:p>
        </w:tc>
        <w:tc>
          <w:tcPr>
            <w:tcW w:w="2430" w:type="dxa"/>
            <w:shd w:val="clear" w:color="auto" w:fill="D9D9D9" w:themeFill="background1" w:themeFillShade="D9"/>
          </w:tcPr>
          <w:p w:rsidR="0015628B" w:rsidRDefault="0015628B" w:rsidP="00CE36B6">
            <w:pPr>
              <w:rPr>
                <w:rFonts w:eastAsiaTheme="majorEastAsia"/>
              </w:rPr>
            </w:pPr>
            <w:r w:rsidRPr="00FE2C6D">
              <w:rPr>
                <w:rFonts w:eastAsiaTheme="majorEastAsia"/>
              </w:rPr>
              <w:t>3.0</w:t>
            </w:r>
          </w:p>
        </w:tc>
        <w:tc>
          <w:tcPr>
            <w:tcW w:w="2430" w:type="dxa"/>
          </w:tcPr>
          <w:p w:rsidR="0015628B" w:rsidRDefault="0015628B" w:rsidP="00CE36B6">
            <w:pPr>
              <w:rPr>
                <w:rFonts w:eastAsiaTheme="majorEastAsia"/>
              </w:rPr>
            </w:pPr>
            <w:r w:rsidRPr="005B69EC">
              <w:rPr>
                <w:rFonts w:eastAsiaTheme="majorEastAsia"/>
              </w:rPr>
              <w:t>3.0</w:t>
            </w:r>
          </w:p>
        </w:tc>
        <w:tc>
          <w:tcPr>
            <w:tcW w:w="2610" w:type="dxa"/>
          </w:tcPr>
          <w:p w:rsidR="0015628B" w:rsidRDefault="0015628B" w:rsidP="00CE36B6">
            <w:pPr>
              <w:rPr>
                <w:rFonts w:eastAsiaTheme="majorEastAsia"/>
              </w:rPr>
            </w:pPr>
            <w:r w:rsidRPr="005B69EC">
              <w:rPr>
                <w:rFonts w:eastAsiaTheme="majorEastAsia"/>
              </w:rPr>
              <w:t>3.0</w:t>
            </w:r>
          </w:p>
        </w:tc>
        <w:tc>
          <w:tcPr>
            <w:tcW w:w="2448" w:type="dxa"/>
          </w:tcPr>
          <w:p w:rsidR="0015628B" w:rsidRDefault="0015628B" w:rsidP="00CE36B6">
            <w:pPr>
              <w:rPr>
                <w:rFonts w:eastAsiaTheme="majorEastAsia"/>
              </w:rPr>
            </w:pPr>
            <w:r w:rsidRPr="005B69EC">
              <w:rPr>
                <w:rFonts w:eastAsiaTheme="majorEastAsia"/>
              </w:rPr>
              <w:t>3.0</w:t>
            </w:r>
          </w:p>
        </w:tc>
      </w:tr>
      <w:tr w:rsidR="0015628B" w:rsidTr="0079720C">
        <w:tc>
          <w:tcPr>
            <w:tcW w:w="4698" w:type="dxa"/>
          </w:tcPr>
          <w:p w:rsidR="0015628B" w:rsidRDefault="0015628B" w:rsidP="00CE36B6">
            <w:pPr>
              <w:rPr>
                <w:rFonts w:eastAsiaTheme="majorEastAsia"/>
              </w:rPr>
            </w:pPr>
            <w:r w:rsidRPr="007D63CB">
              <w:rPr>
                <w:szCs w:val="24"/>
              </w:rPr>
              <w:t xml:space="preserve">Enable efficient </w:t>
            </w:r>
            <w:r w:rsidRPr="00A65750">
              <w:rPr>
                <w:szCs w:val="24"/>
              </w:rPr>
              <w:t xml:space="preserve">simultaneous </w:t>
            </w:r>
            <w:r w:rsidRPr="00F52C03">
              <w:rPr>
                <w:szCs w:val="24"/>
              </w:rPr>
              <w:t>access to information (</w:t>
            </w:r>
            <w:r w:rsidRPr="00C5250F">
              <w:rPr>
                <w:szCs w:val="24"/>
              </w:rPr>
              <w:t>for reviewers) provided electronically in submissions</w:t>
            </w:r>
            <w:r w:rsidRPr="00C5250F" w:rsidDel="00222780">
              <w:rPr>
                <w:szCs w:val="24"/>
              </w:rPr>
              <w:t xml:space="preserve"> </w:t>
            </w:r>
          </w:p>
        </w:tc>
        <w:tc>
          <w:tcPr>
            <w:tcW w:w="2430" w:type="dxa"/>
            <w:shd w:val="clear" w:color="auto" w:fill="D9D9D9" w:themeFill="background1" w:themeFillShade="D9"/>
          </w:tcPr>
          <w:p w:rsidR="0015628B" w:rsidRDefault="0015628B" w:rsidP="00CE36B6">
            <w:pPr>
              <w:rPr>
                <w:rFonts w:eastAsiaTheme="majorEastAsia"/>
              </w:rPr>
            </w:pPr>
            <w:r w:rsidRPr="00FE2C6D">
              <w:rPr>
                <w:rFonts w:eastAsiaTheme="majorEastAsia"/>
              </w:rPr>
              <w:t>3.0</w:t>
            </w:r>
          </w:p>
        </w:tc>
        <w:tc>
          <w:tcPr>
            <w:tcW w:w="2430" w:type="dxa"/>
          </w:tcPr>
          <w:p w:rsidR="0015628B" w:rsidRDefault="0015628B" w:rsidP="00CE36B6">
            <w:pPr>
              <w:rPr>
                <w:rFonts w:eastAsiaTheme="majorEastAsia"/>
              </w:rPr>
            </w:pPr>
            <w:r w:rsidRPr="00722959">
              <w:rPr>
                <w:rFonts w:eastAsiaTheme="majorEastAsia"/>
              </w:rPr>
              <w:t>3.0</w:t>
            </w:r>
          </w:p>
        </w:tc>
        <w:tc>
          <w:tcPr>
            <w:tcW w:w="2610" w:type="dxa"/>
          </w:tcPr>
          <w:p w:rsidR="0015628B" w:rsidRDefault="0015628B" w:rsidP="00CE36B6">
            <w:pPr>
              <w:rPr>
                <w:rFonts w:eastAsiaTheme="majorEastAsia"/>
              </w:rPr>
            </w:pPr>
            <w:r w:rsidRPr="00722959">
              <w:rPr>
                <w:rFonts w:eastAsiaTheme="majorEastAsia"/>
              </w:rPr>
              <w:t>3.0</w:t>
            </w:r>
          </w:p>
        </w:tc>
        <w:tc>
          <w:tcPr>
            <w:tcW w:w="2448" w:type="dxa"/>
          </w:tcPr>
          <w:p w:rsidR="0015628B" w:rsidRDefault="0015628B" w:rsidP="00CE36B6">
            <w:pPr>
              <w:rPr>
                <w:rFonts w:eastAsiaTheme="majorEastAsia"/>
              </w:rPr>
            </w:pPr>
            <w:r w:rsidRPr="00722959">
              <w:rPr>
                <w:rFonts w:eastAsiaTheme="majorEastAsia"/>
              </w:rPr>
              <w:t>3.0</w:t>
            </w:r>
          </w:p>
        </w:tc>
      </w:tr>
      <w:tr w:rsidR="00F307CA" w:rsidTr="005E5D43">
        <w:trPr>
          <w:trHeight w:val="1511"/>
        </w:trPr>
        <w:tc>
          <w:tcPr>
            <w:tcW w:w="4698" w:type="dxa"/>
          </w:tcPr>
          <w:p w:rsidR="00F307CA" w:rsidRPr="00A65750" w:rsidRDefault="00F307CA" w:rsidP="003B2486">
            <w:pPr>
              <w:rPr>
                <w:szCs w:val="24"/>
              </w:rPr>
            </w:pPr>
            <w:r w:rsidRPr="00C849A0">
              <w:rPr>
                <w:szCs w:val="24"/>
              </w:rPr>
              <w:t>Enable reduction of resources / time required for manual login (data entry, record creation) of submissions</w:t>
            </w:r>
          </w:p>
          <w:p w:rsidR="00F307CA" w:rsidRDefault="00F307CA" w:rsidP="00CE36B6">
            <w:pPr>
              <w:rPr>
                <w:rFonts w:eastAsiaTheme="majorEastAsia"/>
              </w:rPr>
            </w:pPr>
            <w:r w:rsidRPr="00F52C03">
              <w:rPr>
                <w:szCs w:val="24"/>
              </w:rPr>
              <w:t>Note:  This objective would require the collection of structured data values from indu</w:t>
            </w:r>
            <w:r w:rsidRPr="00C5250F">
              <w:rPr>
                <w:szCs w:val="24"/>
              </w:rPr>
              <w:t>stry</w:t>
            </w:r>
          </w:p>
        </w:tc>
        <w:tc>
          <w:tcPr>
            <w:tcW w:w="2430" w:type="dxa"/>
            <w:shd w:val="clear" w:color="auto" w:fill="D9D9D9" w:themeFill="background1" w:themeFillShade="D9"/>
          </w:tcPr>
          <w:p w:rsidR="00F307CA" w:rsidRDefault="00F307CA" w:rsidP="00CE36B6">
            <w:pPr>
              <w:rPr>
                <w:rFonts w:eastAsiaTheme="majorEastAsia"/>
              </w:rPr>
            </w:pPr>
            <w:r w:rsidRPr="00FE2C6D">
              <w:rPr>
                <w:rFonts w:eastAsiaTheme="majorEastAsia"/>
              </w:rPr>
              <w:t>3.0</w:t>
            </w:r>
          </w:p>
        </w:tc>
        <w:tc>
          <w:tcPr>
            <w:tcW w:w="2430" w:type="dxa"/>
          </w:tcPr>
          <w:p w:rsidR="00F307CA" w:rsidRDefault="0015628B" w:rsidP="00CE36B6">
            <w:pPr>
              <w:rPr>
                <w:rFonts w:eastAsiaTheme="majorEastAsia"/>
              </w:rPr>
            </w:pPr>
            <w:r>
              <w:rPr>
                <w:rFonts w:eastAsiaTheme="majorEastAsia"/>
              </w:rPr>
              <w:t>3.0</w:t>
            </w:r>
          </w:p>
        </w:tc>
        <w:tc>
          <w:tcPr>
            <w:tcW w:w="2610" w:type="dxa"/>
          </w:tcPr>
          <w:p w:rsidR="00F307CA" w:rsidRDefault="0015628B" w:rsidP="00CE36B6">
            <w:pPr>
              <w:rPr>
                <w:rFonts w:eastAsiaTheme="majorEastAsia"/>
              </w:rPr>
            </w:pPr>
            <w:r>
              <w:rPr>
                <w:rFonts w:eastAsiaTheme="majorEastAsia"/>
              </w:rPr>
              <w:t>4.5</w:t>
            </w:r>
          </w:p>
        </w:tc>
        <w:tc>
          <w:tcPr>
            <w:tcW w:w="2448" w:type="dxa"/>
          </w:tcPr>
          <w:p w:rsidR="00F307CA" w:rsidRDefault="0015628B" w:rsidP="00CE36B6">
            <w:pPr>
              <w:rPr>
                <w:rFonts w:eastAsiaTheme="majorEastAsia"/>
              </w:rPr>
            </w:pPr>
            <w:r>
              <w:rPr>
                <w:rFonts w:eastAsiaTheme="majorEastAsia"/>
              </w:rPr>
              <w:t>4.1</w:t>
            </w:r>
          </w:p>
        </w:tc>
      </w:tr>
      <w:tr w:rsidR="0015628B" w:rsidTr="00182A4F">
        <w:trPr>
          <w:trHeight w:val="557"/>
        </w:trPr>
        <w:tc>
          <w:tcPr>
            <w:tcW w:w="4698" w:type="dxa"/>
          </w:tcPr>
          <w:p w:rsidR="0015628B" w:rsidRDefault="0015628B" w:rsidP="00CE36B6">
            <w:pPr>
              <w:rPr>
                <w:rFonts w:eastAsiaTheme="majorEastAsia"/>
              </w:rPr>
            </w:pPr>
            <w:r w:rsidRPr="00A65750">
              <w:rPr>
                <w:szCs w:val="24"/>
              </w:rPr>
              <w:t xml:space="preserve">Provide a way to automatically identify the current review status of a submission.  </w:t>
            </w:r>
          </w:p>
        </w:tc>
        <w:tc>
          <w:tcPr>
            <w:tcW w:w="2430" w:type="dxa"/>
            <w:shd w:val="clear" w:color="auto" w:fill="D9D9D9" w:themeFill="background1" w:themeFillShade="D9"/>
          </w:tcPr>
          <w:p w:rsidR="0015628B" w:rsidRDefault="0015628B" w:rsidP="00CE36B6">
            <w:pPr>
              <w:rPr>
                <w:rFonts w:eastAsiaTheme="majorEastAsia"/>
              </w:rPr>
            </w:pPr>
            <w:r w:rsidRPr="00FE2C6D">
              <w:rPr>
                <w:rFonts w:eastAsiaTheme="majorEastAsia"/>
              </w:rPr>
              <w:t>3.0</w:t>
            </w:r>
          </w:p>
        </w:tc>
        <w:tc>
          <w:tcPr>
            <w:tcW w:w="2430" w:type="dxa"/>
            <w:shd w:val="clear" w:color="auto" w:fill="D9D9D9" w:themeFill="background1" w:themeFillShade="D9"/>
          </w:tcPr>
          <w:p w:rsidR="0015628B" w:rsidRDefault="0015628B" w:rsidP="00CE36B6">
            <w:pPr>
              <w:rPr>
                <w:rFonts w:eastAsiaTheme="majorEastAsia"/>
              </w:rPr>
            </w:pPr>
            <w:r w:rsidRPr="00766CFC">
              <w:rPr>
                <w:rFonts w:eastAsiaTheme="majorEastAsia"/>
              </w:rPr>
              <w:t>3.0</w:t>
            </w:r>
          </w:p>
        </w:tc>
        <w:tc>
          <w:tcPr>
            <w:tcW w:w="2610" w:type="dxa"/>
            <w:shd w:val="clear" w:color="auto" w:fill="D9D9D9" w:themeFill="background1" w:themeFillShade="D9"/>
          </w:tcPr>
          <w:p w:rsidR="0015628B" w:rsidRDefault="0015628B" w:rsidP="00CE36B6">
            <w:pPr>
              <w:rPr>
                <w:rFonts w:eastAsiaTheme="majorEastAsia"/>
              </w:rPr>
            </w:pPr>
            <w:r w:rsidRPr="00766CFC">
              <w:rPr>
                <w:rFonts w:eastAsiaTheme="majorEastAsia"/>
              </w:rPr>
              <w:t>3.0</w:t>
            </w:r>
          </w:p>
        </w:tc>
        <w:tc>
          <w:tcPr>
            <w:tcW w:w="2448" w:type="dxa"/>
            <w:shd w:val="clear" w:color="auto" w:fill="D9D9D9" w:themeFill="background1" w:themeFillShade="D9"/>
          </w:tcPr>
          <w:p w:rsidR="0015628B" w:rsidRDefault="0015628B" w:rsidP="00CE36B6">
            <w:pPr>
              <w:rPr>
                <w:rFonts w:eastAsiaTheme="majorEastAsia"/>
              </w:rPr>
            </w:pPr>
            <w:r w:rsidRPr="00766CFC">
              <w:rPr>
                <w:rFonts w:eastAsiaTheme="majorEastAsia"/>
              </w:rPr>
              <w:t>3.0</w:t>
            </w:r>
          </w:p>
        </w:tc>
      </w:tr>
      <w:tr w:rsidR="00F307CA" w:rsidTr="0079720C">
        <w:tc>
          <w:tcPr>
            <w:tcW w:w="4698" w:type="dxa"/>
          </w:tcPr>
          <w:p w:rsidR="00F307CA" w:rsidRDefault="00F307CA" w:rsidP="00CE36B6">
            <w:pPr>
              <w:rPr>
                <w:rFonts w:eastAsiaTheme="majorEastAsia"/>
              </w:rPr>
            </w:pPr>
            <w:r>
              <w:rPr>
                <w:szCs w:val="24"/>
              </w:rPr>
              <w:t>Provide a way to maintain the lifecycle of an Application over time when the regulation changes result in TOC variance between submissions.</w:t>
            </w:r>
          </w:p>
        </w:tc>
        <w:tc>
          <w:tcPr>
            <w:tcW w:w="2430" w:type="dxa"/>
            <w:shd w:val="clear" w:color="auto" w:fill="D9D9D9" w:themeFill="background1" w:themeFillShade="D9"/>
          </w:tcPr>
          <w:p w:rsidR="00F307CA" w:rsidRDefault="00F307CA" w:rsidP="00CE36B6">
            <w:pPr>
              <w:rPr>
                <w:rFonts w:eastAsiaTheme="majorEastAsia"/>
              </w:rPr>
            </w:pPr>
            <w:r w:rsidRPr="00FE2C6D">
              <w:rPr>
                <w:rFonts w:eastAsiaTheme="majorEastAsia"/>
              </w:rPr>
              <w:t>3.0</w:t>
            </w:r>
          </w:p>
        </w:tc>
        <w:tc>
          <w:tcPr>
            <w:tcW w:w="2430" w:type="dxa"/>
          </w:tcPr>
          <w:p w:rsidR="00F307CA" w:rsidRDefault="0015628B" w:rsidP="00CE36B6">
            <w:pPr>
              <w:rPr>
                <w:rFonts w:eastAsiaTheme="majorEastAsia"/>
              </w:rPr>
            </w:pPr>
            <w:r>
              <w:rPr>
                <w:rFonts w:eastAsiaTheme="majorEastAsia"/>
              </w:rPr>
              <w:t>1.6</w:t>
            </w:r>
          </w:p>
        </w:tc>
        <w:tc>
          <w:tcPr>
            <w:tcW w:w="2610" w:type="dxa"/>
          </w:tcPr>
          <w:p w:rsidR="00F307CA" w:rsidRDefault="0015628B" w:rsidP="00CE36B6">
            <w:pPr>
              <w:rPr>
                <w:rFonts w:eastAsiaTheme="majorEastAsia"/>
              </w:rPr>
            </w:pPr>
            <w:r>
              <w:rPr>
                <w:rFonts w:eastAsiaTheme="majorEastAsia"/>
              </w:rPr>
              <w:t>5.0</w:t>
            </w:r>
          </w:p>
        </w:tc>
        <w:tc>
          <w:tcPr>
            <w:tcW w:w="2448" w:type="dxa"/>
          </w:tcPr>
          <w:p w:rsidR="00F307CA" w:rsidRDefault="0015628B" w:rsidP="00CE36B6">
            <w:pPr>
              <w:rPr>
                <w:rFonts w:eastAsiaTheme="majorEastAsia"/>
              </w:rPr>
            </w:pPr>
            <w:r>
              <w:rPr>
                <w:rFonts w:eastAsiaTheme="majorEastAsia"/>
              </w:rPr>
              <w:t>5.0</w:t>
            </w:r>
          </w:p>
        </w:tc>
      </w:tr>
      <w:tr w:rsidR="00F307CA" w:rsidTr="0079720C">
        <w:tc>
          <w:tcPr>
            <w:tcW w:w="4698" w:type="dxa"/>
          </w:tcPr>
          <w:p w:rsidR="00F307CA" w:rsidRDefault="00F307CA" w:rsidP="00CE36B6">
            <w:pPr>
              <w:rPr>
                <w:rFonts w:eastAsiaTheme="majorEastAsia"/>
              </w:rPr>
            </w:pPr>
            <w:r>
              <w:rPr>
                <w:rFonts w:eastAsiaTheme="majorEastAsia"/>
              </w:rPr>
              <w:t>Cost to maintain the solution.  This includes consideration of resources to manage day to day submission activity, and effort to provide governance over time</w:t>
            </w:r>
          </w:p>
        </w:tc>
        <w:tc>
          <w:tcPr>
            <w:tcW w:w="2430" w:type="dxa"/>
            <w:shd w:val="clear" w:color="auto" w:fill="D9D9D9" w:themeFill="background1" w:themeFillShade="D9"/>
          </w:tcPr>
          <w:p w:rsidR="00F307CA" w:rsidRDefault="00F307CA" w:rsidP="00CE36B6">
            <w:pPr>
              <w:rPr>
                <w:rFonts w:eastAsiaTheme="majorEastAsia"/>
              </w:rPr>
            </w:pPr>
            <w:r w:rsidRPr="00FE2C6D">
              <w:rPr>
                <w:rFonts w:eastAsiaTheme="majorEastAsia"/>
              </w:rPr>
              <w:t>3.0</w:t>
            </w:r>
          </w:p>
        </w:tc>
        <w:tc>
          <w:tcPr>
            <w:tcW w:w="2430" w:type="dxa"/>
          </w:tcPr>
          <w:p w:rsidR="00F307CA" w:rsidRDefault="0015628B" w:rsidP="00CE36B6">
            <w:pPr>
              <w:rPr>
                <w:rFonts w:eastAsiaTheme="majorEastAsia"/>
              </w:rPr>
            </w:pPr>
            <w:r>
              <w:rPr>
                <w:rFonts w:eastAsiaTheme="majorEastAsia"/>
              </w:rPr>
              <w:t>2.0</w:t>
            </w:r>
          </w:p>
        </w:tc>
        <w:tc>
          <w:tcPr>
            <w:tcW w:w="2610" w:type="dxa"/>
          </w:tcPr>
          <w:p w:rsidR="00F307CA" w:rsidRDefault="0015628B" w:rsidP="00CE36B6">
            <w:pPr>
              <w:rPr>
                <w:rFonts w:eastAsiaTheme="majorEastAsia"/>
              </w:rPr>
            </w:pPr>
            <w:r>
              <w:rPr>
                <w:rFonts w:eastAsiaTheme="majorEastAsia"/>
              </w:rPr>
              <w:t>3.4</w:t>
            </w:r>
          </w:p>
        </w:tc>
        <w:tc>
          <w:tcPr>
            <w:tcW w:w="2448" w:type="dxa"/>
          </w:tcPr>
          <w:p w:rsidR="00F307CA" w:rsidRDefault="0015628B" w:rsidP="00CE36B6">
            <w:pPr>
              <w:rPr>
                <w:rFonts w:eastAsiaTheme="majorEastAsia"/>
              </w:rPr>
            </w:pPr>
            <w:r>
              <w:rPr>
                <w:rFonts w:eastAsiaTheme="majorEastAsia"/>
              </w:rPr>
              <w:t>4.0</w:t>
            </w:r>
          </w:p>
        </w:tc>
      </w:tr>
      <w:tr w:rsidR="00F307CA" w:rsidTr="0079720C">
        <w:tc>
          <w:tcPr>
            <w:tcW w:w="4698" w:type="dxa"/>
          </w:tcPr>
          <w:p w:rsidR="00F307CA" w:rsidRDefault="00F307CA" w:rsidP="00CE36B6">
            <w:pPr>
              <w:rPr>
                <w:rFonts w:eastAsiaTheme="majorEastAsia"/>
              </w:rPr>
            </w:pPr>
            <w:r>
              <w:rPr>
                <w:rFonts w:eastAsiaTheme="majorEastAsia"/>
              </w:rPr>
              <w:t>Cost to maintain the standard</w:t>
            </w:r>
          </w:p>
        </w:tc>
        <w:tc>
          <w:tcPr>
            <w:tcW w:w="2430" w:type="dxa"/>
            <w:shd w:val="clear" w:color="auto" w:fill="D9D9D9" w:themeFill="background1" w:themeFillShade="D9"/>
          </w:tcPr>
          <w:p w:rsidR="00F307CA" w:rsidRDefault="00F307CA" w:rsidP="00CE36B6">
            <w:pPr>
              <w:rPr>
                <w:rFonts w:eastAsiaTheme="majorEastAsia"/>
              </w:rPr>
            </w:pPr>
            <w:r w:rsidRPr="00FE2C6D">
              <w:rPr>
                <w:rFonts w:eastAsiaTheme="majorEastAsia"/>
              </w:rPr>
              <w:t>3.0</w:t>
            </w:r>
          </w:p>
        </w:tc>
        <w:tc>
          <w:tcPr>
            <w:tcW w:w="2430" w:type="dxa"/>
          </w:tcPr>
          <w:p w:rsidR="00F307CA" w:rsidRDefault="0015628B" w:rsidP="00CE36B6">
            <w:pPr>
              <w:rPr>
                <w:rFonts w:eastAsiaTheme="majorEastAsia"/>
              </w:rPr>
            </w:pPr>
            <w:r>
              <w:rPr>
                <w:rFonts w:eastAsiaTheme="majorEastAsia"/>
              </w:rPr>
              <w:t>2.0</w:t>
            </w:r>
          </w:p>
        </w:tc>
        <w:tc>
          <w:tcPr>
            <w:tcW w:w="2610" w:type="dxa"/>
          </w:tcPr>
          <w:p w:rsidR="00F307CA" w:rsidRDefault="0015628B" w:rsidP="00CE36B6">
            <w:pPr>
              <w:rPr>
                <w:rFonts w:eastAsiaTheme="majorEastAsia"/>
              </w:rPr>
            </w:pPr>
            <w:r>
              <w:rPr>
                <w:rFonts w:eastAsiaTheme="majorEastAsia"/>
              </w:rPr>
              <w:t>1.5</w:t>
            </w:r>
          </w:p>
        </w:tc>
        <w:tc>
          <w:tcPr>
            <w:tcW w:w="2448" w:type="dxa"/>
          </w:tcPr>
          <w:p w:rsidR="00F307CA" w:rsidRDefault="0015628B" w:rsidP="00CE36B6">
            <w:pPr>
              <w:rPr>
                <w:rFonts w:eastAsiaTheme="majorEastAsia"/>
              </w:rPr>
            </w:pPr>
            <w:r>
              <w:rPr>
                <w:rFonts w:eastAsiaTheme="majorEastAsia"/>
              </w:rPr>
              <w:t>3.8</w:t>
            </w:r>
          </w:p>
        </w:tc>
      </w:tr>
      <w:tr w:rsidR="000F7C19" w:rsidTr="00AC5CEE">
        <w:tc>
          <w:tcPr>
            <w:tcW w:w="4698" w:type="dxa"/>
          </w:tcPr>
          <w:p w:rsidR="000F7C19" w:rsidRPr="00A24259" w:rsidRDefault="000F7C19" w:rsidP="00A24259">
            <w:pPr>
              <w:jc w:val="right"/>
              <w:rPr>
                <w:rFonts w:eastAsiaTheme="majorEastAsia"/>
                <w:b/>
              </w:rPr>
            </w:pPr>
            <w:r w:rsidRPr="00A24259">
              <w:rPr>
                <w:rFonts w:eastAsiaTheme="majorEastAsia"/>
                <w:b/>
              </w:rPr>
              <w:t>TOTAL SCORE</w:t>
            </w:r>
          </w:p>
        </w:tc>
        <w:tc>
          <w:tcPr>
            <w:tcW w:w="2430" w:type="dxa"/>
            <w:shd w:val="clear" w:color="auto" w:fill="BFBFBF" w:themeFill="background1" w:themeFillShade="BF"/>
          </w:tcPr>
          <w:p w:rsidR="000F7C19" w:rsidRPr="00FE2C6D" w:rsidRDefault="00457214" w:rsidP="00CE36B6">
            <w:pPr>
              <w:rPr>
                <w:rFonts w:eastAsiaTheme="majorEastAsia"/>
              </w:rPr>
            </w:pPr>
            <w:r>
              <w:rPr>
                <w:rFonts w:eastAsiaTheme="majorEastAsia"/>
              </w:rPr>
              <w:t>45.0</w:t>
            </w:r>
          </w:p>
        </w:tc>
        <w:tc>
          <w:tcPr>
            <w:tcW w:w="2430" w:type="dxa"/>
            <w:shd w:val="clear" w:color="auto" w:fill="BFBFBF" w:themeFill="background1" w:themeFillShade="BF"/>
          </w:tcPr>
          <w:p w:rsidR="000F7C19" w:rsidRDefault="00457214" w:rsidP="00CE36B6">
            <w:pPr>
              <w:rPr>
                <w:rFonts w:eastAsiaTheme="majorEastAsia"/>
              </w:rPr>
            </w:pPr>
            <w:r>
              <w:rPr>
                <w:rFonts w:eastAsiaTheme="majorEastAsia"/>
              </w:rPr>
              <w:t>44.1</w:t>
            </w:r>
          </w:p>
        </w:tc>
        <w:tc>
          <w:tcPr>
            <w:tcW w:w="2610" w:type="dxa"/>
            <w:shd w:val="clear" w:color="auto" w:fill="BFBFBF" w:themeFill="background1" w:themeFillShade="BF"/>
          </w:tcPr>
          <w:p w:rsidR="000F7C19" w:rsidRDefault="00457214" w:rsidP="00CE36B6">
            <w:pPr>
              <w:rPr>
                <w:rFonts w:eastAsiaTheme="majorEastAsia"/>
              </w:rPr>
            </w:pPr>
            <w:r>
              <w:rPr>
                <w:rFonts w:eastAsiaTheme="majorEastAsia"/>
              </w:rPr>
              <w:t>53.2</w:t>
            </w:r>
          </w:p>
        </w:tc>
        <w:tc>
          <w:tcPr>
            <w:tcW w:w="2448" w:type="dxa"/>
            <w:shd w:val="clear" w:color="auto" w:fill="BFBFBF" w:themeFill="background1" w:themeFillShade="BF"/>
          </w:tcPr>
          <w:p w:rsidR="000F7C19" w:rsidRDefault="00457214" w:rsidP="00CE36B6">
            <w:pPr>
              <w:rPr>
                <w:rFonts w:eastAsiaTheme="majorEastAsia"/>
              </w:rPr>
            </w:pPr>
            <w:r>
              <w:rPr>
                <w:rFonts w:eastAsiaTheme="majorEastAsia"/>
              </w:rPr>
              <w:t>56.5</w:t>
            </w:r>
          </w:p>
        </w:tc>
      </w:tr>
      <w:tr w:rsidR="000F7C19" w:rsidTr="00AC5CEE">
        <w:tc>
          <w:tcPr>
            <w:tcW w:w="4698" w:type="dxa"/>
          </w:tcPr>
          <w:p w:rsidR="000F7C19" w:rsidRPr="00A24259" w:rsidRDefault="000F7C19" w:rsidP="00A24259">
            <w:pPr>
              <w:jc w:val="right"/>
              <w:rPr>
                <w:rFonts w:eastAsiaTheme="majorEastAsia"/>
                <w:b/>
              </w:rPr>
            </w:pPr>
            <w:r w:rsidRPr="00A24259">
              <w:rPr>
                <w:rFonts w:eastAsiaTheme="majorEastAsia"/>
                <w:b/>
              </w:rPr>
              <w:t>AVERAGE SCORE</w:t>
            </w:r>
          </w:p>
        </w:tc>
        <w:tc>
          <w:tcPr>
            <w:tcW w:w="2430" w:type="dxa"/>
            <w:shd w:val="clear" w:color="auto" w:fill="BFBFBF" w:themeFill="background1" w:themeFillShade="BF"/>
          </w:tcPr>
          <w:p w:rsidR="000F7C19" w:rsidRPr="00FE2C6D" w:rsidRDefault="00457214" w:rsidP="00CE36B6">
            <w:pPr>
              <w:rPr>
                <w:rFonts w:eastAsiaTheme="majorEastAsia"/>
              </w:rPr>
            </w:pPr>
            <w:r>
              <w:rPr>
                <w:rFonts w:eastAsiaTheme="majorEastAsia"/>
              </w:rPr>
              <w:t>3.0</w:t>
            </w:r>
          </w:p>
        </w:tc>
        <w:tc>
          <w:tcPr>
            <w:tcW w:w="2430" w:type="dxa"/>
            <w:shd w:val="clear" w:color="auto" w:fill="BFBFBF" w:themeFill="background1" w:themeFillShade="BF"/>
          </w:tcPr>
          <w:p w:rsidR="000F7C19" w:rsidRDefault="00457214" w:rsidP="00CE36B6">
            <w:pPr>
              <w:rPr>
                <w:rFonts w:eastAsiaTheme="majorEastAsia"/>
              </w:rPr>
            </w:pPr>
            <w:r>
              <w:rPr>
                <w:rFonts w:eastAsiaTheme="majorEastAsia"/>
              </w:rPr>
              <w:t>2.9</w:t>
            </w:r>
          </w:p>
        </w:tc>
        <w:tc>
          <w:tcPr>
            <w:tcW w:w="2610" w:type="dxa"/>
            <w:shd w:val="clear" w:color="auto" w:fill="BFBFBF" w:themeFill="background1" w:themeFillShade="BF"/>
          </w:tcPr>
          <w:p w:rsidR="000F7C19" w:rsidRDefault="00457214" w:rsidP="00CE36B6">
            <w:pPr>
              <w:rPr>
                <w:rFonts w:eastAsiaTheme="majorEastAsia"/>
              </w:rPr>
            </w:pPr>
            <w:r>
              <w:rPr>
                <w:rFonts w:eastAsiaTheme="majorEastAsia"/>
              </w:rPr>
              <w:t>3.5</w:t>
            </w:r>
          </w:p>
        </w:tc>
        <w:tc>
          <w:tcPr>
            <w:tcW w:w="2448" w:type="dxa"/>
            <w:shd w:val="clear" w:color="auto" w:fill="BFBFBF" w:themeFill="background1" w:themeFillShade="BF"/>
          </w:tcPr>
          <w:p w:rsidR="000F7C19" w:rsidRDefault="00457214" w:rsidP="00CE36B6">
            <w:pPr>
              <w:rPr>
                <w:rFonts w:eastAsiaTheme="majorEastAsia"/>
              </w:rPr>
            </w:pPr>
            <w:r>
              <w:rPr>
                <w:rFonts w:eastAsiaTheme="majorEastAsia"/>
              </w:rPr>
              <w:t>3.8</w:t>
            </w:r>
          </w:p>
        </w:tc>
      </w:tr>
    </w:tbl>
    <w:p w:rsidR="00CE36B6" w:rsidRPr="00A24259" w:rsidRDefault="00CE36B6" w:rsidP="00A24259">
      <w:pPr>
        <w:rPr>
          <w:rFonts w:eastAsiaTheme="majorEastAsia"/>
        </w:rPr>
      </w:pPr>
    </w:p>
    <w:p w:rsidR="00F307CA" w:rsidRDefault="00F307CA">
      <w:pPr>
        <w:spacing w:after="200" w:line="276" w:lineRule="auto"/>
        <w:rPr>
          <w:rFonts w:eastAsiaTheme="majorEastAsia"/>
          <w:b/>
        </w:rPr>
      </w:pPr>
      <w:r>
        <w:rPr>
          <w:rFonts w:eastAsiaTheme="majorEastAsia"/>
        </w:rPr>
        <w:br w:type="page"/>
      </w:r>
    </w:p>
    <w:p w:rsidR="00CE36B6" w:rsidRDefault="00365AAC" w:rsidP="00A24259">
      <w:pPr>
        <w:pStyle w:val="Heading2"/>
        <w:rPr>
          <w:rFonts w:eastAsiaTheme="majorEastAsia"/>
        </w:rPr>
      </w:pPr>
      <w:bookmarkStart w:id="31" w:name="_Toc425422225"/>
      <w:r>
        <w:rPr>
          <w:rFonts w:eastAsiaTheme="majorEastAsia"/>
        </w:rPr>
        <w:lastRenderedPageBreak/>
        <w:t xml:space="preserve">Regulators </w:t>
      </w:r>
      <w:proofErr w:type="gramStart"/>
      <w:r>
        <w:rPr>
          <w:rFonts w:eastAsiaTheme="majorEastAsia"/>
        </w:rPr>
        <w:t>Without</w:t>
      </w:r>
      <w:proofErr w:type="gramEnd"/>
      <w:r>
        <w:rPr>
          <w:rFonts w:eastAsiaTheme="majorEastAsia"/>
        </w:rPr>
        <w:t xml:space="preserve"> Tools</w:t>
      </w:r>
      <w:bookmarkEnd w:id="31"/>
    </w:p>
    <w:tbl>
      <w:tblPr>
        <w:tblStyle w:val="TableGrid"/>
        <w:tblW w:w="0" w:type="auto"/>
        <w:tblLook w:val="04A0" w:firstRow="1" w:lastRow="0" w:firstColumn="1" w:lastColumn="0" w:noHBand="0" w:noVBand="1"/>
      </w:tblPr>
      <w:tblGrid>
        <w:gridCol w:w="4698"/>
        <w:gridCol w:w="2430"/>
        <w:gridCol w:w="2430"/>
        <w:gridCol w:w="2610"/>
        <w:gridCol w:w="2448"/>
      </w:tblGrid>
      <w:tr w:rsidR="007A6BE5" w:rsidRPr="007F0223" w:rsidTr="00AC5CEE">
        <w:trPr>
          <w:cantSplit/>
          <w:tblHeader/>
        </w:trPr>
        <w:tc>
          <w:tcPr>
            <w:tcW w:w="4698" w:type="dxa"/>
          </w:tcPr>
          <w:p w:rsidR="007A6BE5" w:rsidRPr="007F0223" w:rsidRDefault="007A6BE5" w:rsidP="003B2486">
            <w:pPr>
              <w:rPr>
                <w:rFonts w:eastAsiaTheme="majorEastAsia"/>
                <w:b/>
                <w:sz w:val="22"/>
              </w:rPr>
            </w:pPr>
            <w:r>
              <w:rPr>
                <w:rFonts w:eastAsiaTheme="majorEastAsia"/>
                <w:b/>
                <w:sz w:val="22"/>
              </w:rPr>
              <w:t xml:space="preserve">Problem Area / </w:t>
            </w:r>
            <w:r w:rsidRPr="007F0223">
              <w:rPr>
                <w:rFonts w:eastAsiaTheme="majorEastAsia"/>
                <w:b/>
                <w:sz w:val="22"/>
              </w:rPr>
              <w:t>Objective</w:t>
            </w:r>
          </w:p>
        </w:tc>
        <w:tc>
          <w:tcPr>
            <w:tcW w:w="2430" w:type="dxa"/>
          </w:tcPr>
          <w:p w:rsidR="007A6BE5" w:rsidRPr="007F0223" w:rsidRDefault="007A6BE5" w:rsidP="003B2486">
            <w:pPr>
              <w:rPr>
                <w:rFonts w:eastAsiaTheme="majorEastAsia"/>
                <w:b/>
                <w:sz w:val="22"/>
              </w:rPr>
            </w:pPr>
            <w:r w:rsidRPr="007F0223">
              <w:rPr>
                <w:rFonts w:eastAsiaTheme="majorEastAsia"/>
                <w:b/>
                <w:sz w:val="22"/>
              </w:rPr>
              <w:t>Option 1</w:t>
            </w:r>
          </w:p>
          <w:p w:rsidR="007A6BE5" w:rsidRPr="007F0223" w:rsidRDefault="007A6BE5" w:rsidP="003B2486">
            <w:pPr>
              <w:rPr>
                <w:rFonts w:eastAsiaTheme="majorEastAsia"/>
                <w:b/>
                <w:sz w:val="22"/>
              </w:rPr>
            </w:pPr>
            <w:r w:rsidRPr="007F0223">
              <w:rPr>
                <w:rFonts w:eastAsiaTheme="majorEastAsia"/>
                <w:b/>
                <w:sz w:val="22"/>
              </w:rPr>
              <w:t>Status Quo (Baseline)</w:t>
            </w:r>
          </w:p>
        </w:tc>
        <w:tc>
          <w:tcPr>
            <w:tcW w:w="2430" w:type="dxa"/>
          </w:tcPr>
          <w:p w:rsidR="007A6BE5" w:rsidRPr="007F0223" w:rsidRDefault="007A6BE5" w:rsidP="003B2486">
            <w:pPr>
              <w:rPr>
                <w:rFonts w:eastAsiaTheme="majorEastAsia"/>
                <w:b/>
                <w:sz w:val="22"/>
              </w:rPr>
            </w:pPr>
            <w:r w:rsidRPr="007F0223">
              <w:rPr>
                <w:rFonts w:eastAsiaTheme="majorEastAsia"/>
                <w:b/>
                <w:sz w:val="22"/>
              </w:rPr>
              <w:t>Option 2</w:t>
            </w:r>
          </w:p>
          <w:p w:rsidR="007A6BE5" w:rsidRPr="007F0223" w:rsidRDefault="007A6BE5" w:rsidP="003B2486">
            <w:pPr>
              <w:rPr>
                <w:rFonts w:eastAsiaTheme="majorEastAsia"/>
                <w:b/>
                <w:sz w:val="22"/>
              </w:rPr>
            </w:pPr>
            <w:r w:rsidRPr="007F0223">
              <w:rPr>
                <w:rFonts w:eastAsiaTheme="majorEastAsia"/>
                <w:b/>
                <w:sz w:val="22"/>
              </w:rPr>
              <w:t>Harmonized Folder Structure</w:t>
            </w:r>
          </w:p>
        </w:tc>
        <w:tc>
          <w:tcPr>
            <w:tcW w:w="2610" w:type="dxa"/>
          </w:tcPr>
          <w:p w:rsidR="007A6BE5" w:rsidRPr="007F0223" w:rsidRDefault="007A6BE5" w:rsidP="003B2486">
            <w:pPr>
              <w:rPr>
                <w:rFonts w:eastAsiaTheme="majorEastAsia"/>
                <w:b/>
                <w:sz w:val="22"/>
              </w:rPr>
            </w:pPr>
            <w:r w:rsidRPr="007F0223">
              <w:rPr>
                <w:rFonts w:eastAsiaTheme="majorEastAsia"/>
                <w:b/>
                <w:sz w:val="22"/>
              </w:rPr>
              <w:t>Option 3</w:t>
            </w:r>
          </w:p>
          <w:p w:rsidR="007A6BE5" w:rsidRPr="007F0223" w:rsidRDefault="007A6BE5" w:rsidP="003B2486">
            <w:pPr>
              <w:rPr>
                <w:rFonts w:eastAsiaTheme="majorEastAsia"/>
                <w:b/>
                <w:sz w:val="22"/>
              </w:rPr>
            </w:pPr>
            <w:r w:rsidRPr="007F0223">
              <w:rPr>
                <w:rFonts w:eastAsiaTheme="majorEastAsia"/>
                <w:b/>
                <w:sz w:val="22"/>
              </w:rPr>
              <w:t>Custom IMDRF Message Standard</w:t>
            </w:r>
          </w:p>
        </w:tc>
        <w:tc>
          <w:tcPr>
            <w:tcW w:w="2448" w:type="dxa"/>
          </w:tcPr>
          <w:p w:rsidR="007A6BE5" w:rsidRPr="007F0223" w:rsidRDefault="007A6BE5" w:rsidP="003B2486">
            <w:pPr>
              <w:rPr>
                <w:rFonts w:eastAsiaTheme="majorEastAsia"/>
                <w:b/>
                <w:sz w:val="22"/>
              </w:rPr>
            </w:pPr>
            <w:r w:rsidRPr="007F0223">
              <w:rPr>
                <w:rFonts w:eastAsiaTheme="majorEastAsia"/>
                <w:b/>
                <w:sz w:val="22"/>
              </w:rPr>
              <w:t>Option 4</w:t>
            </w:r>
          </w:p>
          <w:p w:rsidR="007A6BE5" w:rsidRPr="007F0223" w:rsidRDefault="007A6BE5" w:rsidP="003B2486">
            <w:pPr>
              <w:rPr>
                <w:rFonts w:eastAsiaTheme="majorEastAsia"/>
                <w:b/>
                <w:sz w:val="22"/>
              </w:rPr>
            </w:pPr>
            <w:r w:rsidRPr="007F0223">
              <w:rPr>
                <w:rFonts w:eastAsiaTheme="majorEastAsia"/>
                <w:b/>
                <w:sz w:val="22"/>
              </w:rPr>
              <w:t>HL7 RPS Message Standard</w:t>
            </w:r>
          </w:p>
        </w:tc>
      </w:tr>
      <w:tr w:rsidR="0015628B" w:rsidTr="00AC5CEE">
        <w:trPr>
          <w:cantSplit/>
        </w:trPr>
        <w:tc>
          <w:tcPr>
            <w:tcW w:w="4698" w:type="dxa"/>
          </w:tcPr>
          <w:p w:rsidR="0015628B" w:rsidRDefault="0015628B" w:rsidP="003B2486">
            <w:pPr>
              <w:rPr>
                <w:rFonts w:eastAsiaTheme="majorEastAsia"/>
              </w:rPr>
            </w:pPr>
            <w:r w:rsidRPr="00283CA1">
              <w:t>Efficiently produce submissions for mu</w:t>
            </w:r>
            <w:r>
              <w:t>l</w:t>
            </w:r>
            <w:r w:rsidRPr="00283CA1">
              <w:t>tiple regions without managing multiple submission creation processes, and software tools</w:t>
            </w:r>
          </w:p>
        </w:tc>
        <w:tc>
          <w:tcPr>
            <w:tcW w:w="2430" w:type="dxa"/>
            <w:shd w:val="clear" w:color="auto" w:fill="D9D9D9" w:themeFill="background1" w:themeFillShade="D9"/>
          </w:tcPr>
          <w:p w:rsidR="0015628B" w:rsidRDefault="0015628B" w:rsidP="003B2486">
            <w:pPr>
              <w:rPr>
                <w:rFonts w:eastAsiaTheme="majorEastAsia"/>
              </w:rPr>
            </w:pPr>
            <w:r>
              <w:rPr>
                <w:rFonts w:eastAsiaTheme="majorEastAsia"/>
              </w:rPr>
              <w:t>3.0</w:t>
            </w:r>
          </w:p>
        </w:tc>
        <w:tc>
          <w:tcPr>
            <w:tcW w:w="2430" w:type="dxa"/>
            <w:shd w:val="clear" w:color="auto" w:fill="D9D9D9" w:themeFill="background1" w:themeFillShade="D9"/>
          </w:tcPr>
          <w:p w:rsidR="0015628B" w:rsidRDefault="0015628B" w:rsidP="003B2486">
            <w:pPr>
              <w:rPr>
                <w:rFonts w:eastAsiaTheme="majorEastAsia"/>
              </w:rPr>
            </w:pPr>
            <w:r w:rsidRPr="00F70363">
              <w:rPr>
                <w:rFonts w:eastAsiaTheme="majorEastAsia"/>
              </w:rPr>
              <w:t>3.0</w:t>
            </w:r>
          </w:p>
        </w:tc>
        <w:tc>
          <w:tcPr>
            <w:tcW w:w="2610" w:type="dxa"/>
            <w:shd w:val="clear" w:color="auto" w:fill="D9D9D9" w:themeFill="background1" w:themeFillShade="D9"/>
          </w:tcPr>
          <w:p w:rsidR="0015628B" w:rsidRDefault="0015628B" w:rsidP="003B2486">
            <w:pPr>
              <w:rPr>
                <w:rFonts w:eastAsiaTheme="majorEastAsia"/>
              </w:rPr>
            </w:pPr>
            <w:r w:rsidRPr="00F70363">
              <w:rPr>
                <w:rFonts w:eastAsiaTheme="majorEastAsia"/>
              </w:rPr>
              <w:t>3.0</w:t>
            </w:r>
          </w:p>
        </w:tc>
        <w:tc>
          <w:tcPr>
            <w:tcW w:w="2448" w:type="dxa"/>
            <w:shd w:val="clear" w:color="auto" w:fill="D9D9D9" w:themeFill="background1" w:themeFillShade="D9"/>
          </w:tcPr>
          <w:p w:rsidR="0015628B" w:rsidRDefault="0015628B" w:rsidP="003B2486">
            <w:pPr>
              <w:rPr>
                <w:rFonts w:eastAsiaTheme="majorEastAsia"/>
              </w:rPr>
            </w:pPr>
            <w:r w:rsidRPr="00F70363">
              <w:rPr>
                <w:rFonts w:eastAsiaTheme="majorEastAsia"/>
              </w:rPr>
              <w:t>3.0</w:t>
            </w:r>
          </w:p>
        </w:tc>
      </w:tr>
      <w:tr w:rsidR="007A6BE5" w:rsidTr="00AC5CEE">
        <w:trPr>
          <w:cantSplit/>
        </w:trPr>
        <w:tc>
          <w:tcPr>
            <w:tcW w:w="4698" w:type="dxa"/>
          </w:tcPr>
          <w:p w:rsidR="007A6BE5" w:rsidRDefault="007A6BE5" w:rsidP="003B2486">
            <w:pPr>
              <w:rPr>
                <w:rFonts w:eastAsiaTheme="majorEastAsia"/>
              </w:rPr>
            </w:pPr>
            <w:r>
              <w:rPr>
                <w:rFonts w:eastAsiaTheme="majorEastAsia"/>
              </w:rPr>
              <w:t>Enable efficient exchange of information amongst regulators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184C" w:rsidP="003B2486">
            <w:pPr>
              <w:rPr>
                <w:rFonts w:eastAsiaTheme="majorEastAsia"/>
              </w:rPr>
            </w:pPr>
            <w:r>
              <w:rPr>
                <w:rFonts w:eastAsiaTheme="majorEastAsia"/>
              </w:rPr>
              <w:t>4.1</w:t>
            </w:r>
          </w:p>
        </w:tc>
        <w:tc>
          <w:tcPr>
            <w:tcW w:w="2610" w:type="dxa"/>
          </w:tcPr>
          <w:p w:rsidR="007A6BE5" w:rsidRDefault="00EB184C" w:rsidP="003B2486">
            <w:pPr>
              <w:rPr>
                <w:rFonts w:eastAsiaTheme="majorEastAsia"/>
              </w:rPr>
            </w:pPr>
            <w:r>
              <w:rPr>
                <w:rFonts w:eastAsiaTheme="majorEastAsia"/>
              </w:rPr>
              <w:t>4.0</w:t>
            </w:r>
          </w:p>
        </w:tc>
        <w:tc>
          <w:tcPr>
            <w:tcW w:w="2448" w:type="dxa"/>
          </w:tcPr>
          <w:p w:rsidR="007A6BE5" w:rsidRDefault="00EB184C" w:rsidP="003B2486">
            <w:pPr>
              <w:rPr>
                <w:rFonts w:eastAsiaTheme="majorEastAsia"/>
              </w:rPr>
            </w:pPr>
            <w:r>
              <w:rPr>
                <w:rFonts w:eastAsiaTheme="majorEastAsia"/>
              </w:rPr>
              <w:t>3.8</w:t>
            </w:r>
          </w:p>
        </w:tc>
      </w:tr>
      <w:tr w:rsidR="007A6BE5" w:rsidTr="00AC5CEE">
        <w:trPr>
          <w:cantSplit/>
        </w:trPr>
        <w:tc>
          <w:tcPr>
            <w:tcW w:w="4698" w:type="dxa"/>
          </w:tcPr>
          <w:p w:rsidR="007A6BE5" w:rsidRPr="007F0223" w:rsidRDefault="007A6BE5" w:rsidP="003B2486">
            <w:r w:rsidRPr="00287C96">
              <w:t>Enable a clear view to the</w:t>
            </w:r>
            <w:r w:rsidRPr="00E37CAA">
              <w:t xml:space="preserve"> lifecycle of A</w:t>
            </w:r>
            <w:r w:rsidRPr="007D63CB">
              <w:t>pplication content over time, as well as the ability to quickly see the most cur</w:t>
            </w:r>
            <w:r>
              <w:t>rent version of an Application.</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184C" w:rsidP="003B2486">
            <w:pPr>
              <w:rPr>
                <w:rFonts w:eastAsiaTheme="majorEastAsia"/>
              </w:rPr>
            </w:pPr>
            <w:r>
              <w:rPr>
                <w:rFonts w:eastAsiaTheme="majorEastAsia"/>
              </w:rPr>
              <w:t>3.3</w:t>
            </w:r>
          </w:p>
        </w:tc>
        <w:tc>
          <w:tcPr>
            <w:tcW w:w="2610" w:type="dxa"/>
          </w:tcPr>
          <w:p w:rsidR="007A6BE5" w:rsidRDefault="00EB184C" w:rsidP="003B2486">
            <w:pPr>
              <w:rPr>
                <w:rFonts w:eastAsiaTheme="majorEastAsia"/>
              </w:rPr>
            </w:pPr>
            <w:r>
              <w:rPr>
                <w:rFonts w:eastAsiaTheme="majorEastAsia"/>
              </w:rPr>
              <w:t>3.9</w:t>
            </w:r>
          </w:p>
        </w:tc>
        <w:tc>
          <w:tcPr>
            <w:tcW w:w="2448" w:type="dxa"/>
          </w:tcPr>
          <w:p w:rsidR="007A6BE5" w:rsidRDefault="00EB184C" w:rsidP="003B2486">
            <w:pPr>
              <w:rPr>
                <w:rFonts w:eastAsiaTheme="majorEastAsia"/>
              </w:rPr>
            </w:pPr>
            <w:r>
              <w:rPr>
                <w:rFonts w:eastAsiaTheme="majorEastAsia"/>
              </w:rPr>
              <w:t>4.1</w:t>
            </w:r>
          </w:p>
        </w:tc>
      </w:tr>
      <w:tr w:rsidR="007A6BE5" w:rsidTr="00AC5CEE">
        <w:trPr>
          <w:cantSplit/>
        </w:trPr>
        <w:tc>
          <w:tcPr>
            <w:tcW w:w="4698" w:type="dxa"/>
          </w:tcPr>
          <w:p w:rsidR="007A6BE5" w:rsidRPr="007F0223" w:rsidRDefault="007A6BE5" w:rsidP="003B2486">
            <w:r w:rsidRPr="007D63CB">
              <w:t>Include additional metadata on submission content for better discovery in the future (i.</w:t>
            </w:r>
            <w:r>
              <w:t>e., TOC headings and keywords).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184C" w:rsidP="003B2486">
            <w:pPr>
              <w:rPr>
                <w:rFonts w:eastAsiaTheme="majorEastAsia"/>
              </w:rPr>
            </w:pPr>
            <w:r>
              <w:rPr>
                <w:rFonts w:eastAsiaTheme="majorEastAsia"/>
              </w:rPr>
              <w:t>3.5</w:t>
            </w:r>
          </w:p>
        </w:tc>
        <w:tc>
          <w:tcPr>
            <w:tcW w:w="2610" w:type="dxa"/>
          </w:tcPr>
          <w:p w:rsidR="007A6BE5" w:rsidRDefault="00EB184C" w:rsidP="003B2486">
            <w:pPr>
              <w:rPr>
                <w:rFonts w:eastAsiaTheme="majorEastAsia"/>
              </w:rPr>
            </w:pPr>
            <w:r>
              <w:rPr>
                <w:rFonts w:eastAsiaTheme="majorEastAsia"/>
              </w:rPr>
              <w:t>4.1</w:t>
            </w:r>
          </w:p>
        </w:tc>
        <w:tc>
          <w:tcPr>
            <w:tcW w:w="2448" w:type="dxa"/>
          </w:tcPr>
          <w:p w:rsidR="007A6BE5" w:rsidRDefault="00EB184C" w:rsidP="003B2486">
            <w:pPr>
              <w:rPr>
                <w:rFonts w:eastAsiaTheme="majorEastAsia"/>
              </w:rPr>
            </w:pPr>
            <w:r>
              <w:rPr>
                <w:rFonts w:eastAsiaTheme="majorEastAsia"/>
              </w:rPr>
              <w:t>4.3</w:t>
            </w:r>
          </w:p>
        </w:tc>
      </w:tr>
      <w:tr w:rsidR="007A6BE5" w:rsidTr="00AC5CEE">
        <w:trPr>
          <w:cantSplit/>
        </w:trPr>
        <w:tc>
          <w:tcPr>
            <w:tcW w:w="4698" w:type="dxa"/>
          </w:tcPr>
          <w:p w:rsidR="007A6BE5" w:rsidRPr="007F0223" w:rsidRDefault="007A6BE5" w:rsidP="003B2486">
            <w:r w:rsidRPr="007D63CB">
              <w:t>Provide a mechanism through which the full submission lifecycle for a product can be easily tr</w:t>
            </w:r>
            <w:r>
              <w:t xml:space="preserve">ansferred between stakeholders </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184C" w:rsidP="003B2486">
            <w:pPr>
              <w:rPr>
                <w:rFonts w:eastAsiaTheme="majorEastAsia"/>
              </w:rPr>
            </w:pPr>
            <w:r>
              <w:rPr>
                <w:rFonts w:eastAsiaTheme="majorEastAsia"/>
              </w:rPr>
              <w:t>3.1</w:t>
            </w:r>
          </w:p>
        </w:tc>
        <w:tc>
          <w:tcPr>
            <w:tcW w:w="2610" w:type="dxa"/>
          </w:tcPr>
          <w:p w:rsidR="007A6BE5" w:rsidRDefault="00EB184C" w:rsidP="003B2486">
            <w:pPr>
              <w:rPr>
                <w:rFonts w:eastAsiaTheme="majorEastAsia"/>
              </w:rPr>
            </w:pPr>
            <w:r>
              <w:rPr>
                <w:rFonts w:eastAsiaTheme="majorEastAsia"/>
              </w:rPr>
              <w:t>3.1</w:t>
            </w:r>
          </w:p>
        </w:tc>
        <w:tc>
          <w:tcPr>
            <w:tcW w:w="2448" w:type="dxa"/>
          </w:tcPr>
          <w:p w:rsidR="007A6BE5" w:rsidRDefault="00EB184C" w:rsidP="003B2486">
            <w:pPr>
              <w:rPr>
                <w:rFonts w:eastAsiaTheme="majorEastAsia"/>
              </w:rPr>
            </w:pPr>
            <w:r>
              <w:rPr>
                <w:rFonts w:eastAsiaTheme="majorEastAsia"/>
              </w:rPr>
              <w:t>3.4</w:t>
            </w:r>
          </w:p>
        </w:tc>
      </w:tr>
      <w:tr w:rsidR="0015628B" w:rsidTr="00AC5CEE">
        <w:trPr>
          <w:cantSplit/>
        </w:trPr>
        <w:tc>
          <w:tcPr>
            <w:tcW w:w="4698" w:type="dxa"/>
          </w:tcPr>
          <w:p w:rsidR="0015628B" w:rsidRPr="007F0223" w:rsidRDefault="0015628B" w:rsidP="003B2486">
            <w:r w:rsidRPr="007D63CB">
              <w:t>When product changes result in changes to submitted documentation, facilitate more efficient analysis of which submissions and which regions w</w:t>
            </w:r>
            <w:r>
              <w:t>ould be impacted by the change.</w:t>
            </w:r>
          </w:p>
        </w:tc>
        <w:tc>
          <w:tcPr>
            <w:tcW w:w="2430" w:type="dxa"/>
            <w:shd w:val="clear" w:color="auto" w:fill="D9D9D9" w:themeFill="background1" w:themeFillShade="D9"/>
          </w:tcPr>
          <w:p w:rsidR="0015628B" w:rsidRDefault="0015628B" w:rsidP="003B2486">
            <w:pPr>
              <w:rPr>
                <w:rFonts w:eastAsiaTheme="majorEastAsia"/>
              </w:rPr>
            </w:pPr>
            <w:r>
              <w:rPr>
                <w:rFonts w:eastAsiaTheme="majorEastAsia"/>
              </w:rPr>
              <w:t>3.0</w:t>
            </w:r>
          </w:p>
        </w:tc>
        <w:tc>
          <w:tcPr>
            <w:tcW w:w="2430" w:type="dxa"/>
            <w:shd w:val="clear" w:color="auto" w:fill="D9D9D9" w:themeFill="background1" w:themeFillShade="D9"/>
          </w:tcPr>
          <w:p w:rsidR="0015628B" w:rsidRDefault="0015628B" w:rsidP="003B2486">
            <w:pPr>
              <w:rPr>
                <w:rFonts w:eastAsiaTheme="majorEastAsia"/>
              </w:rPr>
            </w:pPr>
            <w:r w:rsidRPr="00BE5819">
              <w:rPr>
                <w:rFonts w:eastAsiaTheme="majorEastAsia"/>
              </w:rPr>
              <w:t>3.0</w:t>
            </w:r>
          </w:p>
        </w:tc>
        <w:tc>
          <w:tcPr>
            <w:tcW w:w="2610" w:type="dxa"/>
            <w:shd w:val="clear" w:color="auto" w:fill="D9D9D9" w:themeFill="background1" w:themeFillShade="D9"/>
          </w:tcPr>
          <w:p w:rsidR="0015628B" w:rsidRDefault="0015628B" w:rsidP="003B2486">
            <w:pPr>
              <w:rPr>
                <w:rFonts w:eastAsiaTheme="majorEastAsia"/>
              </w:rPr>
            </w:pPr>
            <w:r w:rsidRPr="00BE5819">
              <w:rPr>
                <w:rFonts w:eastAsiaTheme="majorEastAsia"/>
              </w:rPr>
              <w:t>3.0</w:t>
            </w:r>
          </w:p>
        </w:tc>
        <w:tc>
          <w:tcPr>
            <w:tcW w:w="2448" w:type="dxa"/>
            <w:shd w:val="clear" w:color="auto" w:fill="D9D9D9" w:themeFill="background1" w:themeFillShade="D9"/>
          </w:tcPr>
          <w:p w:rsidR="0015628B" w:rsidRDefault="0015628B" w:rsidP="003B2486">
            <w:pPr>
              <w:rPr>
                <w:rFonts w:eastAsiaTheme="majorEastAsia"/>
              </w:rPr>
            </w:pPr>
            <w:r w:rsidRPr="00BE5819">
              <w:rPr>
                <w:rFonts w:eastAsiaTheme="majorEastAsia"/>
              </w:rPr>
              <w:t>3.0</w:t>
            </w:r>
          </w:p>
        </w:tc>
      </w:tr>
      <w:tr w:rsidR="007A6BE5" w:rsidTr="00AC5CEE">
        <w:trPr>
          <w:cantSplit/>
        </w:trPr>
        <w:tc>
          <w:tcPr>
            <w:tcW w:w="4698" w:type="dxa"/>
          </w:tcPr>
          <w:p w:rsidR="007A6BE5" w:rsidRDefault="007A6BE5" w:rsidP="003B2486">
            <w:pPr>
              <w:rPr>
                <w:rFonts w:eastAsiaTheme="majorEastAsia"/>
              </w:rPr>
            </w:pPr>
            <w:r w:rsidRPr="007D63CB">
              <w:t>Enable regulators and industry to consistently and clearly identify / communicate how a submission relates to previous applications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184C" w:rsidP="003B2486">
            <w:pPr>
              <w:rPr>
                <w:rFonts w:eastAsiaTheme="majorEastAsia"/>
              </w:rPr>
            </w:pPr>
            <w:r>
              <w:rPr>
                <w:rFonts w:eastAsiaTheme="majorEastAsia"/>
              </w:rPr>
              <w:t>3.3</w:t>
            </w:r>
          </w:p>
        </w:tc>
        <w:tc>
          <w:tcPr>
            <w:tcW w:w="2610" w:type="dxa"/>
          </w:tcPr>
          <w:p w:rsidR="007A6BE5" w:rsidRDefault="00EB184C" w:rsidP="003B2486">
            <w:pPr>
              <w:rPr>
                <w:rFonts w:eastAsiaTheme="majorEastAsia"/>
              </w:rPr>
            </w:pPr>
            <w:r>
              <w:rPr>
                <w:rFonts w:eastAsiaTheme="majorEastAsia"/>
              </w:rPr>
              <w:t>4.0</w:t>
            </w:r>
          </w:p>
        </w:tc>
        <w:tc>
          <w:tcPr>
            <w:tcW w:w="2448" w:type="dxa"/>
          </w:tcPr>
          <w:p w:rsidR="007A6BE5" w:rsidRDefault="00EB184C" w:rsidP="003B2486">
            <w:pPr>
              <w:rPr>
                <w:rFonts w:eastAsiaTheme="majorEastAsia"/>
              </w:rPr>
            </w:pPr>
            <w:r>
              <w:rPr>
                <w:rFonts w:eastAsiaTheme="majorEastAsia"/>
              </w:rPr>
              <w:t>4.0</w:t>
            </w:r>
          </w:p>
        </w:tc>
      </w:tr>
      <w:tr w:rsidR="007A6BE5" w:rsidTr="00AC5CEE">
        <w:trPr>
          <w:cantSplit/>
        </w:trPr>
        <w:tc>
          <w:tcPr>
            <w:tcW w:w="4698" w:type="dxa"/>
          </w:tcPr>
          <w:p w:rsidR="007A6BE5" w:rsidRDefault="007A6BE5" w:rsidP="003B2486">
            <w:pPr>
              <w:rPr>
                <w:rFonts w:eastAsiaTheme="majorEastAsia"/>
              </w:rPr>
            </w:pPr>
            <w:r w:rsidRPr="007D63CB">
              <w:rPr>
                <w:szCs w:val="24"/>
              </w:rPr>
              <w:t xml:space="preserve">Enable efficient access </w:t>
            </w:r>
            <w:r>
              <w:rPr>
                <w:szCs w:val="24"/>
              </w:rPr>
              <w:t xml:space="preserve">(for appropriate parties) to </w:t>
            </w:r>
            <w:r w:rsidRPr="007D63CB">
              <w:rPr>
                <w:szCs w:val="24"/>
              </w:rPr>
              <w:t>information provided electronically in submissions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184C" w:rsidP="003B2486">
            <w:pPr>
              <w:rPr>
                <w:rFonts w:eastAsiaTheme="majorEastAsia"/>
              </w:rPr>
            </w:pPr>
            <w:r>
              <w:rPr>
                <w:rFonts w:eastAsiaTheme="majorEastAsia"/>
              </w:rPr>
              <w:t>3.9</w:t>
            </w:r>
          </w:p>
        </w:tc>
        <w:tc>
          <w:tcPr>
            <w:tcW w:w="2610" w:type="dxa"/>
          </w:tcPr>
          <w:p w:rsidR="007A6BE5" w:rsidRDefault="00EB184C" w:rsidP="003B2486">
            <w:pPr>
              <w:rPr>
                <w:rFonts w:eastAsiaTheme="majorEastAsia"/>
              </w:rPr>
            </w:pPr>
            <w:r>
              <w:rPr>
                <w:rFonts w:eastAsiaTheme="majorEastAsia"/>
              </w:rPr>
              <w:t>4.5</w:t>
            </w:r>
          </w:p>
        </w:tc>
        <w:tc>
          <w:tcPr>
            <w:tcW w:w="2448" w:type="dxa"/>
          </w:tcPr>
          <w:p w:rsidR="007A6BE5" w:rsidRDefault="00EB184C" w:rsidP="003B2486">
            <w:pPr>
              <w:rPr>
                <w:rFonts w:eastAsiaTheme="majorEastAsia"/>
              </w:rPr>
            </w:pPr>
            <w:r>
              <w:rPr>
                <w:rFonts w:eastAsiaTheme="majorEastAsia"/>
              </w:rPr>
              <w:t>4.5</w:t>
            </w:r>
          </w:p>
        </w:tc>
      </w:tr>
      <w:tr w:rsidR="00EB184C" w:rsidTr="00AC5CEE">
        <w:trPr>
          <w:cantSplit/>
        </w:trPr>
        <w:tc>
          <w:tcPr>
            <w:tcW w:w="4698" w:type="dxa"/>
          </w:tcPr>
          <w:p w:rsidR="00EB184C" w:rsidRDefault="00EB184C" w:rsidP="003B2486">
            <w:pPr>
              <w:rPr>
                <w:rFonts w:eastAsiaTheme="majorEastAsia"/>
              </w:rPr>
            </w:pPr>
            <w:r w:rsidRPr="00A65750">
              <w:rPr>
                <w:szCs w:val="24"/>
              </w:rPr>
              <w:t xml:space="preserve">Enable a solution for electronic storage of product submissions </w:t>
            </w:r>
          </w:p>
        </w:tc>
        <w:tc>
          <w:tcPr>
            <w:tcW w:w="2430" w:type="dxa"/>
            <w:shd w:val="clear" w:color="auto" w:fill="D9D9D9" w:themeFill="background1" w:themeFillShade="D9"/>
          </w:tcPr>
          <w:p w:rsidR="00EB184C" w:rsidRDefault="00EB184C" w:rsidP="003B2486">
            <w:pPr>
              <w:rPr>
                <w:rFonts w:eastAsiaTheme="majorEastAsia"/>
              </w:rPr>
            </w:pPr>
            <w:r>
              <w:rPr>
                <w:rFonts w:eastAsiaTheme="majorEastAsia"/>
              </w:rPr>
              <w:t>3.0</w:t>
            </w:r>
          </w:p>
        </w:tc>
        <w:tc>
          <w:tcPr>
            <w:tcW w:w="2430" w:type="dxa"/>
          </w:tcPr>
          <w:p w:rsidR="00EB184C" w:rsidRDefault="00EB184C" w:rsidP="003B2486">
            <w:pPr>
              <w:rPr>
                <w:rFonts w:eastAsiaTheme="majorEastAsia"/>
              </w:rPr>
            </w:pPr>
            <w:r>
              <w:rPr>
                <w:rFonts w:eastAsiaTheme="majorEastAsia"/>
              </w:rPr>
              <w:t>3.9</w:t>
            </w:r>
          </w:p>
        </w:tc>
        <w:tc>
          <w:tcPr>
            <w:tcW w:w="2610" w:type="dxa"/>
          </w:tcPr>
          <w:p w:rsidR="00EB184C" w:rsidRDefault="00EB184C" w:rsidP="003B2486">
            <w:pPr>
              <w:rPr>
                <w:rFonts w:eastAsiaTheme="majorEastAsia"/>
              </w:rPr>
            </w:pPr>
            <w:r>
              <w:rPr>
                <w:rFonts w:eastAsiaTheme="majorEastAsia"/>
              </w:rPr>
              <w:t>4.5</w:t>
            </w:r>
          </w:p>
        </w:tc>
        <w:tc>
          <w:tcPr>
            <w:tcW w:w="2448" w:type="dxa"/>
          </w:tcPr>
          <w:p w:rsidR="00EB184C" w:rsidRDefault="00EB184C" w:rsidP="003B2486">
            <w:pPr>
              <w:rPr>
                <w:rFonts w:eastAsiaTheme="majorEastAsia"/>
              </w:rPr>
            </w:pPr>
            <w:r>
              <w:rPr>
                <w:rFonts w:eastAsiaTheme="majorEastAsia"/>
              </w:rPr>
              <w:t>4.5</w:t>
            </w:r>
          </w:p>
        </w:tc>
      </w:tr>
      <w:tr w:rsidR="00EB184C" w:rsidTr="00AC5CEE">
        <w:trPr>
          <w:cantSplit/>
        </w:trPr>
        <w:tc>
          <w:tcPr>
            <w:tcW w:w="4698" w:type="dxa"/>
          </w:tcPr>
          <w:p w:rsidR="00EB184C" w:rsidRDefault="00EB184C" w:rsidP="003B2486">
            <w:pPr>
              <w:rPr>
                <w:rFonts w:eastAsiaTheme="majorEastAsia"/>
              </w:rPr>
            </w:pPr>
            <w:r w:rsidRPr="007D63CB">
              <w:rPr>
                <w:szCs w:val="24"/>
              </w:rPr>
              <w:lastRenderedPageBreak/>
              <w:t xml:space="preserve">Enable efficient </w:t>
            </w:r>
            <w:r w:rsidRPr="00A65750">
              <w:rPr>
                <w:szCs w:val="24"/>
              </w:rPr>
              <w:t xml:space="preserve">simultaneous </w:t>
            </w:r>
            <w:r w:rsidRPr="00F52C03">
              <w:rPr>
                <w:szCs w:val="24"/>
              </w:rPr>
              <w:t>access to information (</w:t>
            </w:r>
            <w:r w:rsidRPr="00C5250F">
              <w:rPr>
                <w:szCs w:val="24"/>
              </w:rPr>
              <w:t>for reviewers) provided electronically in submissions</w:t>
            </w:r>
            <w:r w:rsidRPr="00C5250F" w:rsidDel="00222780">
              <w:rPr>
                <w:szCs w:val="24"/>
              </w:rPr>
              <w:t xml:space="preserve"> </w:t>
            </w:r>
          </w:p>
        </w:tc>
        <w:tc>
          <w:tcPr>
            <w:tcW w:w="2430" w:type="dxa"/>
            <w:shd w:val="clear" w:color="auto" w:fill="D9D9D9" w:themeFill="background1" w:themeFillShade="D9"/>
          </w:tcPr>
          <w:p w:rsidR="00EB184C" w:rsidRDefault="00EB184C" w:rsidP="003B2486">
            <w:pPr>
              <w:rPr>
                <w:rFonts w:eastAsiaTheme="majorEastAsia"/>
              </w:rPr>
            </w:pPr>
            <w:r>
              <w:rPr>
                <w:rFonts w:eastAsiaTheme="majorEastAsia"/>
              </w:rPr>
              <w:t>3.0</w:t>
            </w:r>
          </w:p>
        </w:tc>
        <w:tc>
          <w:tcPr>
            <w:tcW w:w="2430" w:type="dxa"/>
          </w:tcPr>
          <w:p w:rsidR="00EB184C" w:rsidRDefault="00EB184C" w:rsidP="003B2486">
            <w:pPr>
              <w:rPr>
                <w:rFonts w:eastAsiaTheme="majorEastAsia"/>
              </w:rPr>
            </w:pPr>
            <w:r>
              <w:rPr>
                <w:rFonts w:eastAsiaTheme="majorEastAsia"/>
              </w:rPr>
              <w:t>4.0</w:t>
            </w:r>
          </w:p>
        </w:tc>
        <w:tc>
          <w:tcPr>
            <w:tcW w:w="2610" w:type="dxa"/>
          </w:tcPr>
          <w:p w:rsidR="00EB184C" w:rsidRDefault="00EB184C" w:rsidP="003B2486">
            <w:pPr>
              <w:rPr>
                <w:rFonts w:eastAsiaTheme="majorEastAsia"/>
              </w:rPr>
            </w:pPr>
            <w:r>
              <w:rPr>
                <w:rFonts w:eastAsiaTheme="majorEastAsia"/>
              </w:rPr>
              <w:t>4.1</w:t>
            </w:r>
          </w:p>
        </w:tc>
        <w:tc>
          <w:tcPr>
            <w:tcW w:w="2448" w:type="dxa"/>
          </w:tcPr>
          <w:p w:rsidR="00EB184C" w:rsidRDefault="00EB184C" w:rsidP="003B2486">
            <w:pPr>
              <w:rPr>
                <w:rFonts w:eastAsiaTheme="majorEastAsia"/>
              </w:rPr>
            </w:pPr>
            <w:r>
              <w:rPr>
                <w:rFonts w:eastAsiaTheme="majorEastAsia"/>
              </w:rPr>
              <w:t>4.1</w:t>
            </w:r>
          </w:p>
        </w:tc>
      </w:tr>
      <w:tr w:rsidR="00EB184C" w:rsidTr="00AC5CEE">
        <w:trPr>
          <w:cantSplit/>
        </w:trPr>
        <w:tc>
          <w:tcPr>
            <w:tcW w:w="4698" w:type="dxa"/>
          </w:tcPr>
          <w:p w:rsidR="00EB184C" w:rsidRPr="00A65750" w:rsidRDefault="00EB184C" w:rsidP="003B2486">
            <w:pPr>
              <w:rPr>
                <w:szCs w:val="24"/>
              </w:rPr>
            </w:pPr>
            <w:r w:rsidRPr="00C849A0">
              <w:rPr>
                <w:szCs w:val="24"/>
              </w:rPr>
              <w:t>Enable reduction of resources / time required for manual login (data entry, record creation) of submissions</w:t>
            </w:r>
          </w:p>
          <w:p w:rsidR="00EB184C" w:rsidRPr="00C5250F" w:rsidRDefault="00EB184C" w:rsidP="003B2486">
            <w:pPr>
              <w:rPr>
                <w:szCs w:val="24"/>
              </w:rPr>
            </w:pPr>
            <w:r w:rsidRPr="00F52C03">
              <w:rPr>
                <w:szCs w:val="24"/>
              </w:rPr>
              <w:t>Note:  This objective would require the collection of structured data values from indu</w:t>
            </w:r>
            <w:r w:rsidRPr="00C5250F">
              <w:rPr>
                <w:szCs w:val="24"/>
              </w:rPr>
              <w:t>stry</w:t>
            </w:r>
          </w:p>
          <w:p w:rsidR="00EB184C" w:rsidRDefault="00EB184C" w:rsidP="003B2486">
            <w:pPr>
              <w:rPr>
                <w:rFonts w:eastAsiaTheme="majorEastAsia"/>
              </w:rPr>
            </w:pPr>
          </w:p>
        </w:tc>
        <w:tc>
          <w:tcPr>
            <w:tcW w:w="2430" w:type="dxa"/>
            <w:shd w:val="clear" w:color="auto" w:fill="D9D9D9" w:themeFill="background1" w:themeFillShade="D9"/>
          </w:tcPr>
          <w:p w:rsidR="00EB184C" w:rsidRDefault="00EB184C" w:rsidP="003B2486">
            <w:pPr>
              <w:rPr>
                <w:rFonts w:eastAsiaTheme="majorEastAsia"/>
              </w:rPr>
            </w:pPr>
            <w:r>
              <w:rPr>
                <w:rFonts w:eastAsiaTheme="majorEastAsia"/>
              </w:rPr>
              <w:t>3.0</w:t>
            </w:r>
          </w:p>
        </w:tc>
        <w:tc>
          <w:tcPr>
            <w:tcW w:w="2430" w:type="dxa"/>
          </w:tcPr>
          <w:p w:rsidR="00EB184C" w:rsidRDefault="00EB184C" w:rsidP="003B2486">
            <w:pPr>
              <w:rPr>
                <w:rFonts w:eastAsiaTheme="majorEastAsia"/>
              </w:rPr>
            </w:pPr>
            <w:r>
              <w:rPr>
                <w:rFonts w:eastAsiaTheme="majorEastAsia"/>
              </w:rPr>
              <w:t>3.3</w:t>
            </w:r>
          </w:p>
        </w:tc>
        <w:tc>
          <w:tcPr>
            <w:tcW w:w="2610" w:type="dxa"/>
          </w:tcPr>
          <w:p w:rsidR="00EB184C" w:rsidRDefault="00EB184C" w:rsidP="003B2486">
            <w:pPr>
              <w:rPr>
                <w:rFonts w:eastAsiaTheme="majorEastAsia"/>
              </w:rPr>
            </w:pPr>
            <w:r>
              <w:rPr>
                <w:rFonts w:eastAsiaTheme="majorEastAsia"/>
              </w:rPr>
              <w:t>4.1</w:t>
            </w:r>
          </w:p>
        </w:tc>
        <w:tc>
          <w:tcPr>
            <w:tcW w:w="2448" w:type="dxa"/>
          </w:tcPr>
          <w:p w:rsidR="00EB184C" w:rsidRDefault="00EB184C" w:rsidP="003B2486">
            <w:pPr>
              <w:rPr>
                <w:rFonts w:eastAsiaTheme="majorEastAsia"/>
              </w:rPr>
            </w:pPr>
            <w:r>
              <w:rPr>
                <w:rFonts w:eastAsiaTheme="majorEastAsia"/>
              </w:rPr>
              <w:t>4.1</w:t>
            </w:r>
          </w:p>
        </w:tc>
      </w:tr>
      <w:tr w:rsidR="00EB184C" w:rsidTr="00AC5CEE">
        <w:trPr>
          <w:cantSplit/>
        </w:trPr>
        <w:tc>
          <w:tcPr>
            <w:tcW w:w="4698" w:type="dxa"/>
          </w:tcPr>
          <w:p w:rsidR="00EB184C" w:rsidRPr="00F52C03" w:rsidRDefault="00EB184C" w:rsidP="003B2486">
            <w:pPr>
              <w:rPr>
                <w:szCs w:val="24"/>
              </w:rPr>
            </w:pPr>
            <w:r w:rsidRPr="00A65750">
              <w:rPr>
                <w:szCs w:val="24"/>
              </w:rPr>
              <w:t xml:space="preserve">Provide a way to automatically identify the current review status of a submission.  </w:t>
            </w:r>
          </w:p>
          <w:p w:rsidR="00EB184C" w:rsidRPr="00F52C03" w:rsidRDefault="00EB184C" w:rsidP="003B2486">
            <w:pPr>
              <w:rPr>
                <w:szCs w:val="24"/>
              </w:rPr>
            </w:pPr>
          </w:p>
          <w:p w:rsidR="00EB184C" w:rsidRPr="00C849A0" w:rsidRDefault="00EB184C" w:rsidP="003B2486">
            <w:pPr>
              <w:rPr>
                <w:szCs w:val="24"/>
              </w:rPr>
            </w:pPr>
          </w:p>
          <w:p w:rsidR="00EB184C" w:rsidRDefault="00EB184C" w:rsidP="003B2486">
            <w:pPr>
              <w:rPr>
                <w:rFonts w:eastAsiaTheme="majorEastAsia"/>
              </w:rPr>
            </w:pPr>
          </w:p>
        </w:tc>
        <w:tc>
          <w:tcPr>
            <w:tcW w:w="2430" w:type="dxa"/>
            <w:shd w:val="clear" w:color="auto" w:fill="D9D9D9" w:themeFill="background1" w:themeFillShade="D9"/>
          </w:tcPr>
          <w:p w:rsidR="00EB184C" w:rsidRDefault="00EB184C" w:rsidP="003B2486">
            <w:pPr>
              <w:rPr>
                <w:rFonts w:eastAsiaTheme="majorEastAsia"/>
              </w:rPr>
            </w:pPr>
            <w:r>
              <w:rPr>
                <w:rFonts w:eastAsiaTheme="majorEastAsia"/>
              </w:rPr>
              <w:t>3.0</w:t>
            </w:r>
          </w:p>
        </w:tc>
        <w:tc>
          <w:tcPr>
            <w:tcW w:w="2430" w:type="dxa"/>
            <w:shd w:val="clear" w:color="auto" w:fill="D9D9D9" w:themeFill="background1" w:themeFillShade="D9"/>
          </w:tcPr>
          <w:p w:rsidR="00EB184C" w:rsidRDefault="00EB184C" w:rsidP="003B2486">
            <w:pPr>
              <w:rPr>
                <w:rFonts w:eastAsiaTheme="majorEastAsia"/>
              </w:rPr>
            </w:pPr>
            <w:r w:rsidRPr="0084631C">
              <w:rPr>
                <w:rFonts w:eastAsiaTheme="majorEastAsia"/>
              </w:rPr>
              <w:t>3.0</w:t>
            </w:r>
          </w:p>
        </w:tc>
        <w:tc>
          <w:tcPr>
            <w:tcW w:w="2610" w:type="dxa"/>
            <w:shd w:val="clear" w:color="auto" w:fill="D9D9D9" w:themeFill="background1" w:themeFillShade="D9"/>
          </w:tcPr>
          <w:p w:rsidR="00EB184C" w:rsidRDefault="00EB184C" w:rsidP="003B2486">
            <w:pPr>
              <w:rPr>
                <w:rFonts w:eastAsiaTheme="majorEastAsia"/>
              </w:rPr>
            </w:pPr>
            <w:r w:rsidRPr="0084631C">
              <w:rPr>
                <w:rFonts w:eastAsiaTheme="majorEastAsia"/>
              </w:rPr>
              <w:t>3.0</w:t>
            </w:r>
          </w:p>
        </w:tc>
        <w:tc>
          <w:tcPr>
            <w:tcW w:w="2448" w:type="dxa"/>
            <w:shd w:val="clear" w:color="auto" w:fill="D9D9D9" w:themeFill="background1" w:themeFillShade="D9"/>
          </w:tcPr>
          <w:p w:rsidR="00EB184C" w:rsidRDefault="00EB184C" w:rsidP="003B2486">
            <w:pPr>
              <w:rPr>
                <w:rFonts w:eastAsiaTheme="majorEastAsia"/>
              </w:rPr>
            </w:pPr>
            <w:r w:rsidRPr="0084631C">
              <w:rPr>
                <w:rFonts w:eastAsiaTheme="majorEastAsia"/>
              </w:rPr>
              <w:t>3.0</w:t>
            </w:r>
          </w:p>
        </w:tc>
      </w:tr>
      <w:tr w:rsidR="00EB184C" w:rsidTr="00AC5CEE">
        <w:trPr>
          <w:cantSplit/>
        </w:trPr>
        <w:tc>
          <w:tcPr>
            <w:tcW w:w="4698" w:type="dxa"/>
          </w:tcPr>
          <w:p w:rsidR="00EB184C" w:rsidRDefault="00EB184C" w:rsidP="003B2486">
            <w:pPr>
              <w:rPr>
                <w:rFonts w:eastAsiaTheme="majorEastAsia"/>
              </w:rPr>
            </w:pPr>
            <w:r>
              <w:rPr>
                <w:szCs w:val="24"/>
              </w:rPr>
              <w:t>Provide a way to maintain the lifecycle of an Application over time when the regulation changes result in TOC variance between submissions.</w:t>
            </w:r>
          </w:p>
        </w:tc>
        <w:tc>
          <w:tcPr>
            <w:tcW w:w="2430" w:type="dxa"/>
            <w:shd w:val="clear" w:color="auto" w:fill="D9D9D9" w:themeFill="background1" w:themeFillShade="D9"/>
          </w:tcPr>
          <w:p w:rsidR="00EB184C" w:rsidRDefault="00EB184C" w:rsidP="003B2486">
            <w:pPr>
              <w:rPr>
                <w:rFonts w:eastAsiaTheme="majorEastAsia"/>
              </w:rPr>
            </w:pPr>
            <w:r>
              <w:rPr>
                <w:rFonts w:eastAsiaTheme="majorEastAsia"/>
              </w:rPr>
              <w:t>3.0</w:t>
            </w:r>
          </w:p>
        </w:tc>
        <w:tc>
          <w:tcPr>
            <w:tcW w:w="2430" w:type="dxa"/>
          </w:tcPr>
          <w:p w:rsidR="00EB184C" w:rsidRDefault="00EB184C" w:rsidP="003B2486">
            <w:pPr>
              <w:rPr>
                <w:rFonts w:eastAsiaTheme="majorEastAsia"/>
              </w:rPr>
            </w:pPr>
            <w:r>
              <w:rPr>
                <w:rFonts w:eastAsiaTheme="majorEastAsia"/>
              </w:rPr>
              <w:t>3.1</w:t>
            </w:r>
          </w:p>
        </w:tc>
        <w:tc>
          <w:tcPr>
            <w:tcW w:w="2610" w:type="dxa"/>
          </w:tcPr>
          <w:p w:rsidR="00EB184C" w:rsidRDefault="00EB184C" w:rsidP="003B2486">
            <w:pPr>
              <w:rPr>
                <w:rFonts w:eastAsiaTheme="majorEastAsia"/>
              </w:rPr>
            </w:pPr>
            <w:r>
              <w:rPr>
                <w:rFonts w:eastAsiaTheme="majorEastAsia"/>
              </w:rPr>
              <w:t>4.1</w:t>
            </w:r>
          </w:p>
        </w:tc>
        <w:tc>
          <w:tcPr>
            <w:tcW w:w="2448" w:type="dxa"/>
          </w:tcPr>
          <w:p w:rsidR="00EB184C" w:rsidRDefault="00EB184C" w:rsidP="003B2486">
            <w:pPr>
              <w:rPr>
                <w:rFonts w:eastAsiaTheme="majorEastAsia"/>
              </w:rPr>
            </w:pPr>
            <w:r>
              <w:rPr>
                <w:rFonts w:eastAsiaTheme="majorEastAsia"/>
              </w:rPr>
              <w:t>4.1</w:t>
            </w:r>
          </w:p>
        </w:tc>
      </w:tr>
      <w:tr w:rsidR="00EB184C" w:rsidTr="00AC5CEE">
        <w:trPr>
          <w:cantSplit/>
        </w:trPr>
        <w:tc>
          <w:tcPr>
            <w:tcW w:w="4698" w:type="dxa"/>
          </w:tcPr>
          <w:p w:rsidR="00EB184C" w:rsidRDefault="00EB184C" w:rsidP="003B2486">
            <w:pPr>
              <w:rPr>
                <w:rFonts w:eastAsiaTheme="majorEastAsia"/>
              </w:rPr>
            </w:pPr>
            <w:r>
              <w:rPr>
                <w:rFonts w:eastAsiaTheme="majorEastAsia"/>
              </w:rPr>
              <w:t>Cost to maintain the solution.  This includes consideration of resources to manage day to day submission activity, and effort to provide governance over time</w:t>
            </w:r>
          </w:p>
        </w:tc>
        <w:tc>
          <w:tcPr>
            <w:tcW w:w="2430" w:type="dxa"/>
            <w:shd w:val="clear" w:color="auto" w:fill="D9D9D9" w:themeFill="background1" w:themeFillShade="D9"/>
          </w:tcPr>
          <w:p w:rsidR="00EB184C" w:rsidRDefault="00EB184C" w:rsidP="003B2486">
            <w:pPr>
              <w:rPr>
                <w:rFonts w:eastAsiaTheme="majorEastAsia"/>
              </w:rPr>
            </w:pPr>
            <w:r>
              <w:rPr>
                <w:rFonts w:eastAsiaTheme="majorEastAsia"/>
              </w:rPr>
              <w:t>3.0</w:t>
            </w:r>
          </w:p>
        </w:tc>
        <w:tc>
          <w:tcPr>
            <w:tcW w:w="2430" w:type="dxa"/>
          </w:tcPr>
          <w:p w:rsidR="00EB184C" w:rsidRDefault="00EB184C" w:rsidP="003B2486">
            <w:pPr>
              <w:rPr>
                <w:rFonts w:eastAsiaTheme="majorEastAsia"/>
              </w:rPr>
            </w:pPr>
            <w:r>
              <w:rPr>
                <w:rFonts w:eastAsiaTheme="majorEastAsia"/>
              </w:rPr>
              <w:t>3.0</w:t>
            </w:r>
          </w:p>
        </w:tc>
        <w:tc>
          <w:tcPr>
            <w:tcW w:w="2610" w:type="dxa"/>
          </w:tcPr>
          <w:p w:rsidR="00EB184C" w:rsidRDefault="00EB184C" w:rsidP="003B2486">
            <w:pPr>
              <w:rPr>
                <w:rFonts w:eastAsiaTheme="majorEastAsia"/>
              </w:rPr>
            </w:pPr>
            <w:r>
              <w:rPr>
                <w:rFonts w:eastAsiaTheme="majorEastAsia"/>
              </w:rPr>
              <w:t>2.5</w:t>
            </w:r>
          </w:p>
        </w:tc>
        <w:tc>
          <w:tcPr>
            <w:tcW w:w="2448" w:type="dxa"/>
          </w:tcPr>
          <w:p w:rsidR="00EB184C" w:rsidRDefault="00EB184C" w:rsidP="003B2486">
            <w:pPr>
              <w:rPr>
                <w:rFonts w:eastAsiaTheme="majorEastAsia"/>
              </w:rPr>
            </w:pPr>
            <w:r>
              <w:rPr>
                <w:rFonts w:eastAsiaTheme="majorEastAsia"/>
              </w:rPr>
              <w:t>2.5</w:t>
            </w:r>
          </w:p>
        </w:tc>
      </w:tr>
      <w:tr w:rsidR="00EB184C" w:rsidTr="00AC5CEE">
        <w:trPr>
          <w:cantSplit/>
        </w:trPr>
        <w:tc>
          <w:tcPr>
            <w:tcW w:w="4698" w:type="dxa"/>
          </w:tcPr>
          <w:p w:rsidR="00EB184C" w:rsidRDefault="00EB184C" w:rsidP="003B2486">
            <w:pPr>
              <w:rPr>
                <w:rFonts w:eastAsiaTheme="majorEastAsia"/>
              </w:rPr>
            </w:pPr>
            <w:r>
              <w:rPr>
                <w:rFonts w:eastAsiaTheme="majorEastAsia"/>
              </w:rPr>
              <w:t>Cost to maintain the standard</w:t>
            </w:r>
          </w:p>
        </w:tc>
        <w:tc>
          <w:tcPr>
            <w:tcW w:w="2430" w:type="dxa"/>
            <w:shd w:val="clear" w:color="auto" w:fill="D9D9D9" w:themeFill="background1" w:themeFillShade="D9"/>
          </w:tcPr>
          <w:p w:rsidR="00EB184C" w:rsidRDefault="00EB184C" w:rsidP="003B2486">
            <w:pPr>
              <w:rPr>
                <w:rFonts w:eastAsiaTheme="majorEastAsia"/>
              </w:rPr>
            </w:pPr>
            <w:r>
              <w:rPr>
                <w:rFonts w:eastAsiaTheme="majorEastAsia"/>
              </w:rPr>
              <w:t>3.0</w:t>
            </w:r>
          </w:p>
        </w:tc>
        <w:tc>
          <w:tcPr>
            <w:tcW w:w="2430" w:type="dxa"/>
          </w:tcPr>
          <w:p w:rsidR="00EB184C" w:rsidRDefault="00EB184C" w:rsidP="003B2486">
            <w:pPr>
              <w:rPr>
                <w:rFonts w:eastAsiaTheme="majorEastAsia"/>
              </w:rPr>
            </w:pPr>
            <w:r>
              <w:rPr>
                <w:rFonts w:eastAsiaTheme="majorEastAsia"/>
              </w:rPr>
              <w:t>3.1</w:t>
            </w:r>
          </w:p>
        </w:tc>
        <w:tc>
          <w:tcPr>
            <w:tcW w:w="2610" w:type="dxa"/>
          </w:tcPr>
          <w:p w:rsidR="00EB184C" w:rsidRDefault="00EB184C" w:rsidP="003B2486">
            <w:pPr>
              <w:rPr>
                <w:rFonts w:eastAsiaTheme="majorEastAsia"/>
              </w:rPr>
            </w:pPr>
            <w:r>
              <w:rPr>
                <w:rFonts w:eastAsiaTheme="majorEastAsia"/>
              </w:rPr>
              <w:t>1.8</w:t>
            </w:r>
          </w:p>
        </w:tc>
        <w:tc>
          <w:tcPr>
            <w:tcW w:w="2448" w:type="dxa"/>
          </w:tcPr>
          <w:p w:rsidR="00EB184C" w:rsidRDefault="00EB184C" w:rsidP="003B2486">
            <w:pPr>
              <w:rPr>
                <w:rFonts w:eastAsiaTheme="majorEastAsia"/>
              </w:rPr>
            </w:pPr>
            <w:r>
              <w:rPr>
                <w:rFonts w:eastAsiaTheme="majorEastAsia"/>
              </w:rPr>
              <w:t>2.3</w:t>
            </w:r>
          </w:p>
        </w:tc>
      </w:tr>
      <w:tr w:rsidR="000F7C19" w:rsidTr="00AC5CEE">
        <w:trPr>
          <w:cantSplit/>
        </w:trPr>
        <w:tc>
          <w:tcPr>
            <w:tcW w:w="4698" w:type="dxa"/>
          </w:tcPr>
          <w:p w:rsidR="000F7C19" w:rsidRPr="007F0223" w:rsidRDefault="000F7C19" w:rsidP="003B2486">
            <w:pPr>
              <w:jc w:val="right"/>
              <w:rPr>
                <w:rFonts w:eastAsiaTheme="majorEastAsia"/>
                <w:b/>
              </w:rPr>
            </w:pPr>
            <w:r w:rsidRPr="007F0223">
              <w:rPr>
                <w:rFonts w:eastAsiaTheme="majorEastAsia"/>
                <w:b/>
              </w:rPr>
              <w:t>TOTAL SCORE</w:t>
            </w:r>
          </w:p>
        </w:tc>
        <w:tc>
          <w:tcPr>
            <w:tcW w:w="2430" w:type="dxa"/>
            <w:shd w:val="clear" w:color="auto" w:fill="BFBFBF" w:themeFill="background1" w:themeFillShade="BF"/>
          </w:tcPr>
          <w:p w:rsidR="000F7C19" w:rsidRPr="00FE2C6D" w:rsidRDefault="00457214" w:rsidP="003B2486">
            <w:pPr>
              <w:rPr>
                <w:rFonts w:eastAsiaTheme="majorEastAsia"/>
              </w:rPr>
            </w:pPr>
            <w:r>
              <w:rPr>
                <w:rFonts w:eastAsiaTheme="majorEastAsia"/>
              </w:rPr>
              <w:t>45.0</w:t>
            </w:r>
          </w:p>
        </w:tc>
        <w:tc>
          <w:tcPr>
            <w:tcW w:w="2430" w:type="dxa"/>
            <w:shd w:val="clear" w:color="auto" w:fill="BFBFBF" w:themeFill="background1" w:themeFillShade="BF"/>
          </w:tcPr>
          <w:p w:rsidR="000F7C19" w:rsidRDefault="00457214" w:rsidP="003B2486">
            <w:pPr>
              <w:rPr>
                <w:rFonts w:eastAsiaTheme="majorEastAsia"/>
              </w:rPr>
            </w:pPr>
            <w:r>
              <w:rPr>
                <w:rFonts w:eastAsiaTheme="majorEastAsia"/>
              </w:rPr>
              <w:t>50.5</w:t>
            </w:r>
          </w:p>
        </w:tc>
        <w:tc>
          <w:tcPr>
            <w:tcW w:w="2610" w:type="dxa"/>
            <w:shd w:val="clear" w:color="auto" w:fill="BFBFBF" w:themeFill="background1" w:themeFillShade="BF"/>
          </w:tcPr>
          <w:p w:rsidR="000F7C19" w:rsidRDefault="00457214" w:rsidP="003B2486">
            <w:pPr>
              <w:rPr>
                <w:rFonts w:eastAsiaTheme="majorEastAsia"/>
              </w:rPr>
            </w:pPr>
            <w:r>
              <w:rPr>
                <w:rFonts w:eastAsiaTheme="majorEastAsia"/>
              </w:rPr>
              <w:t>53.8</w:t>
            </w:r>
          </w:p>
        </w:tc>
        <w:tc>
          <w:tcPr>
            <w:tcW w:w="2448" w:type="dxa"/>
            <w:shd w:val="clear" w:color="auto" w:fill="BFBFBF" w:themeFill="background1" w:themeFillShade="BF"/>
          </w:tcPr>
          <w:p w:rsidR="000F7C19" w:rsidRDefault="00457214" w:rsidP="003B2486">
            <w:pPr>
              <w:rPr>
                <w:rFonts w:eastAsiaTheme="majorEastAsia"/>
              </w:rPr>
            </w:pPr>
            <w:r>
              <w:rPr>
                <w:rFonts w:eastAsiaTheme="majorEastAsia"/>
              </w:rPr>
              <w:t>54.6</w:t>
            </w:r>
          </w:p>
        </w:tc>
      </w:tr>
      <w:tr w:rsidR="000F7C19" w:rsidTr="00AC5CEE">
        <w:trPr>
          <w:cantSplit/>
        </w:trPr>
        <w:tc>
          <w:tcPr>
            <w:tcW w:w="4698" w:type="dxa"/>
          </w:tcPr>
          <w:p w:rsidR="000F7C19" w:rsidRPr="007F0223" w:rsidRDefault="000F7C19" w:rsidP="003B2486">
            <w:pPr>
              <w:jc w:val="right"/>
              <w:rPr>
                <w:rFonts w:eastAsiaTheme="majorEastAsia"/>
                <w:b/>
              </w:rPr>
            </w:pPr>
            <w:r w:rsidRPr="007F0223">
              <w:rPr>
                <w:rFonts w:eastAsiaTheme="majorEastAsia"/>
                <w:b/>
              </w:rPr>
              <w:t>AVERAGE SCORE</w:t>
            </w:r>
          </w:p>
        </w:tc>
        <w:tc>
          <w:tcPr>
            <w:tcW w:w="2430" w:type="dxa"/>
            <w:shd w:val="clear" w:color="auto" w:fill="BFBFBF" w:themeFill="background1" w:themeFillShade="BF"/>
          </w:tcPr>
          <w:p w:rsidR="000F7C19" w:rsidRPr="00FE2C6D" w:rsidRDefault="00457214" w:rsidP="003B2486">
            <w:pPr>
              <w:rPr>
                <w:rFonts w:eastAsiaTheme="majorEastAsia"/>
              </w:rPr>
            </w:pPr>
            <w:r>
              <w:rPr>
                <w:rFonts w:eastAsiaTheme="majorEastAsia"/>
              </w:rPr>
              <w:t>3.0</w:t>
            </w:r>
          </w:p>
        </w:tc>
        <w:tc>
          <w:tcPr>
            <w:tcW w:w="2430" w:type="dxa"/>
            <w:shd w:val="clear" w:color="auto" w:fill="BFBFBF" w:themeFill="background1" w:themeFillShade="BF"/>
          </w:tcPr>
          <w:p w:rsidR="000F7C19" w:rsidRDefault="00457214" w:rsidP="003B2486">
            <w:pPr>
              <w:rPr>
                <w:rFonts w:eastAsiaTheme="majorEastAsia"/>
              </w:rPr>
            </w:pPr>
            <w:r>
              <w:rPr>
                <w:rFonts w:eastAsiaTheme="majorEastAsia"/>
              </w:rPr>
              <w:t>3.4</w:t>
            </w:r>
          </w:p>
        </w:tc>
        <w:tc>
          <w:tcPr>
            <w:tcW w:w="2610" w:type="dxa"/>
            <w:shd w:val="clear" w:color="auto" w:fill="BFBFBF" w:themeFill="background1" w:themeFillShade="BF"/>
          </w:tcPr>
          <w:p w:rsidR="000F7C19" w:rsidRDefault="00457214" w:rsidP="003B2486">
            <w:pPr>
              <w:rPr>
                <w:rFonts w:eastAsiaTheme="majorEastAsia"/>
              </w:rPr>
            </w:pPr>
            <w:r>
              <w:rPr>
                <w:rFonts w:eastAsiaTheme="majorEastAsia"/>
              </w:rPr>
              <w:t>3.6</w:t>
            </w:r>
          </w:p>
        </w:tc>
        <w:tc>
          <w:tcPr>
            <w:tcW w:w="2448" w:type="dxa"/>
            <w:shd w:val="clear" w:color="auto" w:fill="BFBFBF" w:themeFill="background1" w:themeFillShade="BF"/>
          </w:tcPr>
          <w:p w:rsidR="000F7C19" w:rsidRDefault="00457214" w:rsidP="003B2486">
            <w:pPr>
              <w:rPr>
                <w:rFonts w:eastAsiaTheme="majorEastAsia"/>
              </w:rPr>
            </w:pPr>
            <w:r>
              <w:rPr>
                <w:rFonts w:eastAsiaTheme="majorEastAsia"/>
              </w:rPr>
              <w:t>3.6</w:t>
            </w:r>
          </w:p>
        </w:tc>
      </w:tr>
    </w:tbl>
    <w:p w:rsidR="00365AAC" w:rsidRDefault="00365AAC" w:rsidP="00A24259">
      <w:pPr>
        <w:rPr>
          <w:rFonts w:eastAsiaTheme="majorEastAsia"/>
        </w:rPr>
      </w:pPr>
    </w:p>
    <w:p w:rsidR="007C3929" w:rsidRDefault="007C3929">
      <w:pPr>
        <w:rPr>
          <w:rFonts w:eastAsiaTheme="majorEastAsia"/>
          <w:b/>
        </w:rPr>
      </w:pPr>
      <w:r>
        <w:rPr>
          <w:rFonts w:eastAsiaTheme="majorEastAsia"/>
        </w:rPr>
        <w:br w:type="page"/>
      </w:r>
    </w:p>
    <w:p w:rsidR="00365AAC" w:rsidRDefault="00365AAC" w:rsidP="00A24259">
      <w:pPr>
        <w:pStyle w:val="Heading2"/>
        <w:rPr>
          <w:rFonts w:eastAsiaTheme="majorEastAsia"/>
        </w:rPr>
      </w:pPr>
      <w:bookmarkStart w:id="32" w:name="_Toc425422226"/>
      <w:r>
        <w:rPr>
          <w:rFonts w:eastAsiaTheme="majorEastAsia"/>
        </w:rPr>
        <w:lastRenderedPageBreak/>
        <w:t>Industry with Tools or eCTD Support</w:t>
      </w:r>
      <w:bookmarkEnd w:id="32"/>
    </w:p>
    <w:tbl>
      <w:tblPr>
        <w:tblStyle w:val="TableGrid"/>
        <w:tblW w:w="0" w:type="auto"/>
        <w:tblLook w:val="04A0" w:firstRow="1" w:lastRow="0" w:firstColumn="1" w:lastColumn="0" w:noHBand="0" w:noVBand="1"/>
      </w:tblPr>
      <w:tblGrid>
        <w:gridCol w:w="4698"/>
        <w:gridCol w:w="2430"/>
        <w:gridCol w:w="2430"/>
        <w:gridCol w:w="2610"/>
        <w:gridCol w:w="2448"/>
      </w:tblGrid>
      <w:tr w:rsidR="007A6BE5" w:rsidRPr="007F0223" w:rsidTr="00AC5CEE">
        <w:trPr>
          <w:cantSplit/>
          <w:tblHeader/>
        </w:trPr>
        <w:tc>
          <w:tcPr>
            <w:tcW w:w="4698" w:type="dxa"/>
          </w:tcPr>
          <w:p w:rsidR="007A6BE5" w:rsidRPr="007F0223" w:rsidRDefault="007A6BE5" w:rsidP="003B2486">
            <w:pPr>
              <w:rPr>
                <w:rFonts w:eastAsiaTheme="majorEastAsia"/>
                <w:b/>
                <w:sz w:val="22"/>
              </w:rPr>
            </w:pPr>
            <w:r>
              <w:rPr>
                <w:rFonts w:eastAsiaTheme="majorEastAsia"/>
                <w:b/>
                <w:sz w:val="22"/>
              </w:rPr>
              <w:t xml:space="preserve">Problem Area / </w:t>
            </w:r>
            <w:r w:rsidRPr="007F0223">
              <w:rPr>
                <w:rFonts w:eastAsiaTheme="majorEastAsia"/>
                <w:b/>
                <w:sz w:val="22"/>
              </w:rPr>
              <w:t>Objective</w:t>
            </w:r>
          </w:p>
        </w:tc>
        <w:tc>
          <w:tcPr>
            <w:tcW w:w="2430" w:type="dxa"/>
          </w:tcPr>
          <w:p w:rsidR="007A6BE5" w:rsidRPr="007F0223" w:rsidRDefault="007A6BE5" w:rsidP="003B2486">
            <w:pPr>
              <w:rPr>
                <w:rFonts w:eastAsiaTheme="majorEastAsia"/>
                <w:b/>
                <w:sz w:val="22"/>
              </w:rPr>
            </w:pPr>
            <w:r w:rsidRPr="007F0223">
              <w:rPr>
                <w:rFonts w:eastAsiaTheme="majorEastAsia"/>
                <w:b/>
                <w:sz w:val="22"/>
              </w:rPr>
              <w:t>Option 1</w:t>
            </w:r>
          </w:p>
          <w:p w:rsidR="007A6BE5" w:rsidRPr="007F0223" w:rsidRDefault="007A6BE5" w:rsidP="003B2486">
            <w:pPr>
              <w:rPr>
                <w:rFonts w:eastAsiaTheme="majorEastAsia"/>
                <w:b/>
                <w:sz w:val="22"/>
              </w:rPr>
            </w:pPr>
            <w:r w:rsidRPr="007F0223">
              <w:rPr>
                <w:rFonts w:eastAsiaTheme="majorEastAsia"/>
                <w:b/>
                <w:sz w:val="22"/>
              </w:rPr>
              <w:t>Status Quo (Baseline)</w:t>
            </w:r>
          </w:p>
        </w:tc>
        <w:tc>
          <w:tcPr>
            <w:tcW w:w="2430" w:type="dxa"/>
          </w:tcPr>
          <w:p w:rsidR="007A6BE5" w:rsidRPr="007F0223" w:rsidRDefault="007A6BE5" w:rsidP="003B2486">
            <w:pPr>
              <w:rPr>
                <w:rFonts w:eastAsiaTheme="majorEastAsia"/>
                <w:b/>
                <w:sz w:val="22"/>
              </w:rPr>
            </w:pPr>
            <w:r w:rsidRPr="007F0223">
              <w:rPr>
                <w:rFonts w:eastAsiaTheme="majorEastAsia"/>
                <w:b/>
                <w:sz w:val="22"/>
              </w:rPr>
              <w:t>Option 2</w:t>
            </w:r>
          </w:p>
          <w:p w:rsidR="007A6BE5" w:rsidRPr="007F0223" w:rsidRDefault="007A6BE5" w:rsidP="003B2486">
            <w:pPr>
              <w:rPr>
                <w:rFonts w:eastAsiaTheme="majorEastAsia"/>
                <w:b/>
                <w:sz w:val="22"/>
              </w:rPr>
            </w:pPr>
            <w:r w:rsidRPr="007F0223">
              <w:rPr>
                <w:rFonts w:eastAsiaTheme="majorEastAsia"/>
                <w:b/>
                <w:sz w:val="22"/>
              </w:rPr>
              <w:t>Harmonized Folder Structure</w:t>
            </w:r>
          </w:p>
        </w:tc>
        <w:tc>
          <w:tcPr>
            <w:tcW w:w="2610" w:type="dxa"/>
          </w:tcPr>
          <w:p w:rsidR="007A6BE5" w:rsidRPr="007F0223" w:rsidRDefault="007A6BE5" w:rsidP="003B2486">
            <w:pPr>
              <w:rPr>
                <w:rFonts w:eastAsiaTheme="majorEastAsia"/>
                <w:b/>
                <w:sz w:val="22"/>
              </w:rPr>
            </w:pPr>
            <w:r w:rsidRPr="007F0223">
              <w:rPr>
                <w:rFonts w:eastAsiaTheme="majorEastAsia"/>
                <w:b/>
                <w:sz w:val="22"/>
              </w:rPr>
              <w:t>Option 3</w:t>
            </w:r>
          </w:p>
          <w:p w:rsidR="007A6BE5" w:rsidRPr="007F0223" w:rsidRDefault="007A6BE5" w:rsidP="003B2486">
            <w:pPr>
              <w:rPr>
                <w:rFonts w:eastAsiaTheme="majorEastAsia"/>
                <w:b/>
                <w:sz w:val="22"/>
              </w:rPr>
            </w:pPr>
            <w:r w:rsidRPr="007F0223">
              <w:rPr>
                <w:rFonts w:eastAsiaTheme="majorEastAsia"/>
                <w:b/>
                <w:sz w:val="22"/>
              </w:rPr>
              <w:t>Custom IMDRF Message Standard</w:t>
            </w:r>
          </w:p>
        </w:tc>
        <w:tc>
          <w:tcPr>
            <w:tcW w:w="2448" w:type="dxa"/>
          </w:tcPr>
          <w:p w:rsidR="007A6BE5" w:rsidRPr="007F0223" w:rsidRDefault="007A6BE5" w:rsidP="003B2486">
            <w:pPr>
              <w:rPr>
                <w:rFonts w:eastAsiaTheme="majorEastAsia"/>
                <w:b/>
                <w:sz w:val="22"/>
              </w:rPr>
            </w:pPr>
            <w:r w:rsidRPr="007F0223">
              <w:rPr>
                <w:rFonts w:eastAsiaTheme="majorEastAsia"/>
                <w:b/>
                <w:sz w:val="22"/>
              </w:rPr>
              <w:t>Option 4</w:t>
            </w:r>
          </w:p>
          <w:p w:rsidR="007A6BE5" w:rsidRPr="007F0223" w:rsidRDefault="007A6BE5" w:rsidP="003B2486">
            <w:pPr>
              <w:rPr>
                <w:rFonts w:eastAsiaTheme="majorEastAsia"/>
                <w:b/>
                <w:sz w:val="22"/>
              </w:rPr>
            </w:pPr>
            <w:r w:rsidRPr="007F0223">
              <w:rPr>
                <w:rFonts w:eastAsiaTheme="majorEastAsia"/>
                <w:b/>
                <w:sz w:val="22"/>
              </w:rPr>
              <w:t>HL7 RPS Message Standard</w:t>
            </w:r>
          </w:p>
        </w:tc>
      </w:tr>
      <w:tr w:rsidR="007A6BE5" w:rsidTr="00AC5CEE">
        <w:trPr>
          <w:cantSplit/>
        </w:trPr>
        <w:tc>
          <w:tcPr>
            <w:tcW w:w="4698" w:type="dxa"/>
          </w:tcPr>
          <w:p w:rsidR="007A6BE5" w:rsidRDefault="007A6BE5" w:rsidP="003B2486">
            <w:pPr>
              <w:rPr>
                <w:rFonts w:eastAsiaTheme="majorEastAsia"/>
              </w:rPr>
            </w:pPr>
            <w:r w:rsidRPr="00283CA1">
              <w:t>Efficiently produce submissions for mu</w:t>
            </w:r>
            <w:r>
              <w:t>l</w:t>
            </w:r>
            <w:r w:rsidRPr="00283CA1">
              <w:t>tiple regions without managing multiple submission creation processes, and software tools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8B0036" w:rsidP="003B2486">
            <w:pPr>
              <w:rPr>
                <w:rFonts w:eastAsiaTheme="majorEastAsia"/>
              </w:rPr>
            </w:pPr>
            <w:r>
              <w:rPr>
                <w:rFonts w:eastAsiaTheme="majorEastAsia"/>
              </w:rPr>
              <w:t>4.0</w:t>
            </w:r>
          </w:p>
        </w:tc>
        <w:tc>
          <w:tcPr>
            <w:tcW w:w="2610" w:type="dxa"/>
          </w:tcPr>
          <w:p w:rsidR="007A6BE5" w:rsidRDefault="008B0036" w:rsidP="003B2486">
            <w:pPr>
              <w:rPr>
                <w:rFonts w:eastAsiaTheme="majorEastAsia"/>
              </w:rPr>
            </w:pPr>
            <w:r>
              <w:rPr>
                <w:rFonts w:eastAsiaTheme="majorEastAsia"/>
              </w:rPr>
              <w:t>4.0</w:t>
            </w:r>
          </w:p>
        </w:tc>
        <w:tc>
          <w:tcPr>
            <w:tcW w:w="2448" w:type="dxa"/>
          </w:tcPr>
          <w:p w:rsidR="007A6BE5" w:rsidRDefault="008B0036" w:rsidP="003B2486">
            <w:pPr>
              <w:rPr>
                <w:rFonts w:eastAsiaTheme="majorEastAsia"/>
              </w:rPr>
            </w:pPr>
            <w:r>
              <w:rPr>
                <w:rFonts w:eastAsiaTheme="majorEastAsia"/>
              </w:rPr>
              <w:t>4.8</w:t>
            </w:r>
          </w:p>
        </w:tc>
      </w:tr>
      <w:tr w:rsidR="007A6BE5" w:rsidTr="00AC5CEE">
        <w:trPr>
          <w:cantSplit/>
        </w:trPr>
        <w:tc>
          <w:tcPr>
            <w:tcW w:w="4698" w:type="dxa"/>
          </w:tcPr>
          <w:p w:rsidR="007A6BE5" w:rsidRDefault="007A6BE5" w:rsidP="003B2486">
            <w:pPr>
              <w:rPr>
                <w:rFonts w:eastAsiaTheme="majorEastAsia"/>
              </w:rPr>
            </w:pPr>
            <w:r>
              <w:rPr>
                <w:rFonts w:eastAsiaTheme="majorEastAsia"/>
              </w:rPr>
              <w:t>Enable efficient exchange of information amongst regulators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shd w:val="clear" w:color="auto" w:fill="D9D9D9" w:themeFill="background1" w:themeFillShade="D9"/>
          </w:tcPr>
          <w:p w:rsidR="007A6BE5" w:rsidRDefault="008B0036" w:rsidP="003B2486">
            <w:pPr>
              <w:rPr>
                <w:rFonts w:eastAsiaTheme="majorEastAsia"/>
              </w:rPr>
            </w:pPr>
            <w:r>
              <w:rPr>
                <w:rFonts w:eastAsiaTheme="majorEastAsia"/>
              </w:rPr>
              <w:t>3.0</w:t>
            </w:r>
          </w:p>
        </w:tc>
        <w:tc>
          <w:tcPr>
            <w:tcW w:w="2610" w:type="dxa"/>
            <w:shd w:val="clear" w:color="auto" w:fill="D9D9D9" w:themeFill="background1" w:themeFillShade="D9"/>
          </w:tcPr>
          <w:p w:rsidR="007A6BE5" w:rsidRDefault="008B0036" w:rsidP="003B2486">
            <w:pPr>
              <w:rPr>
                <w:rFonts w:eastAsiaTheme="majorEastAsia"/>
              </w:rPr>
            </w:pPr>
            <w:r>
              <w:rPr>
                <w:rFonts w:eastAsiaTheme="majorEastAsia"/>
              </w:rPr>
              <w:t>3.0</w:t>
            </w:r>
          </w:p>
        </w:tc>
        <w:tc>
          <w:tcPr>
            <w:tcW w:w="2448" w:type="dxa"/>
            <w:shd w:val="clear" w:color="auto" w:fill="D9D9D9" w:themeFill="background1" w:themeFillShade="D9"/>
          </w:tcPr>
          <w:p w:rsidR="007A6BE5" w:rsidRDefault="008B0036" w:rsidP="003B2486">
            <w:pPr>
              <w:rPr>
                <w:rFonts w:eastAsiaTheme="majorEastAsia"/>
              </w:rPr>
            </w:pPr>
            <w:r>
              <w:rPr>
                <w:rFonts w:eastAsiaTheme="majorEastAsia"/>
              </w:rPr>
              <w:t>3.0</w:t>
            </w:r>
          </w:p>
        </w:tc>
      </w:tr>
      <w:tr w:rsidR="007A6BE5" w:rsidTr="00AC5CEE">
        <w:trPr>
          <w:cantSplit/>
        </w:trPr>
        <w:tc>
          <w:tcPr>
            <w:tcW w:w="4698" w:type="dxa"/>
          </w:tcPr>
          <w:p w:rsidR="007A6BE5" w:rsidRPr="007F0223" w:rsidRDefault="007A6BE5" w:rsidP="003B2486">
            <w:r w:rsidRPr="00287C96">
              <w:t>Enable a clear view to the</w:t>
            </w:r>
            <w:r w:rsidRPr="00E37CAA">
              <w:t xml:space="preserve"> lifecycle of A</w:t>
            </w:r>
            <w:r w:rsidRPr="007D63CB">
              <w:t>pplication content over time, as well as the ability to quickly see the most cur</w:t>
            </w:r>
            <w:r>
              <w:t>rent version of an Application.</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8B0036" w:rsidP="003B2486">
            <w:pPr>
              <w:rPr>
                <w:rFonts w:eastAsiaTheme="majorEastAsia"/>
              </w:rPr>
            </w:pPr>
            <w:r>
              <w:rPr>
                <w:rFonts w:eastAsiaTheme="majorEastAsia"/>
              </w:rPr>
              <w:t>3.5</w:t>
            </w:r>
          </w:p>
        </w:tc>
        <w:tc>
          <w:tcPr>
            <w:tcW w:w="2610" w:type="dxa"/>
          </w:tcPr>
          <w:p w:rsidR="007A6BE5" w:rsidRDefault="008B0036" w:rsidP="003B2486">
            <w:pPr>
              <w:rPr>
                <w:rFonts w:eastAsiaTheme="majorEastAsia"/>
              </w:rPr>
            </w:pPr>
            <w:r>
              <w:rPr>
                <w:rFonts w:eastAsiaTheme="majorEastAsia"/>
              </w:rPr>
              <w:t>4.3</w:t>
            </w:r>
          </w:p>
        </w:tc>
        <w:tc>
          <w:tcPr>
            <w:tcW w:w="2448" w:type="dxa"/>
          </w:tcPr>
          <w:p w:rsidR="007A6BE5" w:rsidRDefault="008B0036" w:rsidP="003B2486">
            <w:pPr>
              <w:rPr>
                <w:rFonts w:eastAsiaTheme="majorEastAsia"/>
              </w:rPr>
            </w:pPr>
            <w:r>
              <w:rPr>
                <w:rFonts w:eastAsiaTheme="majorEastAsia"/>
              </w:rPr>
              <w:t>4.8</w:t>
            </w:r>
          </w:p>
        </w:tc>
      </w:tr>
      <w:tr w:rsidR="008B0036" w:rsidTr="00AC5CEE">
        <w:trPr>
          <w:cantSplit/>
        </w:trPr>
        <w:tc>
          <w:tcPr>
            <w:tcW w:w="4698" w:type="dxa"/>
          </w:tcPr>
          <w:p w:rsidR="008B0036" w:rsidRPr="007F0223" w:rsidRDefault="008B0036" w:rsidP="003B2486">
            <w:r w:rsidRPr="007D63CB">
              <w:t>Include additional metadata on submission content for better discovery in the future (i.</w:t>
            </w:r>
            <w:r>
              <w:t>e., TOC headings and keywords).</w:t>
            </w:r>
          </w:p>
        </w:tc>
        <w:tc>
          <w:tcPr>
            <w:tcW w:w="2430" w:type="dxa"/>
            <w:shd w:val="clear" w:color="auto" w:fill="D9D9D9" w:themeFill="background1" w:themeFillShade="D9"/>
          </w:tcPr>
          <w:p w:rsidR="008B0036" w:rsidRDefault="008B0036" w:rsidP="003B2486">
            <w:pPr>
              <w:rPr>
                <w:rFonts w:eastAsiaTheme="majorEastAsia"/>
              </w:rPr>
            </w:pPr>
            <w:r>
              <w:rPr>
                <w:rFonts w:eastAsiaTheme="majorEastAsia"/>
              </w:rPr>
              <w:t>3.0</w:t>
            </w:r>
          </w:p>
        </w:tc>
        <w:tc>
          <w:tcPr>
            <w:tcW w:w="2430" w:type="dxa"/>
            <w:shd w:val="clear" w:color="auto" w:fill="D9D9D9" w:themeFill="background1" w:themeFillShade="D9"/>
          </w:tcPr>
          <w:p w:rsidR="008B0036" w:rsidRDefault="008B0036" w:rsidP="003B2486">
            <w:pPr>
              <w:rPr>
                <w:rFonts w:eastAsiaTheme="majorEastAsia"/>
              </w:rPr>
            </w:pPr>
            <w:r>
              <w:rPr>
                <w:rFonts w:eastAsiaTheme="majorEastAsia"/>
              </w:rPr>
              <w:t>3.0</w:t>
            </w:r>
          </w:p>
        </w:tc>
        <w:tc>
          <w:tcPr>
            <w:tcW w:w="2610" w:type="dxa"/>
            <w:shd w:val="clear" w:color="auto" w:fill="D9D9D9" w:themeFill="background1" w:themeFillShade="D9"/>
          </w:tcPr>
          <w:p w:rsidR="008B0036" w:rsidRDefault="008B0036" w:rsidP="003B2486">
            <w:pPr>
              <w:rPr>
                <w:rFonts w:eastAsiaTheme="majorEastAsia"/>
              </w:rPr>
            </w:pPr>
            <w:r>
              <w:rPr>
                <w:rFonts w:eastAsiaTheme="majorEastAsia"/>
              </w:rPr>
              <w:t>3.0</w:t>
            </w:r>
          </w:p>
        </w:tc>
        <w:tc>
          <w:tcPr>
            <w:tcW w:w="2448" w:type="dxa"/>
            <w:shd w:val="clear" w:color="auto" w:fill="D9D9D9" w:themeFill="background1" w:themeFillShade="D9"/>
          </w:tcPr>
          <w:p w:rsidR="008B0036" w:rsidRDefault="008B0036" w:rsidP="003B2486">
            <w:pPr>
              <w:rPr>
                <w:rFonts w:eastAsiaTheme="majorEastAsia"/>
              </w:rPr>
            </w:pPr>
            <w:r>
              <w:rPr>
                <w:rFonts w:eastAsiaTheme="majorEastAsia"/>
              </w:rPr>
              <w:t>3.0</w:t>
            </w:r>
          </w:p>
        </w:tc>
      </w:tr>
      <w:tr w:rsidR="008B0036" w:rsidTr="00AC5CEE">
        <w:trPr>
          <w:cantSplit/>
        </w:trPr>
        <w:tc>
          <w:tcPr>
            <w:tcW w:w="4698" w:type="dxa"/>
          </w:tcPr>
          <w:p w:rsidR="008B0036" w:rsidRPr="007F0223" w:rsidRDefault="008B0036" w:rsidP="003B2486">
            <w:r w:rsidRPr="007D63CB">
              <w:t>Provide a mechanism through which the full submission lifecycle for a product can be easily tr</w:t>
            </w:r>
            <w:r>
              <w:t xml:space="preserve">ansferred between stakeholders </w:t>
            </w:r>
          </w:p>
        </w:tc>
        <w:tc>
          <w:tcPr>
            <w:tcW w:w="2430" w:type="dxa"/>
            <w:shd w:val="clear" w:color="auto" w:fill="D9D9D9" w:themeFill="background1" w:themeFillShade="D9"/>
          </w:tcPr>
          <w:p w:rsidR="008B0036" w:rsidRDefault="008B0036" w:rsidP="003B2486">
            <w:pPr>
              <w:rPr>
                <w:rFonts w:eastAsiaTheme="majorEastAsia"/>
              </w:rPr>
            </w:pPr>
            <w:r>
              <w:rPr>
                <w:rFonts w:eastAsiaTheme="majorEastAsia"/>
              </w:rPr>
              <w:t>3.0</w:t>
            </w:r>
          </w:p>
        </w:tc>
        <w:tc>
          <w:tcPr>
            <w:tcW w:w="2430" w:type="dxa"/>
          </w:tcPr>
          <w:p w:rsidR="008B0036" w:rsidRDefault="00E36FA7" w:rsidP="003B2486">
            <w:pPr>
              <w:rPr>
                <w:rFonts w:eastAsiaTheme="majorEastAsia"/>
              </w:rPr>
            </w:pPr>
            <w:r>
              <w:rPr>
                <w:rFonts w:eastAsiaTheme="majorEastAsia"/>
              </w:rPr>
              <w:t>3.5</w:t>
            </w:r>
          </w:p>
        </w:tc>
        <w:tc>
          <w:tcPr>
            <w:tcW w:w="2610" w:type="dxa"/>
          </w:tcPr>
          <w:p w:rsidR="008B0036" w:rsidRDefault="00E36FA7" w:rsidP="003B2486">
            <w:pPr>
              <w:rPr>
                <w:rFonts w:eastAsiaTheme="majorEastAsia"/>
              </w:rPr>
            </w:pPr>
            <w:r>
              <w:rPr>
                <w:rFonts w:eastAsiaTheme="majorEastAsia"/>
              </w:rPr>
              <w:t>3.5</w:t>
            </w:r>
          </w:p>
        </w:tc>
        <w:tc>
          <w:tcPr>
            <w:tcW w:w="2448" w:type="dxa"/>
          </w:tcPr>
          <w:p w:rsidR="008B0036" w:rsidRDefault="00E36FA7" w:rsidP="003B2486">
            <w:pPr>
              <w:rPr>
                <w:rFonts w:eastAsiaTheme="majorEastAsia"/>
              </w:rPr>
            </w:pPr>
            <w:r>
              <w:rPr>
                <w:rFonts w:eastAsiaTheme="majorEastAsia"/>
              </w:rPr>
              <w:t>4.0</w:t>
            </w:r>
          </w:p>
        </w:tc>
      </w:tr>
      <w:tr w:rsidR="008B0036" w:rsidTr="00AC5CEE">
        <w:trPr>
          <w:cantSplit/>
        </w:trPr>
        <w:tc>
          <w:tcPr>
            <w:tcW w:w="4698" w:type="dxa"/>
          </w:tcPr>
          <w:p w:rsidR="008B0036" w:rsidRPr="007F0223" w:rsidRDefault="008B0036" w:rsidP="003B2486">
            <w:r w:rsidRPr="007D63CB">
              <w:t>When product changes result in changes to submitted documentation, facilitate more efficient analysis of which submissions and which regions w</w:t>
            </w:r>
            <w:r>
              <w:t>ould be impacted by the change.</w:t>
            </w:r>
          </w:p>
        </w:tc>
        <w:tc>
          <w:tcPr>
            <w:tcW w:w="2430" w:type="dxa"/>
            <w:shd w:val="clear" w:color="auto" w:fill="D9D9D9" w:themeFill="background1" w:themeFillShade="D9"/>
          </w:tcPr>
          <w:p w:rsidR="008B0036" w:rsidRDefault="008B0036" w:rsidP="003B2486">
            <w:pPr>
              <w:rPr>
                <w:rFonts w:eastAsiaTheme="majorEastAsia"/>
              </w:rPr>
            </w:pPr>
            <w:r>
              <w:rPr>
                <w:rFonts w:eastAsiaTheme="majorEastAsia"/>
              </w:rPr>
              <w:t>3.0</w:t>
            </w:r>
          </w:p>
        </w:tc>
        <w:tc>
          <w:tcPr>
            <w:tcW w:w="2430" w:type="dxa"/>
          </w:tcPr>
          <w:p w:rsidR="008B0036" w:rsidRDefault="00F7565B" w:rsidP="003B2486">
            <w:pPr>
              <w:rPr>
                <w:rFonts w:eastAsiaTheme="majorEastAsia"/>
              </w:rPr>
            </w:pPr>
            <w:r>
              <w:rPr>
                <w:rFonts w:eastAsiaTheme="majorEastAsia"/>
              </w:rPr>
              <w:t>3.5</w:t>
            </w:r>
          </w:p>
        </w:tc>
        <w:tc>
          <w:tcPr>
            <w:tcW w:w="2610" w:type="dxa"/>
          </w:tcPr>
          <w:p w:rsidR="008B0036" w:rsidRDefault="00F7565B" w:rsidP="003B2486">
            <w:pPr>
              <w:rPr>
                <w:rFonts w:eastAsiaTheme="majorEastAsia"/>
              </w:rPr>
            </w:pPr>
            <w:r>
              <w:rPr>
                <w:rFonts w:eastAsiaTheme="majorEastAsia"/>
              </w:rPr>
              <w:t>3.5</w:t>
            </w:r>
          </w:p>
        </w:tc>
        <w:tc>
          <w:tcPr>
            <w:tcW w:w="2448" w:type="dxa"/>
          </w:tcPr>
          <w:p w:rsidR="008B0036" w:rsidRDefault="00F7565B" w:rsidP="003B2486">
            <w:pPr>
              <w:rPr>
                <w:rFonts w:eastAsiaTheme="majorEastAsia"/>
              </w:rPr>
            </w:pPr>
            <w:r>
              <w:rPr>
                <w:rFonts w:eastAsiaTheme="majorEastAsia"/>
              </w:rPr>
              <w:t>3.5</w:t>
            </w:r>
          </w:p>
        </w:tc>
      </w:tr>
      <w:tr w:rsidR="008B0036" w:rsidTr="00AC5CEE">
        <w:trPr>
          <w:cantSplit/>
        </w:trPr>
        <w:tc>
          <w:tcPr>
            <w:tcW w:w="4698" w:type="dxa"/>
          </w:tcPr>
          <w:p w:rsidR="008B0036" w:rsidRDefault="008B0036" w:rsidP="003B2486">
            <w:pPr>
              <w:rPr>
                <w:rFonts w:eastAsiaTheme="majorEastAsia"/>
              </w:rPr>
            </w:pPr>
            <w:r w:rsidRPr="007D63CB">
              <w:t>Enable regulators and industry to consistently and clearly identify / communicate how a submission relates to previous applications</w:t>
            </w:r>
          </w:p>
        </w:tc>
        <w:tc>
          <w:tcPr>
            <w:tcW w:w="2430" w:type="dxa"/>
            <w:shd w:val="clear" w:color="auto" w:fill="D9D9D9" w:themeFill="background1" w:themeFillShade="D9"/>
          </w:tcPr>
          <w:p w:rsidR="008B0036" w:rsidRDefault="008B0036" w:rsidP="003B2486">
            <w:pPr>
              <w:rPr>
                <w:rFonts w:eastAsiaTheme="majorEastAsia"/>
              </w:rPr>
            </w:pPr>
            <w:r>
              <w:rPr>
                <w:rFonts w:eastAsiaTheme="majorEastAsia"/>
              </w:rPr>
              <w:t>3.0</w:t>
            </w:r>
          </w:p>
        </w:tc>
        <w:tc>
          <w:tcPr>
            <w:tcW w:w="2430" w:type="dxa"/>
          </w:tcPr>
          <w:p w:rsidR="008B0036" w:rsidRDefault="00F7565B" w:rsidP="003B2486">
            <w:pPr>
              <w:rPr>
                <w:rFonts w:eastAsiaTheme="majorEastAsia"/>
              </w:rPr>
            </w:pPr>
            <w:r>
              <w:rPr>
                <w:rFonts w:eastAsiaTheme="majorEastAsia"/>
              </w:rPr>
              <w:t>3.5</w:t>
            </w:r>
          </w:p>
        </w:tc>
        <w:tc>
          <w:tcPr>
            <w:tcW w:w="2610" w:type="dxa"/>
          </w:tcPr>
          <w:p w:rsidR="008B0036" w:rsidRDefault="00F7565B" w:rsidP="003B2486">
            <w:pPr>
              <w:rPr>
                <w:rFonts w:eastAsiaTheme="majorEastAsia"/>
              </w:rPr>
            </w:pPr>
            <w:r>
              <w:rPr>
                <w:rFonts w:eastAsiaTheme="majorEastAsia"/>
              </w:rPr>
              <w:t>4.3</w:t>
            </w:r>
          </w:p>
        </w:tc>
        <w:tc>
          <w:tcPr>
            <w:tcW w:w="2448" w:type="dxa"/>
          </w:tcPr>
          <w:p w:rsidR="008B0036" w:rsidRDefault="00F7565B" w:rsidP="003B2486">
            <w:pPr>
              <w:rPr>
                <w:rFonts w:eastAsiaTheme="majorEastAsia"/>
              </w:rPr>
            </w:pPr>
            <w:r>
              <w:rPr>
                <w:rFonts w:eastAsiaTheme="majorEastAsia"/>
              </w:rPr>
              <w:t>4.5</w:t>
            </w:r>
          </w:p>
        </w:tc>
      </w:tr>
      <w:tr w:rsidR="008B0036" w:rsidTr="00AC5CEE">
        <w:trPr>
          <w:cantSplit/>
        </w:trPr>
        <w:tc>
          <w:tcPr>
            <w:tcW w:w="4698" w:type="dxa"/>
          </w:tcPr>
          <w:p w:rsidR="008B0036" w:rsidRDefault="008B0036" w:rsidP="003B2486">
            <w:pPr>
              <w:rPr>
                <w:rFonts w:eastAsiaTheme="majorEastAsia"/>
              </w:rPr>
            </w:pPr>
            <w:r w:rsidRPr="007D63CB">
              <w:rPr>
                <w:szCs w:val="24"/>
              </w:rPr>
              <w:t xml:space="preserve">Enable efficient access </w:t>
            </w:r>
            <w:r>
              <w:rPr>
                <w:szCs w:val="24"/>
              </w:rPr>
              <w:t xml:space="preserve">(for appropriate parties) to </w:t>
            </w:r>
            <w:r w:rsidRPr="007D63CB">
              <w:rPr>
                <w:szCs w:val="24"/>
              </w:rPr>
              <w:t>information provided electronically in submissions</w:t>
            </w:r>
          </w:p>
        </w:tc>
        <w:tc>
          <w:tcPr>
            <w:tcW w:w="2430" w:type="dxa"/>
            <w:shd w:val="clear" w:color="auto" w:fill="D9D9D9" w:themeFill="background1" w:themeFillShade="D9"/>
          </w:tcPr>
          <w:p w:rsidR="008B0036" w:rsidRDefault="008B0036" w:rsidP="003B2486">
            <w:pPr>
              <w:rPr>
                <w:rFonts w:eastAsiaTheme="majorEastAsia"/>
              </w:rPr>
            </w:pPr>
            <w:r>
              <w:rPr>
                <w:rFonts w:eastAsiaTheme="majorEastAsia"/>
              </w:rPr>
              <w:t>3.0</w:t>
            </w:r>
          </w:p>
        </w:tc>
        <w:tc>
          <w:tcPr>
            <w:tcW w:w="2430" w:type="dxa"/>
          </w:tcPr>
          <w:p w:rsidR="008B0036" w:rsidRDefault="00F7565B" w:rsidP="003B2486">
            <w:pPr>
              <w:rPr>
                <w:rFonts w:eastAsiaTheme="majorEastAsia"/>
              </w:rPr>
            </w:pPr>
            <w:r>
              <w:rPr>
                <w:rFonts w:eastAsiaTheme="majorEastAsia"/>
              </w:rPr>
              <w:t>4.0</w:t>
            </w:r>
          </w:p>
        </w:tc>
        <w:tc>
          <w:tcPr>
            <w:tcW w:w="2610" w:type="dxa"/>
          </w:tcPr>
          <w:p w:rsidR="008B0036" w:rsidRDefault="00F7565B" w:rsidP="003B2486">
            <w:pPr>
              <w:rPr>
                <w:rFonts w:eastAsiaTheme="majorEastAsia"/>
              </w:rPr>
            </w:pPr>
            <w:r>
              <w:rPr>
                <w:rFonts w:eastAsiaTheme="majorEastAsia"/>
              </w:rPr>
              <w:t>4.0</w:t>
            </w:r>
          </w:p>
        </w:tc>
        <w:tc>
          <w:tcPr>
            <w:tcW w:w="2448" w:type="dxa"/>
          </w:tcPr>
          <w:p w:rsidR="008B0036" w:rsidRDefault="00F7565B" w:rsidP="003B2486">
            <w:pPr>
              <w:rPr>
                <w:rFonts w:eastAsiaTheme="majorEastAsia"/>
              </w:rPr>
            </w:pPr>
            <w:r>
              <w:rPr>
                <w:rFonts w:eastAsiaTheme="majorEastAsia"/>
              </w:rPr>
              <w:t>4.0</w:t>
            </w:r>
          </w:p>
        </w:tc>
      </w:tr>
      <w:tr w:rsidR="008B0036" w:rsidTr="00AC5CEE">
        <w:trPr>
          <w:cantSplit/>
        </w:trPr>
        <w:tc>
          <w:tcPr>
            <w:tcW w:w="4698" w:type="dxa"/>
          </w:tcPr>
          <w:p w:rsidR="008B0036" w:rsidRDefault="008B0036" w:rsidP="003B2486">
            <w:pPr>
              <w:rPr>
                <w:rFonts w:eastAsiaTheme="majorEastAsia"/>
              </w:rPr>
            </w:pPr>
            <w:r w:rsidRPr="00A65750">
              <w:rPr>
                <w:szCs w:val="24"/>
              </w:rPr>
              <w:t xml:space="preserve">Enable a solution for electronic storage of product submissions </w:t>
            </w:r>
          </w:p>
        </w:tc>
        <w:tc>
          <w:tcPr>
            <w:tcW w:w="2430" w:type="dxa"/>
            <w:shd w:val="clear" w:color="auto" w:fill="D9D9D9" w:themeFill="background1" w:themeFillShade="D9"/>
          </w:tcPr>
          <w:p w:rsidR="008B0036" w:rsidRDefault="008B0036" w:rsidP="003B2486">
            <w:pPr>
              <w:rPr>
                <w:rFonts w:eastAsiaTheme="majorEastAsia"/>
              </w:rPr>
            </w:pPr>
            <w:r>
              <w:rPr>
                <w:rFonts w:eastAsiaTheme="majorEastAsia"/>
              </w:rPr>
              <w:t>3.0</w:t>
            </w:r>
          </w:p>
        </w:tc>
        <w:tc>
          <w:tcPr>
            <w:tcW w:w="2430" w:type="dxa"/>
          </w:tcPr>
          <w:p w:rsidR="008B0036" w:rsidRDefault="00F7565B" w:rsidP="003B2486">
            <w:pPr>
              <w:rPr>
                <w:rFonts w:eastAsiaTheme="majorEastAsia"/>
              </w:rPr>
            </w:pPr>
            <w:r>
              <w:rPr>
                <w:rFonts w:eastAsiaTheme="majorEastAsia"/>
              </w:rPr>
              <w:t>3.5</w:t>
            </w:r>
          </w:p>
        </w:tc>
        <w:tc>
          <w:tcPr>
            <w:tcW w:w="2610" w:type="dxa"/>
          </w:tcPr>
          <w:p w:rsidR="008B0036" w:rsidRDefault="00F7565B" w:rsidP="003B2486">
            <w:pPr>
              <w:rPr>
                <w:rFonts w:eastAsiaTheme="majorEastAsia"/>
              </w:rPr>
            </w:pPr>
            <w:r>
              <w:rPr>
                <w:rFonts w:eastAsiaTheme="majorEastAsia"/>
              </w:rPr>
              <w:t>3.5</w:t>
            </w:r>
          </w:p>
        </w:tc>
        <w:tc>
          <w:tcPr>
            <w:tcW w:w="2448" w:type="dxa"/>
          </w:tcPr>
          <w:p w:rsidR="008B0036" w:rsidRDefault="00F7565B" w:rsidP="003B2486">
            <w:pPr>
              <w:rPr>
                <w:rFonts w:eastAsiaTheme="majorEastAsia"/>
              </w:rPr>
            </w:pPr>
            <w:r>
              <w:rPr>
                <w:rFonts w:eastAsiaTheme="majorEastAsia"/>
              </w:rPr>
              <w:t>3.5</w:t>
            </w:r>
          </w:p>
        </w:tc>
      </w:tr>
      <w:tr w:rsidR="008B0036" w:rsidTr="00AC5CEE">
        <w:trPr>
          <w:cantSplit/>
        </w:trPr>
        <w:tc>
          <w:tcPr>
            <w:tcW w:w="4698" w:type="dxa"/>
          </w:tcPr>
          <w:p w:rsidR="008B0036" w:rsidRDefault="008B0036" w:rsidP="003B2486">
            <w:pPr>
              <w:rPr>
                <w:rFonts w:eastAsiaTheme="majorEastAsia"/>
              </w:rPr>
            </w:pPr>
            <w:r w:rsidRPr="007D63CB">
              <w:rPr>
                <w:szCs w:val="24"/>
              </w:rPr>
              <w:lastRenderedPageBreak/>
              <w:t xml:space="preserve">Enable efficient </w:t>
            </w:r>
            <w:r w:rsidRPr="00A65750">
              <w:rPr>
                <w:szCs w:val="24"/>
              </w:rPr>
              <w:t xml:space="preserve">simultaneous </w:t>
            </w:r>
            <w:r w:rsidRPr="00F52C03">
              <w:rPr>
                <w:szCs w:val="24"/>
              </w:rPr>
              <w:t>access to information (</w:t>
            </w:r>
            <w:r w:rsidRPr="00C5250F">
              <w:rPr>
                <w:szCs w:val="24"/>
              </w:rPr>
              <w:t>for reviewers) provided electronically in submissions</w:t>
            </w:r>
            <w:r w:rsidRPr="00C5250F" w:rsidDel="00222780">
              <w:rPr>
                <w:szCs w:val="24"/>
              </w:rPr>
              <w:t xml:space="preserve"> </w:t>
            </w:r>
          </w:p>
        </w:tc>
        <w:tc>
          <w:tcPr>
            <w:tcW w:w="2430" w:type="dxa"/>
            <w:shd w:val="clear" w:color="auto" w:fill="D9D9D9" w:themeFill="background1" w:themeFillShade="D9"/>
          </w:tcPr>
          <w:p w:rsidR="008B0036" w:rsidRDefault="008B0036" w:rsidP="003B2486">
            <w:pPr>
              <w:rPr>
                <w:rFonts w:eastAsiaTheme="majorEastAsia"/>
              </w:rPr>
            </w:pPr>
            <w:r>
              <w:rPr>
                <w:rFonts w:eastAsiaTheme="majorEastAsia"/>
              </w:rPr>
              <w:t>3.0</w:t>
            </w:r>
          </w:p>
        </w:tc>
        <w:tc>
          <w:tcPr>
            <w:tcW w:w="2430" w:type="dxa"/>
            <w:shd w:val="clear" w:color="auto" w:fill="D9D9D9" w:themeFill="background1" w:themeFillShade="D9"/>
          </w:tcPr>
          <w:p w:rsidR="008B0036" w:rsidRDefault="00F7565B" w:rsidP="003B2486">
            <w:pPr>
              <w:rPr>
                <w:rFonts w:eastAsiaTheme="majorEastAsia"/>
              </w:rPr>
            </w:pPr>
            <w:r>
              <w:rPr>
                <w:rFonts w:eastAsiaTheme="majorEastAsia"/>
              </w:rPr>
              <w:t>3.0</w:t>
            </w:r>
          </w:p>
        </w:tc>
        <w:tc>
          <w:tcPr>
            <w:tcW w:w="2610" w:type="dxa"/>
            <w:shd w:val="clear" w:color="auto" w:fill="D9D9D9" w:themeFill="background1" w:themeFillShade="D9"/>
          </w:tcPr>
          <w:p w:rsidR="008B0036" w:rsidRDefault="00F7565B" w:rsidP="003B2486">
            <w:pPr>
              <w:rPr>
                <w:rFonts w:eastAsiaTheme="majorEastAsia"/>
              </w:rPr>
            </w:pPr>
            <w:r>
              <w:rPr>
                <w:rFonts w:eastAsiaTheme="majorEastAsia"/>
              </w:rPr>
              <w:t>3.0</w:t>
            </w:r>
          </w:p>
        </w:tc>
        <w:tc>
          <w:tcPr>
            <w:tcW w:w="2448" w:type="dxa"/>
            <w:shd w:val="clear" w:color="auto" w:fill="D9D9D9" w:themeFill="background1" w:themeFillShade="D9"/>
          </w:tcPr>
          <w:p w:rsidR="008B0036" w:rsidRDefault="00F7565B" w:rsidP="003B2486">
            <w:pPr>
              <w:rPr>
                <w:rFonts w:eastAsiaTheme="majorEastAsia"/>
              </w:rPr>
            </w:pPr>
            <w:r>
              <w:rPr>
                <w:rFonts w:eastAsiaTheme="majorEastAsia"/>
              </w:rPr>
              <w:t>3.0</w:t>
            </w:r>
          </w:p>
        </w:tc>
      </w:tr>
      <w:tr w:rsidR="00F7565B" w:rsidTr="00AC5CEE">
        <w:trPr>
          <w:cantSplit/>
        </w:trPr>
        <w:tc>
          <w:tcPr>
            <w:tcW w:w="4698" w:type="dxa"/>
          </w:tcPr>
          <w:p w:rsidR="00F7565B" w:rsidRPr="00A65750" w:rsidRDefault="00F7565B" w:rsidP="003B2486">
            <w:pPr>
              <w:rPr>
                <w:szCs w:val="24"/>
              </w:rPr>
            </w:pPr>
            <w:r w:rsidRPr="00C849A0">
              <w:rPr>
                <w:szCs w:val="24"/>
              </w:rPr>
              <w:t>Enable reduction of resources / time required for manual login (data entry, record creation) of submissions</w:t>
            </w:r>
          </w:p>
          <w:p w:rsidR="00F7565B" w:rsidRPr="00C5250F" w:rsidRDefault="00F7565B" w:rsidP="003B2486">
            <w:pPr>
              <w:rPr>
                <w:szCs w:val="24"/>
              </w:rPr>
            </w:pPr>
            <w:r w:rsidRPr="00F52C03">
              <w:rPr>
                <w:szCs w:val="24"/>
              </w:rPr>
              <w:t>Note:  This objective would require the collection of structured data values from indu</w:t>
            </w:r>
            <w:r w:rsidRPr="00C5250F">
              <w:rPr>
                <w:szCs w:val="24"/>
              </w:rPr>
              <w:t>stry</w:t>
            </w:r>
          </w:p>
          <w:p w:rsidR="00F7565B" w:rsidRDefault="00F7565B" w:rsidP="003B2486">
            <w:pPr>
              <w:rPr>
                <w:rFonts w:eastAsiaTheme="majorEastAsia"/>
              </w:rPr>
            </w:pPr>
          </w:p>
        </w:tc>
        <w:tc>
          <w:tcPr>
            <w:tcW w:w="2430" w:type="dxa"/>
            <w:shd w:val="clear" w:color="auto" w:fill="D9D9D9" w:themeFill="background1" w:themeFillShade="D9"/>
          </w:tcPr>
          <w:p w:rsidR="00F7565B" w:rsidRDefault="00F7565B" w:rsidP="003B2486">
            <w:pPr>
              <w:rPr>
                <w:rFonts w:eastAsiaTheme="majorEastAsia"/>
              </w:rPr>
            </w:pPr>
            <w:r>
              <w:rPr>
                <w:rFonts w:eastAsiaTheme="majorEastAsia"/>
              </w:rPr>
              <w:t>3.0</w:t>
            </w:r>
          </w:p>
        </w:tc>
        <w:tc>
          <w:tcPr>
            <w:tcW w:w="2430" w:type="dxa"/>
            <w:shd w:val="clear" w:color="auto" w:fill="D9D9D9" w:themeFill="background1" w:themeFillShade="D9"/>
          </w:tcPr>
          <w:p w:rsidR="00F7565B" w:rsidRDefault="00F7565B" w:rsidP="003B2486">
            <w:pPr>
              <w:rPr>
                <w:rFonts w:eastAsiaTheme="majorEastAsia"/>
              </w:rPr>
            </w:pPr>
            <w:r>
              <w:rPr>
                <w:rFonts w:eastAsiaTheme="majorEastAsia"/>
              </w:rPr>
              <w:t>3.0</w:t>
            </w:r>
          </w:p>
        </w:tc>
        <w:tc>
          <w:tcPr>
            <w:tcW w:w="2610" w:type="dxa"/>
            <w:shd w:val="clear" w:color="auto" w:fill="D9D9D9" w:themeFill="background1" w:themeFillShade="D9"/>
          </w:tcPr>
          <w:p w:rsidR="00F7565B" w:rsidRDefault="00F7565B" w:rsidP="003B2486">
            <w:pPr>
              <w:rPr>
                <w:rFonts w:eastAsiaTheme="majorEastAsia"/>
              </w:rPr>
            </w:pPr>
            <w:r>
              <w:rPr>
                <w:rFonts w:eastAsiaTheme="majorEastAsia"/>
              </w:rPr>
              <w:t>3.0</w:t>
            </w:r>
          </w:p>
        </w:tc>
        <w:tc>
          <w:tcPr>
            <w:tcW w:w="2448" w:type="dxa"/>
            <w:shd w:val="clear" w:color="auto" w:fill="D9D9D9" w:themeFill="background1" w:themeFillShade="D9"/>
          </w:tcPr>
          <w:p w:rsidR="00F7565B" w:rsidRDefault="00F7565B" w:rsidP="003B2486">
            <w:pPr>
              <w:rPr>
                <w:rFonts w:eastAsiaTheme="majorEastAsia"/>
              </w:rPr>
            </w:pPr>
            <w:r>
              <w:rPr>
                <w:rFonts w:eastAsiaTheme="majorEastAsia"/>
              </w:rPr>
              <w:t>3.0</w:t>
            </w:r>
          </w:p>
        </w:tc>
      </w:tr>
      <w:tr w:rsidR="00F7565B" w:rsidTr="00AC5CEE">
        <w:trPr>
          <w:cantSplit/>
        </w:trPr>
        <w:tc>
          <w:tcPr>
            <w:tcW w:w="4698" w:type="dxa"/>
          </w:tcPr>
          <w:p w:rsidR="00F7565B" w:rsidRPr="00F52C03" w:rsidRDefault="00F7565B" w:rsidP="003B2486">
            <w:pPr>
              <w:rPr>
                <w:szCs w:val="24"/>
              </w:rPr>
            </w:pPr>
            <w:r w:rsidRPr="00A65750">
              <w:rPr>
                <w:szCs w:val="24"/>
              </w:rPr>
              <w:t xml:space="preserve">Provide a way to automatically identify the current review status of a submission.  </w:t>
            </w:r>
          </w:p>
          <w:p w:rsidR="00F7565B" w:rsidRPr="00F52C03" w:rsidRDefault="00F7565B" w:rsidP="003B2486">
            <w:pPr>
              <w:rPr>
                <w:szCs w:val="24"/>
              </w:rPr>
            </w:pPr>
          </w:p>
          <w:p w:rsidR="00F7565B" w:rsidRPr="00C849A0" w:rsidRDefault="00F7565B" w:rsidP="003B2486">
            <w:pPr>
              <w:rPr>
                <w:szCs w:val="24"/>
              </w:rPr>
            </w:pPr>
          </w:p>
          <w:p w:rsidR="00F7565B" w:rsidRDefault="00F7565B" w:rsidP="003B2486">
            <w:pPr>
              <w:rPr>
                <w:rFonts w:eastAsiaTheme="majorEastAsia"/>
              </w:rPr>
            </w:pPr>
          </w:p>
        </w:tc>
        <w:tc>
          <w:tcPr>
            <w:tcW w:w="2430" w:type="dxa"/>
            <w:shd w:val="clear" w:color="auto" w:fill="D9D9D9" w:themeFill="background1" w:themeFillShade="D9"/>
          </w:tcPr>
          <w:p w:rsidR="00F7565B" w:rsidRDefault="00F7565B" w:rsidP="003B2486">
            <w:pPr>
              <w:rPr>
                <w:rFonts w:eastAsiaTheme="majorEastAsia"/>
              </w:rPr>
            </w:pPr>
            <w:r>
              <w:rPr>
                <w:rFonts w:eastAsiaTheme="majorEastAsia"/>
              </w:rPr>
              <w:t>3.0</w:t>
            </w:r>
          </w:p>
        </w:tc>
        <w:tc>
          <w:tcPr>
            <w:tcW w:w="2430" w:type="dxa"/>
          </w:tcPr>
          <w:p w:rsidR="00F7565B" w:rsidRDefault="00F7565B" w:rsidP="003B2486">
            <w:pPr>
              <w:rPr>
                <w:rFonts w:eastAsiaTheme="majorEastAsia"/>
              </w:rPr>
            </w:pPr>
            <w:r>
              <w:rPr>
                <w:rFonts w:eastAsiaTheme="majorEastAsia"/>
              </w:rPr>
              <w:t>3.0</w:t>
            </w:r>
          </w:p>
        </w:tc>
        <w:tc>
          <w:tcPr>
            <w:tcW w:w="2610" w:type="dxa"/>
          </w:tcPr>
          <w:p w:rsidR="00F7565B" w:rsidRDefault="00F7565B" w:rsidP="003B2486">
            <w:pPr>
              <w:rPr>
                <w:rFonts w:eastAsiaTheme="majorEastAsia"/>
              </w:rPr>
            </w:pPr>
            <w:r>
              <w:rPr>
                <w:rFonts w:eastAsiaTheme="majorEastAsia"/>
              </w:rPr>
              <w:t>3.5</w:t>
            </w:r>
          </w:p>
        </w:tc>
        <w:tc>
          <w:tcPr>
            <w:tcW w:w="2448" w:type="dxa"/>
          </w:tcPr>
          <w:p w:rsidR="00F7565B" w:rsidRDefault="00F7565B" w:rsidP="003B2486">
            <w:pPr>
              <w:rPr>
                <w:rFonts w:eastAsiaTheme="majorEastAsia"/>
              </w:rPr>
            </w:pPr>
            <w:r>
              <w:rPr>
                <w:rFonts w:eastAsiaTheme="majorEastAsia"/>
              </w:rPr>
              <w:t>3.5</w:t>
            </w:r>
          </w:p>
        </w:tc>
      </w:tr>
      <w:tr w:rsidR="00F7565B" w:rsidTr="00AC5CEE">
        <w:trPr>
          <w:cantSplit/>
        </w:trPr>
        <w:tc>
          <w:tcPr>
            <w:tcW w:w="4698" w:type="dxa"/>
          </w:tcPr>
          <w:p w:rsidR="00F7565B" w:rsidRDefault="00F7565B" w:rsidP="003B2486">
            <w:pPr>
              <w:rPr>
                <w:rFonts w:eastAsiaTheme="majorEastAsia"/>
              </w:rPr>
            </w:pPr>
            <w:r>
              <w:rPr>
                <w:szCs w:val="24"/>
              </w:rPr>
              <w:t>Provide a way to maintain the lifecycle of an Application over time when the regulation changes result in TOC variance between submissions.</w:t>
            </w:r>
          </w:p>
        </w:tc>
        <w:tc>
          <w:tcPr>
            <w:tcW w:w="2430" w:type="dxa"/>
            <w:shd w:val="clear" w:color="auto" w:fill="D9D9D9" w:themeFill="background1" w:themeFillShade="D9"/>
          </w:tcPr>
          <w:p w:rsidR="00F7565B" w:rsidRDefault="00F7565B" w:rsidP="003B2486">
            <w:pPr>
              <w:rPr>
                <w:rFonts w:eastAsiaTheme="majorEastAsia"/>
              </w:rPr>
            </w:pPr>
            <w:r>
              <w:rPr>
                <w:rFonts w:eastAsiaTheme="majorEastAsia"/>
              </w:rPr>
              <w:t>3.0</w:t>
            </w:r>
          </w:p>
        </w:tc>
        <w:tc>
          <w:tcPr>
            <w:tcW w:w="2430" w:type="dxa"/>
          </w:tcPr>
          <w:p w:rsidR="00F7565B" w:rsidRDefault="007A2B28" w:rsidP="003B2486">
            <w:pPr>
              <w:rPr>
                <w:rFonts w:eastAsiaTheme="majorEastAsia"/>
              </w:rPr>
            </w:pPr>
            <w:r>
              <w:rPr>
                <w:rFonts w:eastAsiaTheme="majorEastAsia"/>
              </w:rPr>
              <w:t>3.5</w:t>
            </w:r>
          </w:p>
        </w:tc>
        <w:tc>
          <w:tcPr>
            <w:tcW w:w="2610" w:type="dxa"/>
          </w:tcPr>
          <w:p w:rsidR="00F7565B" w:rsidRDefault="007A2B28" w:rsidP="003B2486">
            <w:pPr>
              <w:rPr>
                <w:rFonts w:eastAsiaTheme="majorEastAsia"/>
              </w:rPr>
            </w:pPr>
            <w:r>
              <w:rPr>
                <w:rFonts w:eastAsiaTheme="majorEastAsia"/>
              </w:rPr>
              <w:t>4.0</w:t>
            </w:r>
          </w:p>
        </w:tc>
        <w:tc>
          <w:tcPr>
            <w:tcW w:w="2448" w:type="dxa"/>
          </w:tcPr>
          <w:p w:rsidR="00F7565B" w:rsidRDefault="00F7565B" w:rsidP="003B2486">
            <w:pPr>
              <w:rPr>
                <w:rFonts w:eastAsiaTheme="majorEastAsia"/>
              </w:rPr>
            </w:pPr>
            <w:r>
              <w:rPr>
                <w:rFonts w:eastAsiaTheme="majorEastAsia"/>
              </w:rPr>
              <w:t>3.8</w:t>
            </w:r>
          </w:p>
        </w:tc>
      </w:tr>
      <w:tr w:rsidR="00F7565B" w:rsidTr="00AC5CEE">
        <w:trPr>
          <w:cantSplit/>
        </w:trPr>
        <w:tc>
          <w:tcPr>
            <w:tcW w:w="4698" w:type="dxa"/>
          </w:tcPr>
          <w:p w:rsidR="00F7565B" w:rsidRDefault="00F7565B" w:rsidP="003B2486">
            <w:pPr>
              <w:rPr>
                <w:rFonts w:eastAsiaTheme="majorEastAsia"/>
              </w:rPr>
            </w:pPr>
            <w:r>
              <w:rPr>
                <w:rFonts w:eastAsiaTheme="majorEastAsia"/>
              </w:rPr>
              <w:t>Cost to maintain the solution.  This includes consideration of resources to manage day to day submission activity, and effort to provide governance over time</w:t>
            </w:r>
          </w:p>
        </w:tc>
        <w:tc>
          <w:tcPr>
            <w:tcW w:w="2430" w:type="dxa"/>
            <w:shd w:val="clear" w:color="auto" w:fill="D9D9D9" w:themeFill="background1" w:themeFillShade="D9"/>
          </w:tcPr>
          <w:p w:rsidR="00F7565B" w:rsidRDefault="00F7565B" w:rsidP="003B2486">
            <w:pPr>
              <w:rPr>
                <w:rFonts w:eastAsiaTheme="majorEastAsia"/>
              </w:rPr>
            </w:pPr>
            <w:r>
              <w:rPr>
                <w:rFonts w:eastAsiaTheme="majorEastAsia"/>
              </w:rPr>
              <w:t>3.0</w:t>
            </w:r>
          </w:p>
        </w:tc>
        <w:tc>
          <w:tcPr>
            <w:tcW w:w="2430" w:type="dxa"/>
          </w:tcPr>
          <w:p w:rsidR="00F7565B" w:rsidRDefault="00F7565B" w:rsidP="003B2486">
            <w:pPr>
              <w:rPr>
                <w:rFonts w:eastAsiaTheme="majorEastAsia"/>
              </w:rPr>
            </w:pPr>
            <w:r>
              <w:rPr>
                <w:rFonts w:eastAsiaTheme="majorEastAsia"/>
              </w:rPr>
              <w:t>3.0</w:t>
            </w:r>
          </w:p>
        </w:tc>
        <w:tc>
          <w:tcPr>
            <w:tcW w:w="2610" w:type="dxa"/>
          </w:tcPr>
          <w:p w:rsidR="00F7565B" w:rsidRDefault="007A2B28" w:rsidP="003B2486">
            <w:pPr>
              <w:rPr>
                <w:rFonts w:eastAsiaTheme="majorEastAsia"/>
              </w:rPr>
            </w:pPr>
            <w:r>
              <w:rPr>
                <w:rFonts w:eastAsiaTheme="majorEastAsia"/>
              </w:rPr>
              <w:t>1.0</w:t>
            </w:r>
          </w:p>
        </w:tc>
        <w:tc>
          <w:tcPr>
            <w:tcW w:w="2448" w:type="dxa"/>
          </w:tcPr>
          <w:p w:rsidR="00F7565B" w:rsidRDefault="007A2B28" w:rsidP="003B2486">
            <w:pPr>
              <w:rPr>
                <w:rFonts w:eastAsiaTheme="majorEastAsia"/>
              </w:rPr>
            </w:pPr>
            <w:r>
              <w:rPr>
                <w:rFonts w:eastAsiaTheme="majorEastAsia"/>
              </w:rPr>
              <w:t>3.0</w:t>
            </w:r>
          </w:p>
        </w:tc>
      </w:tr>
      <w:tr w:rsidR="007A2B28" w:rsidTr="00AC5CEE">
        <w:trPr>
          <w:cantSplit/>
        </w:trPr>
        <w:tc>
          <w:tcPr>
            <w:tcW w:w="4698" w:type="dxa"/>
          </w:tcPr>
          <w:p w:rsidR="007A2B28" w:rsidRDefault="007A2B28" w:rsidP="003B2486">
            <w:pPr>
              <w:rPr>
                <w:rFonts w:eastAsiaTheme="majorEastAsia"/>
              </w:rPr>
            </w:pPr>
            <w:r>
              <w:rPr>
                <w:rFonts w:eastAsiaTheme="majorEastAsia"/>
              </w:rPr>
              <w:t>Cost to maintain the standard</w:t>
            </w:r>
          </w:p>
        </w:tc>
        <w:tc>
          <w:tcPr>
            <w:tcW w:w="2430" w:type="dxa"/>
            <w:shd w:val="clear" w:color="auto" w:fill="D9D9D9" w:themeFill="background1" w:themeFillShade="D9"/>
          </w:tcPr>
          <w:p w:rsidR="007A2B28" w:rsidRDefault="007A2B28" w:rsidP="003B2486">
            <w:pPr>
              <w:rPr>
                <w:rFonts w:eastAsiaTheme="majorEastAsia"/>
              </w:rPr>
            </w:pPr>
            <w:r>
              <w:rPr>
                <w:rFonts w:eastAsiaTheme="majorEastAsia"/>
              </w:rPr>
              <w:t>3.0</w:t>
            </w:r>
          </w:p>
        </w:tc>
        <w:tc>
          <w:tcPr>
            <w:tcW w:w="2430" w:type="dxa"/>
          </w:tcPr>
          <w:p w:rsidR="007A2B28" w:rsidRDefault="007A2B28" w:rsidP="003B2486">
            <w:pPr>
              <w:rPr>
                <w:rFonts w:eastAsiaTheme="majorEastAsia"/>
              </w:rPr>
            </w:pPr>
            <w:r>
              <w:rPr>
                <w:rFonts w:eastAsiaTheme="majorEastAsia"/>
              </w:rPr>
              <w:t>3.0</w:t>
            </w:r>
          </w:p>
        </w:tc>
        <w:tc>
          <w:tcPr>
            <w:tcW w:w="2610" w:type="dxa"/>
          </w:tcPr>
          <w:p w:rsidR="007A2B28" w:rsidRDefault="007A2B28" w:rsidP="003B2486">
            <w:pPr>
              <w:rPr>
                <w:rFonts w:eastAsiaTheme="majorEastAsia"/>
              </w:rPr>
            </w:pPr>
            <w:r>
              <w:rPr>
                <w:rFonts w:eastAsiaTheme="majorEastAsia"/>
              </w:rPr>
              <w:t>1.0</w:t>
            </w:r>
          </w:p>
        </w:tc>
        <w:tc>
          <w:tcPr>
            <w:tcW w:w="2448" w:type="dxa"/>
          </w:tcPr>
          <w:p w:rsidR="007A2B28" w:rsidRDefault="007A2B28" w:rsidP="003B2486">
            <w:pPr>
              <w:rPr>
                <w:rFonts w:eastAsiaTheme="majorEastAsia"/>
              </w:rPr>
            </w:pPr>
            <w:r>
              <w:rPr>
                <w:rFonts w:eastAsiaTheme="majorEastAsia"/>
              </w:rPr>
              <w:t>3.0</w:t>
            </w:r>
          </w:p>
        </w:tc>
      </w:tr>
      <w:tr w:rsidR="000F7C19" w:rsidTr="00AC5CEE">
        <w:trPr>
          <w:cantSplit/>
        </w:trPr>
        <w:tc>
          <w:tcPr>
            <w:tcW w:w="4698" w:type="dxa"/>
          </w:tcPr>
          <w:p w:rsidR="000F7C19" w:rsidRPr="007F0223" w:rsidRDefault="000F7C19" w:rsidP="003B2486">
            <w:pPr>
              <w:jc w:val="right"/>
              <w:rPr>
                <w:rFonts w:eastAsiaTheme="majorEastAsia"/>
                <w:b/>
              </w:rPr>
            </w:pPr>
            <w:r w:rsidRPr="007F0223">
              <w:rPr>
                <w:rFonts w:eastAsiaTheme="majorEastAsia"/>
                <w:b/>
              </w:rPr>
              <w:t>TOTAL SCORE</w:t>
            </w:r>
          </w:p>
        </w:tc>
        <w:tc>
          <w:tcPr>
            <w:tcW w:w="2430" w:type="dxa"/>
            <w:shd w:val="clear" w:color="auto" w:fill="BFBFBF" w:themeFill="background1" w:themeFillShade="BF"/>
          </w:tcPr>
          <w:p w:rsidR="000F7C19" w:rsidRPr="00FE2C6D" w:rsidRDefault="00457214" w:rsidP="003B2486">
            <w:pPr>
              <w:rPr>
                <w:rFonts w:eastAsiaTheme="majorEastAsia"/>
              </w:rPr>
            </w:pPr>
            <w:r>
              <w:rPr>
                <w:rFonts w:eastAsiaTheme="majorEastAsia"/>
              </w:rPr>
              <w:t>45.0</w:t>
            </w:r>
          </w:p>
        </w:tc>
        <w:tc>
          <w:tcPr>
            <w:tcW w:w="2430" w:type="dxa"/>
            <w:shd w:val="clear" w:color="auto" w:fill="BFBFBF" w:themeFill="background1" w:themeFillShade="BF"/>
          </w:tcPr>
          <w:p w:rsidR="000F7C19" w:rsidRDefault="00457214" w:rsidP="003B2486">
            <w:pPr>
              <w:rPr>
                <w:rFonts w:eastAsiaTheme="majorEastAsia"/>
              </w:rPr>
            </w:pPr>
            <w:r>
              <w:rPr>
                <w:rFonts w:eastAsiaTheme="majorEastAsia"/>
              </w:rPr>
              <w:t>50.0</w:t>
            </w:r>
          </w:p>
        </w:tc>
        <w:tc>
          <w:tcPr>
            <w:tcW w:w="2610" w:type="dxa"/>
            <w:shd w:val="clear" w:color="auto" w:fill="BFBFBF" w:themeFill="background1" w:themeFillShade="BF"/>
          </w:tcPr>
          <w:p w:rsidR="000F7C19" w:rsidRDefault="00457214" w:rsidP="003B2486">
            <w:pPr>
              <w:rPr>
                <w:rFonts w:eastAsiaTheme="majorEastAsia"/>
              </w:rPr>
            </w:pPr>
            <w:r>
              <w:rPr>
                <w:rFonts w:eastAsiaTheme="majorEastAsia"/>
              </w:rPr>
              <w:t>48.5</w:t>
            </w:r>
          </w:p>
        </w:tc>
        <w:tc>
          <w:tcPr>
            <w:tcW w:w="2448" w:type="dxa"/>
            <w:shd w:val="clear" w:color="auto" w:fill="BFBFBF" w:themeFill="background1" w:themeFillShade="BF"/>
          </w:tcPr>
          <w:p w:rsidR="000F7C19" w:rsidRDefault="00457214" w:rsidP="003B2486">
            <w:pPr>
              <w:rPr>
                <w:rFonts w:eastAsiaTheme="majorEastAsia"/>
              </w:rPr>
            </w:pPr>
            <w:r>
              <w:rPr>
                <w:rFonts w:eastAsiaTheme="majorEastAsia"/>
              </w:rPr>
              <w:t>54.3</w:t>
            </w:r>
          </w:p>
        </w:tc>
      </w:tr>
      <w:tr w:rsidR="000F7C19" w:rsidTr="00AC5CEE">
        <w:trPr>
          <w:cantSplit/>
        </w:trPr>
        <w:tc>
          <w:tcPr>
            <w:tcW w:w="4698" w:type="dxa"/>
          </w:tcPr>
          <w:p w:rsidR="000F7C19" w:rsidRPr="007F0223" w:rsidRDefault="000F7C19" w:rsidP="003B2486">
            <w:pPr>
              <w:jc w:val="right"/>
              <w:rPr>
                <w:rFonts w:eastAsiaTheme="majorEastAsia"/>
                <w:b/>
              </w:rPr>
            </w:pPr>
            <w:r w:rsidRPr="007F0223">
              <w:rPr>
                <w:rFonts w:eastAsiaTheme="majorEastAsia"/>
                <w:b/>
              </w:rPr>
              <w:t>AVERAGE SCORE</w:t>
            </w:r>
          </w:p>
        </w:tc>
        <w:tc>
          <w:tcPr>
            <w:tcW w:w="2430" w:type="dxa"/>
            <w:shd w:val="clear" w:color="auto" w:fill="BFBFBF" w:themeFill="background1" w:themeFillShade="BF"/>
          </w:tcPr>
          <w:p w:rsidR="000F7C19" w:rsidRPr="00FE2C6D" w:rsidRDefault="00457214" w:rsidP="003B2486">
            <w:pPr>
              <w:rPr>
                <w:rFonts w:eastAsiaTheme="majorEastAsia"/>
              </w:rPr>
            </w:pPr>
            <w:r>
              <w:rPr>
                <w:rFonts w:eastAsiaTheme="majorEastAsia"/>
              </w:rPr>
              <w:t>3.0</w:t>
            </w:r>
          </w:p>
        </w:tc>
        <w:tc>
          <w:tcPr>
            <w:tcW w:w="2430" w:type="dxa"/>
            <w:shd w:val="clear" w:color="auto" w:fill="BFBFBF" w:themeFill="background1" w:themeFillShade="BF"/>
          </w:tcPr>
          <w:p w:rsidR="000F7C19" w:rsidRDefault="00457214" w:rsidP="003B2486">
            <w:pPr>
              <w:rPr>
                <w:rFonts w:eastAsiaTheme="majorEastAsia"/>
              </w:rPr>
            </w:pPr>
            <w:r>
              <w:rPr>
                <w:rFonts w:eastAsiaTheme="majorEastAsia"/>
              </w:rPr>
              <w:t>3.3</w:t>
            </w:r>
          </w:p>
        </w:tc>
        <w:tc>
          <w:tcPr>
            <w:tcW w:w="2610" w:type="dxa"/>
            <w:shd w:val="clear" w:color="auto" w:fill="BFBFBF" w:themeFill="background1" w:themeFillShade="BF"/>
          </w:tcPr>
          <w:p w:rsidR="000F7C19" w:rsidRDefault="00457214" w:rsidP="003B2486">
            <w:pPr>
              <w:rPr>
                <w:rFonts w:eastAsiaTheme="majorEastAsia"/>
              </w:rPr>
            </w:pPr>
            <w:r>
              <w:rPr>
                <w:rFonts w:eastAsiaTheme="majorEastAsia"/>
              </w:rPr>
              <w:t>3.2</w:t>
            </w:r>
          </w:p>
        </w:tc>
        <w:tc>
          <w:tcPr>
            <w:tcW w:w="2448" w:type="dxa"/>
            <w:shd w:val="clear" w:color="auto" w:fill="BFBFBF" w:themeFill="background1" w:themeFillShade="BF"/>
          </w:tcPr>
          <w:p w:rsidR="000F7C19" w:rsidRDefault="00457214" w:rsidP="003B2486">
            <w:pPr>
              <w:rPr>
                <w:rFonts w:eastAsiaTheme="majorEastAsia"/>
              </w:rPr>
            </w:pPr>
            <w:r>
              <w:rPr>
                <w:rFonts w:eastAsiaTheme="majorEastAsia"/>
              </w:rPr>
              <w:t>3.6</w:t>
            </w:r>
          </w:p>
        </w:tc>
      </w:tr>
    </w:tbl>
    <w:p w:rsidR="00365AAC" w:rsidRDefault="00365AAC" w:rsidP="00A24259">
      <w:pPr>
        <w:rPr>
          <w:rFonts w:eastAsiaTheme="majorEastAsia"/>
        </w:rPr>
      </w:pPr>
    </w:p>
    <w:p w:rsidR="00F307CA" w:rsidRDefault="00F307CA">
      <w:pPr>
        <w:spacing w:after="200" w:line="276" w:lineRule="auto"/>
        <w:rPr>
          <w:rFonts w:eastAsiaTheme="majorEastAsia"/>
          <w:b/>
        </w:rPr>
      </w:pPr>
      <w:r>
        <w:rPr>
          <w:rFonts w:eastAsiaTheme="majorEastAsia"/>
        </w:rPr>
        <w:br w:type="page"/>
      </w:r>
    </w:p>
    <w:p w:rsidR="00365AAC" w:rsidRDefault="00365AAC" w:rsidP="00A24259">
      <w:pPr>
        <w:pStyle w:val="Heading2"/>
        <w:rPr>
          <w:rFonts w:eastAsiaTheme="majorEastAsia"/>
        </w:rPr>
      </w:pPr>
      <w:bookmarkStart w:id="33" w:name="_Toc425422227"/>
      <w:r>
        <w:rPr>
          <w:rFonts w:eastAsiaTheme="majorEastAsia"/>
        </w:rPr>
        <w:lastRenderedPageBreak/>
        <w:t>Industry – Complex Submissions</w:t>
      </w:r>
      <w:bookmarkEnd w:id="33"/>
    </w:p>
    <w:tbl>
      <w:tblPr>
        <w:tblStyle w:val="TableGrid"/>
        <w:tblW w:w="0" w:type="auto"/>
        <w:tblLook w:val="04A0" w:firstRow="1" w:lastRow="0" w:firstColumn="1" w:lastColumn="0" w:noHBand="0" w:noVBand="1"/>
      </w:tblPr>
      <w:tblGrid>
        <w:gridCol w:w="4698"/>
        <w:gridCol w:w="2430"/>
        <w:gridCol w:w="2430"/>
        <w:gridCol w:w="2610"/>
        <w:gridCol w:w="2448"/>
      </w:tblGrid>
      <w:tr w:rsidR="007A6BE5" w:rsidRPr="007F0223" w:rsidTr="00AC5CEE">
        <w:trPr>
          <w:cantSplit/>
          <w:tblHeader/>
        </w:trPr>
        <w:tc>
          <w:tcPr>
            <w:tcW w:w="4698" w:type="dxa"/>
          </w:tcPr>
          <w:p w:rsidR="007A6BE5" w:rsidRPr="007F0223" w:rsidRDefault="007A6BE5" w:rsidP="003B2486">
            <w:pPr>
              <w:rPr>
                <w:rFonts w:eastAsiaTheme="majorEastAsia"/>
                <w:b/>
                <w:sz w:val="22"/>
              </w:rPr>
            </w:pPr>
            <w:r>
              <w:rPr>
                <w:rFonts w:eastAsiaTheme="majorEastAsia"/>
                <w:b/>
                <w:sz w:val="22"/>
              </w:rPr>
              <w:t xml:space="preserve">Problem Area / </w:t>
            </w:r>
            <w:r w:rsidRPr="007F0223">
              <w:rPr>
                <w:rFonts w:eastAsiaTheme="majorEastAsia"/>
                <w:b/>
                <w:sz w:val="22"/>
              </w:rPr>
              <w:t>Objective</w:t>
            </w:r>
          </w:p>
        </w:tc>
        <w:tc>
          <w:tcPr>
            <w:tcW w:w="2430" w:type="dxa"/>
          </w:tcPr>
          <w:p w:rsidR="007A6BE5" w:rsidRPr="007F0223" w:rsidRDefault="007A6BE5" w:rsidP="003B2486">
            <w:pPr>
              <w:rPr>
                <w:rFonts w:eastAsiaTheme="majorEastAsia"/>
                <w:b/>
                <w:sz w:val="22"/>
              </w:rPr>
            </w:pPr>
            <w:r w:rsidRPr="007F0223">
              <w:rPr>
                <w:rFonts w:eastAsiaTheme="majorEastAsia"/>
                <w:b/>
                <w:sz w:val="22"/>
              </w:rPr>
              <w:t>Option 1</w:t>
            </w:r>
          </w:p>
          <w:p w:rsidR="007A6BE5" w:rsidRPr="007F0223" w:rsidRDefault="007A6BE5" w:rsidP="003B2486">
            <w:pPr>
              <w:rPr>
                <w:rFonts w:eastAsiaTheme="majorEastAsia"/>
                <w:b/>
                <w:sz w:val="22"/>
              </w:rPr>
            </w:pPr>
            <w:r w:rsidRPr="007F0223">
              <w:rPr>
                <w:rFonts w:eastAsiaTheme="majorEastAsia"/>
                <w:b/>
                <w:sz w:val="22"/>
              </w:rPr>
              <w:t>Status Quo (Baseline)</w:t>
            </w:r>
          </w:p>
        </w:tc>
        <w:tc>
          <w:tcPr>
            <w:tcW w:w="2430" w:type="dxa"/>
          </w:tcPr>
          <w:p w:rsidR="007A6BE5" w:rsidRPr="007F0223" w:rsidRDefault="007A6BE5" w:rsidP="003B2486">
            <w:pPr>
              <w:rPr>
                <w:rFonts w:eastAsiaTheme="majorEastAsia"/>
                <w:b/>
                <w:sz w:val="22"/>
              </w:rPr>
            </w:pPr>
            <w:r w:rsidRPr="007F0223">
              <w:rPr>
                <w:rFonts w:eastAsiaTheme="majorEastAsia"/>
                <w:b/>
                <w:sz w:val="22"/>
              </w:rPr>
              <w:t>Option 2</w:t>
            </w:r>
          </w:p>
          <w:p w:rsidR="007A6BE5" w:rsidRPr="007F0223" w:rsidRDefault="007A6BE5" w:rsidP="003B2486">
            <w:pPr>
              <w:rPr>
                <w:rFonts w:eastAsiaTheme="majorEastAsia"/>
                <w:b/>
                <w:sz w:val="22"/>
              </w:rPr>
            </w:pPr>
            <w:r w:rsidRPr="007F0223">
              <w:rPr>
                <w:rFonts w:eastAsiaTheme="majorEastAsia"/>
                <w:b/>
                <w:sz w:val="22"/>
              </w:rPr>
              <w:t>Harmonized Folder Structure</w:t>
            </w:r>
          </w:p>
        </w:tc>
        <w:tc>
          <w:tcPr>
            <w:tcW w:w="2610" w:type="dxa"/>
          </w:tcPr>
          <w:p w:rsidR="007A6BE5" w:rsidRPr="007F0223" w:rsidRDefault="007A6BE5" w:rsidP="003B2486">
            <w:pPr>
              <w:rPr>
                <w:rFonts w:eastAsiaTheme="majorEastAsia"/>
                <w:b/>
                <w:sz w:val="22"/>
              </w:rPr>
            </w:pPr>
            <w:r w:rsidRPr="007F0223">
              <w:rPr>
                <w:rFonts w:eastAsiaTheme="majorEastAsia"/>
                <w:b/>
                <w:sz w:val="22"/>
              </w:rPr>
              <w:t>Option 3</w:t>
            </w:r>
          </w:p>
          <w:p w:rsidR="007A6BE5" w:rsidRPr="007F0223" w:rsidRDefault="007A6BE5" w:rsidP="003B2486">
            <w:pPr>
              <w:rPr>
                <w:rFonts w:eastAsiaTheme="majorEastAsia"/>
                <w:b/>
                <w:sz w:val="22"/>
              </w:rPr>
            </w:pPr>
            <w:r w:rsidRPr="007F0223">
              <w:rPr>
                <w:rFonts w:eastAsiaTheme="majorEastAsia"/>
                <w:b/>
                <w:sz w:val="22"/>
              </w:rPr>
              <w:t>Custom IMDRF Message Standard</w:t>
            </w:r>
          </w:p>
        </w:tc>
        <w:tc>
          <w:tcPr>
            <w:tcW w:w="2448" w:type="dxa"/>
          </w:tcPr>
          <w:p w:rsidR="007A6BE5" w:rsidRPr="007F0223" w:rsidRDefault="007A6BE5" w:rsidP="003B2486">
            <w:pPr>
              <w:rPr>
                <w:rFonts w:eastAsiaTheme="majorEastAsia"/>
                <w:b/>
                <w:sz w:val="22"/>
              </w:rPr>
            </w:pPr>
            <w:r w:rsidRPr="007F0223">
              <w:rPr>
                <w:rFonts w:eastAsiaTheme="majorEastAsia"/>
                <w:b/>
                <w:sz w:val="22"/>
              </w:rPr>
              <w:t>Option 4</w:t>
            </w:r>
          </w:p>
          <w:p w:rsidR="007A6BE5" w:rsidRPr="007F0223" w:rsidRDefault="007A6BE5" w:rsidP="003B2486">
            <w:pPr>
              <w:rPr>
                <w:rFonts w:eastAsiaTheme="majorEastAsia"/>
                <w:b/>
                <w:sz w:val="22"/>
              </w:rPr>
            </w:pPr>
            <w:r w:rsidRPr="007F0223">
              <w:rPr>
                <w:rFonts w:eastAsiaTheme="majorEastAsia"/>
                <w:b/>
                <w:sz w:val="22"/>
              </w:rPr>
              <w:t>HL7 RPS Message Standard</w:t>
            </w:r>
          </w:p>
        </w:tc>
      </w:tr>
      <w:tr w:rsidR="007A6BE5" w:rsidTr="00AC5CEE">
        <w:trPr>
          <w:cantSplit/>
        </w:trPr>
        <w:tc>
          <w:tcPr>
            <w:tcW w:w="4698" w:type="dxa"/>
          </w:tcPr>
          <w:p w:rsidR="007A6BE5" w:rsidRDefault="007A6BE5" w:rsidP="003B2486">
            <w:pPr>
              <w:rPr>
                <w:rFonts w:eastAsiaTheme="majorEastAsia"/>
              </w:rPr>
            </w:pPr>
            <w:r w:rsidRPr="00283CA1">
              <w:t>Efficiently produce submissions for mu</w:t>
            </w:r>
            <w:r>
              <w:t>l</w:t>
            </w:r>
            <w:r w:rsidRPr="00283CA1">
              <w:t>tiple regions without managing multiple submission creation processes, and software tools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5045BA" w:rsidP="003B2486">
            <w:pPr>
              <w:rPr>
                <w:rFonts w:eastAsiaTheme="majorEastAsia"/>
              </w:rPr>
            </w:pPr>
            <w:r>
              <w:rPr>
                <w:rFonts w:eastAsiaTheme="majorEastAsia"/>
              </w:rPr>
              <w:t>3.9</w:t>
            </w:r>
          </w:p>
        </w:tc>
        <w:tc>
          <w:tcPr>
            <w:tcW w:w="2610" w:type="dxa"/>
          </w:tcPr>
          <w:p w:rsidR="007A6BE5" w:rsidRDefault="005045BA" w:rsidP="003B2486">
            <w:pPr>
              <w:rPr>
                <w:rFonts w:eastAsiaTheme="majorEastAsia"/>
              </w:rPr>
            </w:pPr>
            <w:r>
              <w:rPr>
                <w:rFonts w:eastAsiaTheme="majorEastAsia"/>
              </w:rPr>
              <w:t>3.9</w:t>
            </w:r>
          </w:p>
        </w:tc>
        <w:tc>
          <w:tcPr>
            <w:tcW w:w="2448" w:type="dxa"/>
          </w:tcPr>
          <w:p w:rsidR="007A6BE5" w:rsidRDefault="005045BA" w:rsidP="003B2486">
            <w:pPr>
              <w:rPr>
                <w:rFonts w:eastAsiaTheme="majorEastAsia"/>
              </w:rPr>
            </w:pPr>
            <w:r>
              <w:rPr>
                <w:rFonts w:eastAsiaTheme="majorEastAsia"/>
              </w:rPr>
              <w:t>4.1</w:t>
            </w:r>
          </w:p>
        </w:tc>
      </w:tr>
      <w:tr w:rsidR="005045BA" w:rsidTr="00AC5CEE">
        <w:trPr>
          <w:cantSplit/>
        </w:trPr>
        <w:tc>
          <w:tcPr>
            <w:tcW w:w="4698" w:type="dxa"/>
          </w:tcPr>
          <w:p w:rsidR="005045BA" w:rsidRDefault="005045BA" w:rsidP="003B2486">
            <w:pPr>
              <w:rPr>
                <w:rFonts w:eastAsiaTheme="majorEastAsia"/>
              </w:rPr>
            </w:pPr>
            <w:r>
              <w:rPr>
                <w:rFonts w:eastAsiaTheme="majorEastAsia"/>
              </w:rPr>
              <w:t>Enable efficient exchange of information amongst regulators</w:t>
            </w:r>
          </w:p>
        </w:tc>
        <w:tc>
          <w:tcPr>
            <w:tcW w:w="2430" w:type="dxa"/>
            <w:shd w:val="clear" w:color="auto" w:fill="D9D9D9" w:themeFill="background1" w:themeFillShade="D9"/>
          </w:tcPr>
          <w:p w:rsidR="005045BA" w:rsidRDefault="005045BA" w:rsidP="003B2486">
            <w:pPr>
              <w:rPr>
                <w:rFonts w:eastAsiaTheme="majorEastAsia"/>
              </w:rPr>
            </w:pPr>
            <w:r>
              <w:rPr>
                <w:rFonts w:eastAsiaTheme="majorEastAsia"/>
              </w:rPr>
              <w:t>3.0</w:t>
            </w:r>
          </w:p>
        </w:tc>
        <w:tc>
          <w:tcPr>
            <w:tcW w:w="2430" w:type="dxa"/>
            <w:shd w:val="clear" w:color="auto" w:fill="D9D9D9" w:themeFill="background1" w:themeFillShade="D9"/>
          </w:tcPr>
          <w:p w:rsidR="005045BA" w:rsidRDefault="005045BA" w:rsidP="003B2486">
            <w:pPr>
              <w:rPr>
                <w:rFonts w:eastAsiaTheme="majorEastAsia"/>
              </w:rPr>
            </w:pPr>
            <w:r w:rsidRPr="00D211A5">
              <w:rPr>
                <w:rFonts w:eastAsiaTheme="majorEastAsia"/>
              </w:rPr>
              <w:t>3.0</w:t>
            </w:r>
          </w:p>
        </w:tc>
        <w:tc>
          <w:tcPr>
            <w:tcW w:w="2610" w:type="dxa"/>
            <w:shd w:val="clear" w:color="auto" w:fill="D9D9D9" w:themeFill="background1" w:themeFillShade="D9"/>
          </w:tcPr>
          <w:p w:rsidR="005045BA" w:rsidRDefault="005045BA" w:rsidP="003B2486">
            <w:pPr>
              <w:rPr>
                <w:rFonts w:eastAsiaTheme="majorEastAsia"/>
              </w:rPr>
            </w:pPr>
            <w:r w:rsidRPr="00D211A5">
              <w:rPr>
                <w:rFonts w:eastAsiaTheme="majorEastAsia"/>
              </w:rPr>
              <w:t>3.0</w:t>
            </w:r>
          </w:p>
        </w:tc>
        <w:tc>
          <w:tcPr>
            <w:tcW w:w="2448" w:type="dxa"/>
            <w:shd w:val="clear" w:color="auto" w:fill="D9D9D9" w:themeFill="background1" w:themeFillShade="D9"/>
          </w:tcPr>
          <w:p w:rsidR="005045BA" w:rsidRDefault="005045BA" w:rsidP="003B2486">
            <w:pPr>
              <w:rPr>
                <w:rFonts w:eastAsiaTheme="majorEastAsia"/>
              </w:rPr>
            </w:pPr>
            <w:r w:rsidRPr="00D211A5">
              <w:rPr>
                <w:rFonts w:eastAsiaTheme="majorEastAsia"/>
              </w:rPr>
              <w:t>3.0</w:t>
            </w:r>
          </w:p>
        </w:tc>
      </w:tr>
      <w:tr w:rsidR="007A6BE5" w:rsidTr="00AC5CEE">
        <w:trPr>
          <w:cantSplit/>
        </w:trPr>
        <w:tc>
          <w:tcPr>
            <w:tcW w:w="4698" w:type="dxa"/>
          </w:tcPr>
          <w:p w:rsidR="007A6BE5" w:rsidRPr="007F0223" w:rsidRDefault="007A6BE5" w:rsidP="003B2486">
            <w:r w:rsidRPr="00287C96">
              <w:t>Enable a clear view to the</w:t>
            </w:r>
            <w:r w:rsidRPr="00E37CAA">
              <w:t xml:space="preserve"> lifecycle of A</w:t>
            </w:r>
            <w:r w:rsidRPr="007D63CB">
              <w:t>pplication content over time, as well as the ability to quickly see the most cur</w:t>
            </w:r>
            <w:r>
              <w:t>rent version of an Application.</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5045BA" w:rsidP="003B2486">
            <w:pPr>
              <w:rPr>
                <w:rFonts w:eastAsiaTheme="majorEastAsia"/>
              </w:rPr>
            </w:pPr>
            <w:r>
              <w:rPr>
                <w:rFonts w:eastAsiaTheme="majorEastAsia"/>
              </w:rPr>
              <w:t>3.0</w:t>
            </w:r>
          </w:p>
        </w:tc>
        <w:tc>
          <w:tcPr>
            <w:tcW w:w="2610" w:type="dxa"/>
          </w:tcPr>
          <w:p w:rsidR="007A6BE5" w:rsidRDefault="005045BA" w:rsidP="003B2486">
            <w:pPr>
              <w:rPr>
                <w:rFonts w:eastAsiaTheme="majorEastAsia"/>
              </w:rPr>
            </w:pPr>
            <w:r>
              <w:rPr>
                <w:rFonts w:eastAsiaTheme="majorEastAsia"/>
              </w:rPr>
              <w:t>3.8</w:t>
            </w:r>
          </w:p>
        </w:tc>
        <w:tc>
          <w:tcPr>
            <w:tcW w:w="2448" w:type="dxa"/>
          </w:tcPr>
          <w:p w:rsidR="007A6BE5" w:rsidRDefault="005045BA" w:rsidP="003B2486">
            <w:pPr>
              <w:rPr>
                <w:rFonts w:eastAsiaTheme="majorEastAsia"/>
              </w:rPr>
            </w:pPr>
            <w:r>
              <w:rPr>
                <w:rFonts w:eastAsiaTheme="majorEastAsia"/>
              </w:rPr>
              <w:t>4.1</w:t>
            </w:r>
          </w:p>
        </w:tc>
      </w:tr>
      <w:tr w:rsidR="005045BA" w:rsidTr="00AC5CEE">
        <w:trPr>
          <w:cantSplit/>
        </w:trPr>
        <w:tc>
          <w:tcPr>
            <w:tcW w:w="4698" w:type="dxa"/>
          </w:tcPr>
          <w:p w:rsidR="005045BA" w:rsidRPr="007F0223" w:rsidRDefault="005045BA" w:rsidP="003B2486">
            <w:r w:rsidRPr="007D63CB">
              <w:t>Include additional metadata on submission content for better discovery in the future (i.</w:t>
            </w:r>
            <w:r>
              <w:t>e., TOC headings and keywords).</w:t>
            </w:r>
          </w:p>
        </w:tc>
        <w:tc>
          <w:tcPr>
            <w:tcW w:w="2430" w:type="dxa"/>
            <w:shd w:val="clear" w:color="auto" w:fill="D9D9D9" w:themeFill="background1" w:themeFillShade="D9"/>
          </w:tcPr>
          <w:p w:rsidR="005045BA" w:rsidRDefault="005045BA" w:rsidP="003B2486">
            <w:pPr>
              <w:rPr>
                <w:rFonts w:eastAsiaTheme="majorEastAsia"/>
              </w:rPr>
            </w:pPr>
            <w:r>
              <w:rPr>
                <w:rFonts w:eastAsiaTheme="majorEastAsia"/>
              </w:rPr>
              <w:t>3.0</w:t>
            </w:r>
          </w:p>
        </w:tc>
        <w:tc>
          <w:tcPr>
            <w:tcW w:w="2430" w:type="dxa"/>
            <w:shd w:val="clear" w:color="auto" w:fill="D9D9D9" w:themeFill="background1" w:themeFillShade="D9"/>
          </w:tcPr>
          <w:p w:rsidR="005045BA" w:rsidRDefault="005045BA" w:rsidP="003B2486">
            <w:pPr>
              <w:rPr>
                <w:rFonts w:eastAsiaTheme="majorEastAsia"/>
              </w:rPr>
            </w:pPr>
            <w:r w:rsidRPr="003F130C">
              <w:rPr>
                <w:rFonts w:eastAsiaTheme="majorEastAsia"/>
              </w:rPr>
              <w:t>3.0</w:t>
            </w:r>
          </w:p>
        </w:tc>
        <w:tc>
          <w:tcPr>
            <w:tcW w:w="2610" w:type="dxa"/>
            <w:shd w:val="clear" w:color="auto" w:fill="D9D9D9" w:themeFill="background1" w:themeFillShade="D9"/>
          </w:tcPr>
          <w:p w:rsidR="005045BA" w:rsidRDefault="005045BA" w:rsidP="003B2486">
            <w:pPr>
              <w:rPr>
                <w:rFonts w:eastAsiaTheme="majorEastAsia"/>
              </w:rPr>
            </w:pPr>
            <w:r w:rsidRPr="003F130C">
              <w:rPr>
                <w:rFonts w:eastAsiaTheme="majorEastAsia"/>
              </w:rPr>
              <w:t>3.0</w:t>
            </w:r>
          </w:p>
        </w:tc>
        <w:tc>
          <w:tcPr>
            <w:tcW w:w="2448" w:type="dxa"/>
            <w:shd w:val="clear" w:color="auto" w:fill="D9D9D9" w:themeFill="background1" w:themeFillShade="D9"/>
          </w:tcPr>
          <w:p w:rsidR="005045BA" w:rsidRDefault="005045BA" w:rsidP="003B2486">
            <w:pPr>
              <w:rPr>
                <w:rFonts w:eastAsiaTheme="majorEastAsia"/>
              </w:rPr>
            </w:pPr>
            <w:r w:rsidRPr="003F130C">
              <w:rPr>
                <w:rFonts w:eastAsiaTheme="majorEastAsia"/>
              </w:rPr>
              <w:t>3.0</w:t>
            </w:r>
          </w:p>
        </w:tc>
      </w:tr>
      <w:tr w:rsidR="007A6BE5" w:rsidTr="00AC5CEE">
        <w:trPr>
          <w:cantSplit/>
        </w:trPr>
        <w:tc>
          <w:tcPr>
            <w:tcW w:w="4698" w:type="dxa"/>
          </w:tcPr>
          <w:p w:rsidR="007A6BE5" w:rsidRPr="007F0223" w:rsidRDefault="007A6BE5" w:rsidP="003B2486">
            <w:r w:rsidRPr="007D63CB">
              <w:t>Provide a mechanism through which the full submission lifecycle for a product can be easily tr</w:t>
            </w:r>
            <w:r>
              <w:t xml:space="preserve">ansferred between stakeholders </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5045BA" w:rsidP="003B2486">
            <w:pPr>
              <w:rPr>
                <w:rFonts w:eastAsiaTheme="majorEastAsia"/>
              </w:rPr>
            </w:pPr>
            <w:r>
              <w:rPr>
                <w:rFonts w:eastAsiaTheme="majorEastAsia"/>
              </w:rPr>
              <w:t>3.2</w:t>
            </w:r>
          </w:p>
        </w:tc>
        <w:tc>
          <w:tcPr>
            <w:tcW w:w="2610" w:type="dxa"/>
          </w:tcPr>
          <w:p w:rsidR="007A6BE5" w:rsidRDefault="005045BA" w:rsidP="003B2486">
            <w:pPr>
              <w:rPr>
                <w:rFonts w:eastAsiaTheme="majorEastAsia"/>
              </w:rPr>
            </w:pPr>
            <w:r>
              <w:rPr>
                <w:rFonts w:eastAsiaTheme="majorEastAsia"/>
              </w:rPr>
              <w:t>3.6</w:t>
            </w:r>
          </w:p>
        </w:tc>
        <w:tc>
          <w:tcPr>
            <w:tcW w:w="2448" w:type="dxa"/>
          </w:tcPr>
          <w:p w:rsidR="007A6BE5" w:rsidRDefault="005045BA" w:rsidP="003B2486">
            <w:pPr>
              <w:rPr>
                <w:rFonts w:eastAsiaTheme="majorEastAsia"/>
              </w:rPr>
            </w:pPr>
            <w:r>
              <w:rPr>
                <w:rFonts w:eastAsiaTheme="majorEastAsia"/>
              </w:rPr>
              <w:t>3.6</w:t>
            </w:r>
          </w:p>
        </w:tc>
      </w:tr>
      <w:tr w:rsidR="007A6BE5" w:rsidTr="00AC5CEE">
        <w:trPr>
          <w:cantSplit/>
        </w:trPr>
        <w:tc>
          <w:tcPr>
            <w:tcW w:w="4698" w:type="dxa"/>
          </w:tcPr>
          <w:p w:rsidR="007A6BE5" w:rsidRPr="007F0223" w:rsidRDefault="007A6BE5" w:rsidP="003B2486">
            <w:r w:rsidRPr="007D63CB">
              <w:t>When product changes result in changes to submitted documentation, facilitate more efficient analysis of which submissions and which regions w</w:t>
            </w:r>
            <w:r>
              <w:t>ould be impacted by the change.</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5045BA" w:rsidP="003B2486">
            <w:pPr>
              <w:rPr>
                <w:rFonts w:eastAsiaTheme="majorEastAsia"/>
              </w:rPr>
            </w:pPr>
            <w:r>
              <w:rPr>
                <w:rFonts w:eastAsiaTheme="majorEastAsia"/>
              </w:rPr>
              <w:t>3.3</w:t>
            </w:r>
          </w:p>
        </w:tc>
        <w:tc>
          <w:tcPr>
            <w:tcW w:w="2610" w:type="dxa"/>
          </w:tcPr>
          <w:p w:rsidR="007A6BE5" w:rsidRDefault="005045BA" w:rsidP="003B2486">
            <w:pPr>
              <w:rPr>
                <w:rFonts w:eastAsiaTheme="majorEastAsia"/>
              </w:rPr>
            </w:pPr>
            <w:r>
              <w:rPr>
                <w:rFonts w:eastAsiaTheme="majorEastAsia"/>
              </w:rPr>
              <w:t>3.2</w:t>
            </w:r>
          </w:p>
        </w:tc>
        <w:tc>
          <w:tcPr>
            <w:tcW w:w="2448" w:type="dxa"/>
          </w:tcPr>
          <w:p w:rsidR="007A6BE5" w:rsidRDefault="005045BA" w:rsidP="003B2486">
            <w:pPr>
              <w:rPr>
                <w:rFonts w:eastAsiaTheme="majorEastAsia"/>
              </w:rPr>
            </w:pPr>
            <w:r>
              <w:rPr>
                <w:rFonts w:eastAsiaTheme="majorEastAsia"/>
              </w:rPr>
              <w:t>3.3</w:t>
            </w:r>
          </w:p>
        </w:tc>
      </w:tr>
      <w:tr w:rsidR="007A6BE5" w:rsidTr="00AC5CEE">
        <w:trPr>
          <w:cantSplit/>
        </w:trPr>
        <w:tc>
          <w:tcPr>
            <w:tcW w:w="4698" w:type="dxa"/>
          </w:tcPr>
          <w:p w:rsidR="007A6BE5" w:rsidRDefault="007A6BE5" w:rsidP="003B2486">
            <w:pPr>
              <w:rPr>
                <w:rFonts w:eastAsiaTheme="majorEastAsia"/>
              </w:rPr>
            </w:pPr>
            <w:r w:rsidRPr="007D63CB">
              <w:t>Enable regulators and industry to consistently and clearly identify / communicate how a submission relates to previous applications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5045BA" w:rsidP="003B2486">
            <w:pPr>
              <w:rPr>
                <w:rFonts w:eastAsiaTheme="majorEastAsia"/>
              </w:rPr>
            </w:pPr>
            <w:r>
              <w:rPr>
                <w:rFonts w:eastAsiaTheme="majorEastAsia"/>
              </w:rPr>
              <w:t>3.4</w:t>
            </w:r>
          </w:p>
        </w:tc>
        <w:tc>
          <w:tcPr>
            <w:tcW w:w="2610" w:type="dxa"/>
          </w:tcPr>
          <w:p w:rsidR="007A6BE5" w:rsidRDefault="005045BA" w:rsidP="003B2486">
            <w:pPr>
              <w:rPr>
                <w:rFonts w:eastAsiaTheme="majorEastAsia"/>
              </w:rPr>
            </w:pPr>
            <w:r>
              <w:rPr>
                <w:rFonts w:eastAsiaTheme="majorEastAsia"/>
              </w:rPr>
              <w:t>4.1</w:t>
            </w:r>
          </w:p>
        </w:tc>
        <w:tc>
          <w:tcPr>
            <w:tcW w:w="2448" w:type="dxa"/>
          </w:tcPr>
          <w:p w:rsidR="007A6BE5" w:rsidRDefault="005045BA" w:rsidP="003B2486">
            <w:pPr>
              <w:rPr>
                <w:rFonts w:eastAsiaTheme="majorEastAsia"/>
              </w:rPr>
            </w:pPr>
            <w:r>
              <w:rPr>
                <w:rFonts w:eastAsiaTheme="majorEastAsia"/>
              </w:rPr>
              <w:t>4.2</w:t>
            </w:r>
          </w:p>
        </w:tc>
      </w:tr>
      <w:tr w:rsidR="007A6BE5" w:rsidTr="00AC5CEE">
        <w:trPr>
          <w:cantSplit/>
        </w:trPr>
        <w:tc>
          <w:tcPr>
            <w:tcW w:w="4698" w:type="dxa"/>
          </w:tcPr>
          <w:p w:rsidR="007A6BE5" w:rsidRDefault="007A6BE5" w:rsidP="003B2486">
            <w:pPr>
              <w:rPr>
                <w:rFonts w:eastAsiaTheme="majorEastAsia"/>
              </w:rPr>
            </w:pPr>
            <w:r w:rsidRPr="007D63CB">
              <w:rPr>
                <w:szCs w:val="24"/>
              </w:rPr>
              <w:t xml:space="preserve">Enable efficient access </w:t>
            </w:r>
            <w:r>
              <w:rPr>
                <w:szCs w:val="24"/>
              </w:rPr>
              <w:t xml:space="preserve">(for appropriate parties) to </w:t>
            </w:r>
            <w:r w:rsidRPr="007D63CB">
              <w:rPr>
                <w:szCs w:val="24"/>
              </w:rPr>
              <w:t>information provided electronically in submissions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5045BA" w:rsidP="003B2486">
            <w:pPr>
              <w:rPr>
                <w:rFonts w:eastAsiaTheme="majorEastAsia"/>
              </w:rPr>
            </w:pPr>
            <w:r>
              <w:rPr>
                <w:rFonts w:eastAsiaTheme="majorEastAsia"/>
              </w:rPr>
              <w:t>3.8</w:t>
            </w:r>
          </w:p>
        </w:tc>
        <w:tc>
          <w:tcPr>
            <w:tcW w:w="2610" w:type="dxa"/>
          </w:tcPr>
          <w:p w:rsidR="007A6BE5" w:rsidRDefault="005045BA" w:rsidP="003B2486">
            <w:pPr>
              <w:rPr>
                <w:rFonts w:eastAsiaTheme="majorEastAsia"/>
              </w:rPr>
            </w:pPr>
            <w:r>
              <w:rPr>
                <w:rFonts w:eastAsiaTheme="majorEastAsia"/>
              </w:rPr>
              <w:t>3.5</w:t>
            </w:r>
          </w:p>
        </w:tc>
        <w:tc>
          <w:tcPr>
            <w:tcW w:w="2448" w:type="dxa"/>
          </w:tcPr>
          <w:p w:rsidR="007A6BE5" w:rsidRDefault="005045BA" w:rsidP="003B2486">
            <w:pPr>
              <w:rPr>
                <w:rFonts w:eastAsiaTheme="majorEastAsia"/>
              </w:rPr>
            </w:pPr>
            <w:r>
              <w:rPr>
                <w:rFonts w:eastAsiaTheme="majorEastAsia"/>
              </w:rPr>
              <w:t>3.1</w:t>
            </w:r>
          </w:p>
        </w:tc>
      </w:tr>
      <w:tr w:rsidR="007A6BE5" w:rsidTr="00AC5CEE">
        <w:trPr>
          <w:cantSplit/>
        </w:trPr>
        <w:tc>
          <w:tcPr>
            <w:tcW w:w="4698" w:type="dxa"/>
          </w:tcPr>
          <w:p w:rsidR="007A6BE5" w:rsidRDefault="007A6BE5" w:rsidP="003B2486">
            <w:pPr>
              <w:rPr>
                <w:rFonts w:eastAsiaTheme="majorEastAsia"/>
              </w:rPr>
            </w:pPr>
            <w:r w:rsidRPr="00A65750">
              <w:rPr>
                <w:szCs w:val="24"/>
              </w:rPr>
              <w:t xml:space="preserve">Enable a solution for electronic storage of product submissions </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5045BA" w:rsidP="003B2486">
            <w:pPr>
              <w:rPr>
                <w:rFonts w:eastAsiaTheme="majorEastAsia"/>
              </w:rPr>
            </w:pPr>
            <w:r>
              <w:rPr>
                <w:rFonts w:eastAsiaTheme="majorEastAsia"/>
              </w:rPr>
              <w:t>3.2</w:t>
            </w:r>
          </w:p>
        </w:tc>
        <w:tc>
          <w:tcPr>
            <w:tcW w:w="2610" w:type="dxa"/>
          </w:tcPr>
          <w:p w:rsidR="007A6BE5" w:rsidRDefault="005045BA" w:rsidP="003B2486">
            <w:pPr>
              <w:rPr>
                <w:rFonts w:eastAsiaTheme="majorEastAsia"/>
              </w:rPr>
            </w:pPr>
            <w:r>
              <w:rPr>
                <w:rFonts w:eastAsiaTheme="majorEastAsia"/>
              </w:rPr>
              <w:t>3.2</w:t>
            </w:r>
          </w:p>
        </w:tc>
        <w:tc>
          <w:tcPr>
            <w:tcW w:w="2448" w:type="dxa"/>
          </w:tcPr>
          <w:p w:rsidR="007A6BE5" w:rsidRDefault="005045BA" w:rsidP="003B2486">
            <w:pPr>
              <w:rPr>
                <w:rFonts w:eastAsiaTheme="majorEastAsia"/>
              </w:rPr>
            </w:pPr>
            <w:r>
              <w:rPr>
                <w:rFonts w:eastAsiaTheme="majorEastAsia"/>
              </w:rPr>
              <w:t>3.0</w:t>
            </w:r>
          </w:p>
        </w:tc>
      </w:tr>
      <w:tr w:rsidR="007A6BE5" w:rsidTr="00AC5CEE">
        <w:trPr>
          <w:cantSplit/>
        </w:trPr>
        <w:tc>
          <w:tcPr>
            <w:tcW w:w="4698" w:type="dxa"/>
          </w:tcPr>
          <w:p w:rsidR="007A6BE5" w:rsidRDefault="007A6BE5" w:rsidP="003B2486">
            <w:pPr>
              <w:rPr>
                <w:rFonts w:eastAsiaTheme="majorEastAsia"/>
              </w:rPr>
            </w:pPr>
            <w:r w:rsidRPr="007D63CB">
              <w:rPr>
                <w:szCs w:val="24"/>
              </w:rPr>
              <w:lastRenderedPageBreak/>
              <w:t xml:space="preserve">Enable efficient </w:t>
            </w:r>
            <w:r w:rsidRPr="00A65750">
              <w:rPr>
                <w:szCs w:val="24"/>
              </w:rPr>
              <w:t xml:space="preserve">simultaneous </w:t>
            </w:r>
            <w:r w:rsidRPr="00F52C03">
              <w:rPr>
                <w:szCs w:val="24"/>
              </w:rPr>
              <w:t>access to information (</w:t>
            </w:r>
            <w:r w:rsidRPr="00C5250F">
              <w:rPr>
                <w:szCs w:val="24"/>
              </w:rPr>
              <w:t>for reviewers) provided electronically in submissions</w:t>
            </w:r>
            <w:r w:rsidRPr="00C5250F" w:rsidDel="00222780">
              <w:rPr>
                <w:szCs w:val="24"/>
              </w:rPr>
              <w:t xml:space="preserve"> </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shd w:val="clear" w:color="auto" w:fill="D9D9D9" w:themeFill="background1" w:themeFillShade="D9"/>
          </w:tcPr>
          <w:p w:rsidR="007A6BE5" w:rsidRDefault="005045BA" w:rsidP="003B2486">
            <w:pPr>
              <w:rPr>
                <w:rFonts w:eastAsiaTheme="majorEastAsia"/>
              </w:rPr>
            </w:pPr>
            <w:r>
              <w:rPr>
                <w:rFonts w:eastAsiaTheme="majorEastAsia"/>
              </w:rPr>
              <w:t>3.0</w:t>
            </w:r>
          </w:p>
        </w:tc>
        <w:tc>
          <w:tcPr>
            <w:tcW w:w="2610" w:type="dxa"/>
            <w:shd w:val="clear" w:color="auto" w:fill="D9D9D9" w:themeFill="background1" w:themeFillShade="D9"/>
          </w:tcPr>
          <w:p w:rsidR="007A6BE5" w:rsidRDefault="005045BA" w:rsidP="003B2486">
            <w:pPr>
              <w:rPr>
                <w:rFonts w:eastAsiaTheme="majorEastAsia"/>
              </w:rPr>
            </w:pPr>
            <w:r>
              <w:rPr>
                <w:rFonts w:eastAsiaTheme="majorEastAsia"/>
              </w:rPr>
              <w:t>3.0</w:t>
            </w:r>
          </w:p>
        </w:tc>
        <w:tc>
          <w:tcPr>
            <w:tcW w:w="2448" w:type="dxa"/>
            <w:shd w:val="clear" w:color="auto" w:fill="D9D9D9" w:themeFill="background1" w:themeFillShade="D9"/>
          </w:tcPr>
          <w:p w:rsidR="007A6BE5" w:rsidRDefault="005045BA" w:rsidP="003B2486">
            <w:pPr>
              <w:rPr>
                <w:rFonts w:eastAsiaTheme="majorEastAsia"/>
              </w:rPr>
            </w:pPr>
            <w:r>
              <w:rPr>
                <w:rFonts w:eastAsiaTheme="majorEastAsia"/>
              </w:rPr>
              <w:t>3.0</w:t>
            </w:r>
          </w:p>
        </w:tc>
      </w:tr>
      <w:tr w:rsidR="00D44A7A" w:rsidTr="00AC5CEE">
        <w:trPr>
          <w:cantSplit/>
        </w:trPr>
        <w:tc>
          <w:tcPr>
            <w:tcW w:w="4698" w:type="dxa"/>
          </w:tcPr>
          <w:p w:rsidR="00D44A7A" w:rsidRPr="00A65750" w:rsidRDefault="00D44A7A" w:rsidP="003B2486">
            <w:pPr>
              <w:rPr>
                <w:szCs w:val="24"/>
              </w:rPr>
            </w:pPr>
            <w:r w:rsidRPr="00C849A0">
              <w:rPr>
                <w:szCs w:val="24"/>
              </w:rPr>
              <w:t>Enable reduction of resources / time required for manual login (data entry, record creation) of submissions</w:t>
            </w:r>
          </w:p>
          <w:p w:rsidR="00D44A7A" w:rsidRPr="00C5250F" w:rsidRDefault="00D44A7A" w:rsidP="003B2486">
            <w:pPr>
              <w:rPr>
                <w:szCs w:val="24"/>
              </w:rPr>
            </w:pPr>
            <w:r w:rsidRPr="00F52C03">
              <w:rPr>
                <w:szCs w:val="24"/>
              </w:rPr>
              <w:t>Note:  This objective would require the collection of structured data values from indu</w:t>
            </w:r>
            <w:r w:rsidRPr="00C5250F">
              <w:rPr>
                <w:szCs w:val="24"/>
              </w:rPr>
              <w:t>stry</w:t>
            </w:r>
          </w:p>
          <w:p w:rsidR="00D44A7A" w:rsidRDefault="00D44A7A" w:rsidP="003B2486">
            <w:pPr>
              <w:rPr>
                <w:rFonts w:eastAsiaTheme="majorEastAsia"/>
              </w:rPr>
            </w:pPr>
          </w:p>
        </w:tc>
        <w:tc>
          <w:tcPr>
            <w:tcW w:w="2430" w:type="dxa"/>
            <w:shd w:val="clear" w:color="auto" w:fill="D9D9D9" w:themeFill="background1" w:themeFillShade="D9"/>
          </w:tcPr>
          <w:p w:rsidR="00D44A7A" w:rsidRDefault="00D44A7A" w:rsidP="003B2486">
            <w:pPr>
              <w:rPr>
                <w:rFonts w:eastAsiaTheme="majorEastAsia"/>
              </w:rPr>
            </w:pPr>
            <w:r>
              <w:rPr>
                <w:rFonts w:eastAsiaTheme="majorEastAsia"/>
              </w:rPr>
              <w:t>3.0</w:t>
            </w:r>
          </w:p>
        </w:tc>
        <w:tc>
          <w:tcPr>
            <w:tcW w:w="2430" w:type="dxa"/>
            <w:shd w:val="clear" w:color="auto" w:fill="D9D9D9" w:themeFill="background1" w:themeFillShade="D9"/>
          </w:tcPr>
          <w:p w:rsidR="00D44A7A" w:rsidRDefault="00D44A7A" w:rsidP="003B2486">
            <w:pPr>
              <w:rPr>
                <w:rFonts w:eastAsiaTheme="majorEastAsia"/>
              </w:rPr>
            </w:pPr>
            <w:r>
              <w:rPr>
                <w:rFonts w:eastAsiaTheme="majorEastAsia"/>
              </w:rPr>
              <w:t>3.0</w:t>
            </w:r>
          </w:p>
        </w:tc>
        <w:tc>
          <w:tcPr>
            <w:tcW w:w="2610" w:type="dxa"/>
            <w:shd w:val="clear" w:color="auto" w:fill="D9D9D9" w:themeFill="background1" w:themeFillShade="D9"/>
          </w:tcPr>
          <w:p w:rsidR="00D44A7A" w:rsidRDefault="00D44A7A" w:rsidP="003B2486">
            <w:pPr>
              <w:rPr>
                <w:rFonts w:eastAsiaTheme="majorEastAsia"/>
              </w:rPr>
            </w:pPr>
            <w:r>
              <w:rPr>
                <w:rFonts w:eastAsiaTheme="majorEastAsia"/>
              </w:rPr>
              <w:t>3.0</w:t>
            </w:r>
          </w:p>
        </w:tc>
        <w:tc>
          <w:tcPr>
            <w:tcW w:w="2448" w:type="dxa"/>
            <w:shd w:val="clear" w:color="auto" w:fill="D9D9D9" w:themeFill="background1" w:themeFillShade="D9"/>
          </w:tcPr>
          <w:p w:rsidR="00D44A7A" w:rsidRDefault="00D44A7A" w:rsidP="003B2486">
            <w:pPr>
              <w:rPr>
                <w:rFonts w:eastAsiaTheme="majorEastAsia"/>
              </w:rPr>
            </w:pPr>
            <w:r>
              <w:rPr>
                <w:rFonts w:eastAsiaTheme="majorEastAsia"/>
              </w:rPr>
              <w:t>3.0</w:t>
            </w:r>
          </w:p>
        </w:tc>
      </w:tr>
      <w:tr w:rsidR="00D44A7A" w:rsidTr="00AC5CEE">
        <w:trPr>
          <w:cantSplit/>
        </w:trPr>
        <w:tc>
          <w:tcPr>
            <w:tcW w:w="4698" w:type="dxa"/>
          </w:tcPr>
          <w:p w:rsidR="00D44A7A" w:rsidRPr="00F52C03" w:rsidRDefault="00D44A7A" w:rsidP="003B2486">
            <w:pPr>
              <w:rPr>
                <w:szCs w:val="24"/>
              </w:rPr>
            </w:pPr>
            <w:r w:rsidRPr="00A65750">
              <w:rPr>
                <w:szCs w:val="24"/>
              </w:rPr>
              <w:t xml:space="preserve">Provide a way to automatically identify the current review status of a submission.  </w:t>
            </w:r>
          </w:p>
          <w:p w:rsidR="00D44A7A" w:rsidRPr="00F52C03" w:rsidRDefault="00D44A7A" w:rsidP="003B2486">
            <w:pPr>
              <w:rPr>
                <w:szCs w:val="24"/>
              </w:rPr>
            </w:pPr>
          </w:p>
          <w:p w:rsidR="00D44A7A" w:rsidRPr="00C849A0" w:rsidRDefault="00D44A7A" w:rsidP="003B2486">
            <w:pPr>
              <w:rPr>
                <w:szCs w:val="24"/>
              </w:rPr>
            </w:pPr>
          </w:p>
          <w:p w:rsidR="00D44A7A" w:rsidRDefault="00D44A7A" w:rsidP="003B2486">
            <w:pPr>
              <w:rPr>
                <w:rFonts w:eastAsiaTheme="majorEastAsia"/>
              </w:rPr>
            </w:pPr>
          </w:p>
        </w:tc>
        <w:tc>
          <w:tcPr>
            <w:tcW w:w="2430" w:type="dxa"/>
            <w:shd w:val="clear" w:color="auto" w:fill="D9D9D9" w:themeFill="background1" w:themeFillShade="D9"/>
          </w:tcPr>
          <w:p w:rsidR="00D44A7A" w:rsidRDefault="00D44A7A" w:rsidP="003B2486">
            <w:pPr>
              <w:rPr>
                <w:rFonts w:eastAsiaTheme="majorEastAsia"/>
              </w:rPr>
            </w:pPr>
            <w:r>
              <w:rPr>
                <w:rFonts w:eastAsiaTheme="majorEastAsia"/>
              </w:rPr>
              <w:t>3.0</w:t>
            </w:r>
          </w:p>
        </w:tc>
        <w:tc>
          <w:tcPr>
            <w:tcW w:w="2430" w:type="dxa"/>
          </w:tcPr>
          <w:p w:rsidR="00D44A7A" w:rsidRDefault="00D44A7A" w:rsidP="003B2486">
            <w:pPr>
              <w:rPr>
                <w:rFonts w:eastAsiaTheme="majorEastAsia"/>
              </w:rPr>
            </w:pPr>
            <w:r>
              <w:rPr>
                <w:rFonts w:eastAsiaTheme="majorEastAsia"/>
              </w:rPr>
              <w:t>3.5</w:t>
            </w:r>
          </w:p>
        </w:tc>
        <w:tc>
          <w:tcPr>
            <w:tcW w:w="2610" w:type="dxa"/>
          </w:tcPr>
          <w:p w:rsidR="00D44A7A" w:rsidRDefault="00D44A7A" w:rsidP="003B2486">
            <w:pPr>
              <w:rPr>
                <w:rFonts w:eastAsiaTheme="majorEastAsia"/>
              </w:rPr>
            </w:pPr>
            <w:r>
              <w:rPr>
                <w:rFonts w:eastAsiaTheme="majorEastAsia"/>
              </w:rPr>
              <w:t>4.3</w:t>
            </w:r>
          </w:p>
        </w:tc>
        <w:tc>
          <w:tcPr>
            <w:tcW w:w="2448" w:type="dxa"/>
          </w:tcPr>
          <w:p w:rsidR="00D44A7A" w:rsidRDefault="00D44A7A" w:rsidP="003B2486">
            <w:pPr>
              <w:rPr>
                <w:rFonts w:eastAsiaTheme="majorEastAsia"/>
              </w:rPr>
            </w:pPr>
            <w:r>
              <w:rPr>
                <w:rFonts w:eastAsiaTheme="majorEastAsia"/>
              </w:rPr>
              <w:t>4.0</w:t>
            </w:r>
          </w:p>
        </w:tc>
      </w:tr>
      <w:tr w:rsidR="00D44A7A" w:rsidTr="00AC5CEE">
        <w:trPr>
          <w:cantSplit/>
        </w:trPr>
        <w:tc>
          <w:tcPr>
            <w:tcW w:w="4698" w:type="dxa"/>
          </w:tcPr>
          <w:p w:rsidR="00D44A7A" w:rsidRDefault="00D44A7A" w:rsidP="003B2486">
            <w:pPr>
              <w:rPr>
                <w:rFonts w:eastAsiaTheme="majorEastAsia"/>
              </w:rPr>
            </w:pPr>
            <w:r>
              <w:rPr>
                <w:szCs w:val="24"/>
              </w:rPr>
              <w:t>Provide a way to maintain the lifecycle of an Application over time when the regulation changes result in TOC variance between submissions.</w:t>
            </w:r>
          </w:p>
        </w:tc>
        <w:tc>
          <w:tcPr>
            <w:tcW w:w="2430" w:type="dxa"/>
            <w:shd w:val="clear" w:color="auto" w:fill="D9D9D9" w:themeFill="background1" w:themeFillShade="D9"/>
          </w:tcPr>
          <w:p w:rsidR="00D44A7A" w:rsidRDefault="00D44A7A" w:rsidP="003B2486">
            <w:pPr>
              <w:rPr>
                <w:rFonts w:eastAsiaTheme="majorEastAsia"/>
              </w:rPr>
            </w:pPr>
            <w:r>
              <w:rPr>
                <w:rFonts w:eastAsiaTheme="majorEastAsia"/>
              </w:rPr>
              <w:t>3.0</w:t>
            </w:r>
          </w:p>
        </w:tc>
        <w:tc>
          <w:tcPr>
            <w:tcW w:w="2430" w:type="dxa"/>
          </w:tcPr>
          <w:p w:rsidR="00D44A7A" w:rsidRDefault="00D44A7A" w:rsidP="003B2486">
            <w:pPr>
              <w:rPr>
                <w:rFonts w:eastAsiaTheme="majorEastAsia"/>
              </w:rPr>
            </w:pPr>
            <w:r>
              <w:rPr>
                <w:rFonts w:eastAsiaTheme="majorEastAsia"/>
              </w:rPr>
              <w:t>3.7</w:t>
            </w:r>
          </w:p>
        </w:tc>
        <w:tc>
          <w:tcPr>
            <w:tcW w:w="2610" w:type="dxa"/>
          </w:tcPr>
          <w:p w:rsidR="00D44A7A" w:rsidRDefault="00D44A7A" w:rsidP="003B2486">
            <w:pPr>
              <w:rPr>
                <w:rFonts w:eastAsiaTheme="majorEastAsia"/>
              </w:rPr>
            </w:pPr>
            <w:r>
              <w:rPr>
                <w:rFonts w:eastAsiaTheme="majorEastAsia"/>
              </w:rPr>
              <w:t>4.2</w:t>
            </w:r>
          </w:p>
        </w:tc>
        <w:tc>
          <w:tcPr>
            <w:tcW w:w="2448" w:type="dxa"/>
          </w:tcPr>
          <w:p w:rsidR="00D44A7A" w:rsidRDefault="00D44A7A" w:rsidP="003B2486">
            <w:pPr>
              <w:rPr>
                <w:rFonts w:eastAsiaTheme="majorEastAsia"/>
              </w:rPr>
            </w:pPr>
            <w:r>
              <w:rPr>
                <w:rFonts w:eastAsiaTheme="majorEastAsia"/>
              </w:rPr>
              <w:t>3.8</w:t>
            </w:r>
          </w:p>
        </w:tc>
      </w:tr>
      <w:tr w:rsidR="00D44A7A" w:rsidTr="00AC5CEE">
        <w:trPr>
          <w:cantSplit/>
        </w:trPr>
        <w:tc>
          <w:tcPr>
            <w:tcW w:w="4698" w:type="dxa"/>
          </w:tcPr>
          <w:p w:rsidR="00D44A7A" w:rsidRDefault="00D44A7A" w:rsidP="003B2486">
            <w:pPr>
              <w:rPr>
                <w:rFonts w:eastAsiaTheme="majorEastAsia"/>
              </w:rPr>
            </w:pPr>
            <w:r>
              <w:rPr>
                <w:rFonts w:eastAsiaTheme="majorEastAsia"/>
              </w:rPr>
              <w:t>Cost to maintain the solution.  This includes consideration of resources to manage day to day submission activity, and effort to provide governance over time</w:t>
            </w:r>
          </w:p>
        </w:tc>
        <w:tc>
          <w:tcPr>
            <w:tcW w:w="2430" w:type="dxa"/>
            <w:shd w:val="clear" w:color="auto" w:fill="D9D9D9" w:themeFill="background1" w:themeFillShade="D9"/>
          </w:tcPr>
          <w:p w:rsidR="00D44A7A" w:rsidRDefault="00D44A7A" w:rsidP="003B2486">
            <w:pPr>
              <w:rPr>
                <w:rFonts w:eastAsiaTheme="majorEastAsia"/>
              </w:rPr>
            </w:pPr>
            <w:r>
              <w:rPr>
                <w:rFonts w:eastAsiaTheme="majorEastAsia"/>
              </w:rPr>
              <w:t>3.0</w:t>
            </w:r>
          </w:p>
        </w:tc>
        <w:tc>
          <w:tcPr>
            <w:tcW w:w="2430" w:type="dxa"/>
          </w:tcPr>
          <w:p w:rsidR="00D44A7A" w:rsidRDefault="00D44A7A" w:rsidP="003B2486">
            <w:pPr>
              <w:rPr>
                <w:rFonts w:eastAsiaTheme="majorEastAsia"/>
              </w:rPr>
            </w:pPr>
            <w:r>
              <w:rPr>
                <w:rFonts w:eastAsiaTheme="majorEastAsia"/>
              </w:rPr>
              <w:t>3.0</w:t>
            </w:r>
          </w:p>
        </w:tc>
        <w:tc>
          <w:tcPr>
            <w:tcW w:w="2610" w:type="dxa"/>
          </w:tcPr>
          <w:p w:rsidR="00D44A7A" w:rsidRDefault="00D44A7A" w:rsidP="003B2486">
            <w:pPr>
              <w:rPr>
                <w:rFonts w:eastAsiaTheme="majorEastAsia"/>
              </w:rPr>
            </w:pPr>
            <w:r>
              <w:rPr>
                <w:rFonts w:eastAsiaTheme="majorEastAsia"/>
              </w:rPr>
              <w:t>2.2</w:t>
            </w:r>
          </w:p>
        </w:tc>
        <w:tc>
          <w:tcPr>
            <w:tcW w:w="2448" w:type="dxa"/>
          </w:tcPr>
          <w:p w:rsidR="00D44A7A" w:rsidRDefault="00D44A7A" w:rsidP="003B2486">
            <w:pPr>
              <w:rPr>
                <w:rFonts w:eastAsiaTheme="majorEastAsia"/>
              </w:rPr>
            </w:pPr>
            <w:r>
              <w:rPr>
                <w:rFonts w:eastAsiaTheme="majorEastAsia"/>
              </w:rPr>
              <w:t>2.6</w:t>
            </w:r>
          </w:p>
        </w:tc>
      </w:tr>
      <w:tr w:rsidR="00D44A7A" w:rsidTr="00AC5CEE">
        <w:trPr>
          <w:cantSplit/>
        </w:trPr>
        <w:tc>
          <w:tcPr>
            <w:tcW w:w="4698" w:type="dxa"/>
          </w:tcPr>
          <w:p w:rsidR="00D44A7A" w:rsidRDefault="00D44A7A" w:rsidP="003B2486">
            <w:pPr>
              <w:rPr>
                <w:rFonts w:eastAsiaTheme="majorEastAsia"/>
              </w:rPr>
            </w:pPr>
            <w:r>
              <w:rPr>
                <w:rFonts w:eastAsiaTheme="majorEastAsia"/>
              </w:rPr>
              <w:t>Cost to maintain the standard</w:t>
            </w:r>
          </w:p>
        </w:tc>
        <w:tc>
          <w:tcPr>
            <w:tcW w:w="2430" w:type="dxa"/>
            <w:shd w:val="clear" w:color="auto" w:fill="D9D9D9" w:themeFill="background1" w:themeFillShade="D9"/>
          </w:tcPr>
          <w:p w:rsidR="00D44A7A" w:rsidRDefault="00D44A7A" w:rsidP="003B2486">
            <w:pPr>
              <w:rPr>
                <w:rFonts w:eastAsiaTheme="majorEastAsia"/>
              </w:rPr>
            </w:pPr>
            <w:r>
              <w:rPr>
                <w:rFonts w:eastAsiaTheme="majorEastAsia"/>
              </w:rPr>
              <w:t>3.0</w:t>
            </w:r>
          </w:p>
        </w:tc>
        <w:tc>
          <w:tcPr>
            <w:tcW w:w="2430" w:type="dxa"/>
          </w:tcPr>
          <w:p w:rsidR="00D44A7A" w:rsidRDefault="00D44A7A" w:rsidP="003B2486">
            <w:pPr>
              <w:rPr>
                <w:rFonts w:eastAsiaTheme="majorEastAsia"/>
              </w:rPr>
            </w:pPr>
            <w:r>
              <w:rPr>
                <w:rFonts w:eastAsiaTheme="majorEastAsia"/>
              </w:rPr>
              <w:t>3.0</w:t>
            </w:r>
          </w:p>
        </w:tc>
        <w:tc>
          <w:tcPr>
            <w:tcW w:w="2610" w:type="dxa"/>
          </w:tcPr>
          <w:p w:rsidR="00D44A7A" w:rsidRDefault="00D44A7A" w:rsidP="003B2486">
            <w:pPr>
              <w:rPr>
                <w:rFonts w:eastAsiaTheme="majorEastAsia"/>
              </w:rPr>
            </w:pPr>
            <w:r>
              <w:rPr>
                <w:rFonts w:eastAsiaTheme="majorEastAsia"/>
              </w:rPr>
              <w:t>2.2</w:t>
            </w:r>
          </w:p>
        </w:tc>
        <w:tc>
          <w:tcPr>
            <w:tcW w:w="2448" w:type="dxa"/>
          </w:tcPr>
          <w:p w:rsidR="00D44A7A" w:rsidRDefault="00D44A7A" w:rsidP="003B2486">
            <w:pPr>
              <w:rPr>
                <w:rFonts w:eastAsiaTheme="majorEastAsia"/>
              </w:rPr>
            </w:pPr>
            <w:r>
              <w:rPr>
                <w:rFonts w:eastAsiaTheme="majorEastAsia"/>
              </w:rPr>
              <w:t>2.6</w:t>
            </w:r>
          </w:p>
        </w:tc>
      </w:tr>
      <w:tr w:rsidR="000F7C19" w:rsidTr="00AC5CEE">
        <w:trPr>
          <w:cantSplit/>
        </w:trPr>
        <w:tc>
          <w:tcPr>
            <w:tcW w:w="4698" w:type="dxa"/>
          </w:tcPr>
          <w:p w:rsidR="000F7C19" w:rsidRPr="007F0223" w:rsidRDefault="000F7C19" w:rsidP="00A24259">
            <w:pPr>
              <w:tabs>
                <w:tab w:val="right" w:pos="4482"/>
              </w:tabs>
              <w:rPr>
                <w:rFonts w:eastAsiaTheme="majorEastAsia"/>
                <w:b/>
              </w:rPr>
            </w:pPr>
            <w:r>
              <w:rPr>
                <w:rFonts w:eastAsiaTheme="majorEastAsia"/>
                <w:b/>
              </w:rPr>
              <w:tab/>
            </w:r>
            <w:r w:rsidRPr="007F0223">
              <w:rPr>
                <w:rFonts w:eastAsiaTheme="majorEastAsia"/>
                <w:b/>
              </w:rPr>
              <w:t>TOTAL SCORE</w:t>
            </w:r>
          </w:p>
        </w:tc>
        <w:tc>
          <w:tcPr>
            <w:tcW w:w="2430" w:type="dxa"/>
            <w:shd w:val="clear" w:color="auto" w:fill="BFBFBF" w:themeFill="background1" w:themeFillShade="BF"/>
          </w:tcPr>
          <w:p w:rsidR="000F7C19" w:rsidRPr="00FE2C6D" w:rsidRDefault="002E2959" w:rsidP="003B2486">
            <w:pPr>
              <w:rPr>
                <w:rFonts w:eastAsiaTheme="majorEastAsia"/>
              </w:rPr>
            </w:pPr>
            <w:r>
              <w:rPr>
                <w:rFonts w:eastAsiaTheme="majorEastAsia"/>
              </w:rPr>
              <w:t>45.0</w:t>
            </w:r>
          </w:p>
        </w:tc>
        <w:tc>
          <w:tcPr>
            <w:tcW w:w="2430" w:type="dxa"/>
            <w:shd w:val="clear" w:color="auto" w:fill="BFBFBF" w:themeFill="background1" w:themeFillShade="BF"/>
          </w:tcPr>
          <w:p w:rsidR="000F7C19" w:rsidRDefault="002E2959" w:rsidP="003B2486">
            <w:pPr>
              <w:rPr>
                <w:rFonts w:eastAsiaTheme="majorEastAsia"/>
              </w:rPr>
            </w:pPr>
            <w:r>
              <w:rPr>
                <w:rFonts w:eastAsiaTheme="majorEastAsia"/>
              </w:rPr>
              <w:t>48.9</w:t>
            </w:r>
          </w:p>
        </w:tc>
        <w:tc>
          <w:tcPr>
            <w:tcW w:w="2610" w:type="dxa"/>
            <w:shd w:val="clear" w:color="auto" w:fill="BFBFBF" w:themeFill="background1" w:themeFillShade="BF"/>
          </w:tcPr>
          <w:p w:rsidR="000F7C19" w:rsidRDefault="002E2959" w:rsidP="003B2486">
            <w:pPr>
              <w:rPr>
                <w:rFonts w:eastAsiaTheme="majorEastAsia"/>
              </w:rPr>
            </w:pPr>
            <w:r>
              <w:rPr>
                <w:rFonts w:eastAsiaTheme="majorEastAsia"/>
              </w:rPr>
              <w:t>50.4</w:t>
            </w:r>
          </w:p>
        </w:tc>
        <w:tc>
          <w:tcPr>
            <w:tcW w:w="2448" w:type="dxa"/>
            <w:shd w:val="clear" w:color="auto" w:fill="BFBFBF" w:themeFill="background1" w:themeFillShade="BF"/>
          </w:tcPr>
          <w:p w:rsidR="000F7C19" w:rsidRDefault="002E2959" w:rsidP="003B2486">
            <w:pPr>
              <w:rPr>
                <w:rFonts w:eastAsiaTheme="majorEastAsia"/>
              </w:rPr>
            </w:pPr>
            <w:r>
              <w:rPr>
                <w:rFonts w:eastAsiaTheme="majorEastAsia"/>
              </w:rPr>
              <w:t>50.3</w:t>
            </w:r>
          </w:p>
        </w:tc>
      </w:tr>
      <w:tr w:rsidR="000F7C19" w:rsidTr="00AC5CEE">
        <w:trPr>
          <w:cantSplit/>
        </w:trPr>
        <w:tc>
          <w:tcPr>
            <w:tcW w:w="4698" w:type="dxa"/>
          </w:tcPr>
          <w:p w:rsidR="000F7C19" w:rsidRPr="007F0223" w:rsidRDefault="000F7C19" w:rsidP="003B2486">
            <w:pPr>
              <w:jc w:val="right"/>
              <w:rPr>
                <w:rFonts w:eastAsiaTheme="majorEastAsia"/>
                <w:b/>
              </w:rPr>
            </w:pPr>
            <w:r w:rsidRPr="007F0223">
              <w:rPr>
                <w:rFonts w:eastAsiaTheme="majorEastAsia"/>
                <w:b/>
              </w:rPr>
              <w:t>AVERAGE SCORE</w:t>
            </w:r>
          </w:p>
        </w:tc>
        <w:tc>
          <w:tcPr>
            <w:tcW w:w="2430" w:type="dxa"/>
            <w:shd w:val="clear" w:color="auto" w:fill="BFBFBF" w:themeFill="background1" w:themeFillShade="BF"/>
          </w:tcPr>
          <w:p w:rsidR="000F7C19" w:rsidRPr="00FE2C6D" w:rsidRDefault="002E2959" w:rsidP="003B2486">
            <w:pPr>
              <w:rPr>
                <w:rFonts w:eastAsiaTheme="majorEastAsia"/>
              </w:rPr>
            </w:pPr>
            <w:r>
              <w:rPr>
                <w:rFonts w:eastAsiaTheme="majorEastAsia"/>
              </w:rPr>
              <w:t>3.0</w:t>
            </w:r>
          </w:p>
        </w:tc>
        <w:tc>
          <w:tcPr>
            <w:tcW w:w="2430" w:type="dxa"/>
            <w:shd w:val="clear" w:color="auto" w:fill="BFBFBF" w:themeFill="background1" w:themeFillShade="BF"/>
          </w:tcPr>
          <w:p w:rsidR="000F7C19" w:rsidRDefault="002E2959" w:rsidP="003B2486">
            <w:pPr>
              <w:rPr>
                <w:rFonts w:eastAsiaTheme="majorEastAsia"/>
              </w:rPr>
            </w:pPr>
            <w:r>
              <w:rPr>
                <w:rFonts w:eastAsiaTheme="majorEastAsia"/>
              </w:rPr>
              <w:t>3.3</w:t>
            </w:r>
          </w:p>
        </w:tc>
        <w:tc>
          <w:tcPr>
            <w:tcW w:w="2610" w:type="dxa"/>
            <w:shd w:val="clear" w:color="auto" w:fill="BFBFBF" w:themeFill="background1" w:themeFillShade="BF"/>
          </w:tcPr>
          <w:p w:rsidR="000F7C19" w:rsidRDefault="002E2959" w:rsidP="003B2486">
            <w:pPr>
              <w:rPr>
                <w:rFonts w:eastAsiaTheme="majorEastAsia"/>
              </w:rPr>
            </w:pPr>
            <w:r>
              <w:rPr>
                <w:rFonts w:eastAsiaTheme="majorEastAsia"/>
              </w:rPr>
              <w:t>3.4</w:t>
            </w:r>
          </w:p>
        </w:tc>
        <w:tc>
          <w:tcPr>
            <w:tcW w:w="2448" w:type="dxa"/>
            <w:shd w:val="clear" w:color="auto" w:fill="BFBFBF" w:themeFill="background1" w:themeFillShade="BF"/>
          </w:tcPr>
          <w:p w:rsidR="000F7C19" w:rsidRDefault="002E2959" w:rsidP="003B2486">
            <w:pPr>
              <w:rPr>
                <w:rFonts w:eastAsiaTheme="majorEastAsia"/>
              </w:rPr>
            </w:pPr>
            <w:r>
              <w:rPr>
                <w:rFonts w:eastAsiaTheme="majorEastAsia"/>
              </w:rPr>
              <w:t>3.4</w:t>
            </w:r>
          </w:p>
        </w:tc>
      </w:tr>
    </w:tbl>
    <w:p w:rsidR="00365AAC" w:rsidRDefault="00365AAC" w:rsidP="00A24259">
      <w:pPr>
        <w:rPr>
          <w:rFonts w:eastAsiaTheme="majorEastAsia"/>
        </w:rPr>
      </w:pPr>
    </w:p>
    <w:p w:rsidR="00F307CA" w:rsidRDefault="00F307CA">
      <w:pPr>
        <w:spacing w:after="200" w:line="276" w:lineRule="auto"/>
        <w:rPr>
          <w:rFonts w:eastAsiaTheme="majorEastAsia"/>
          <w:b/>
        </w:rPr>
      </w:pPr>
      <w:r>
        <w:rPr>
          <w:rFonts w:eastAsiaTheme="majorEastAsia"/>
        </w:rPr>
        <w:br w:type="page"/>
      </w:r>
    </w:p>
    <w:p w:rsidR="00365AAC" w:rsidRPr="00365AAC" w:rsidRDefault="00365AAC" w:rsidP="00A24259">
      <w:pPr>
        <w:pStyle w:val="Heading2"/>
        <w:rPr>
          <w:rFonts w:eastAsiaTheme="majorEastAsia"/>
        </w:rPr>
      </w:pPr>
      <w:bookmarkStart w:id="34" w:name="_Toc425422228"/>
      <w:r>
        <w:rPr>
          <w:rFonts w:eastAsiaTheme="majorEastAsia"/>
        </w:rPr>
        <w:lastRenderedPageBreak/>
        <w:t>Industry – Simple Submissions</w:t>
      </w:r>
      <w:bookmarkEnd w:id="34"/>
    </w:p>
    <w:tbl>
      <w:tblPr>
        <w:tblStyle w:val="TableGrid"/>
        <w:tblW w:w="0" w:type="auto"/>
        <w:tblLook w:val="04A0" w:firstRow="1" w:lastRow="0" w:firstColumn="1" w:lastColumn="0" w:noHBand="0" w:noVBand="1"/>
      </w:tblPr>
      <w:tblGrid>
        <w:gridCol w:w="4698"/>
        <w:gridCol w:w="2430"/>
        <w:gridCol w:w="2430"/>
        <w:gridCol w:w="2610"/>
        <w:gridCol w:w="2448"/>
      </w:tblGrid>
      <w:tr w:rsidR="007A6BE5" w:rsidRPr="007F0223" w:rsidTr="00AC5CEE">
        <w:trPr>
          <w:cantSplit/>
          <w:tblHeader/>
        </w:trPr>
        <w:tc>
          <w:tcPr>
            <w:tcW w:w="4698" w:type="dxa"/>
          </w:tcPr>
          <w:p w:rsidR="007A6BE5" w:rsidRPr="007F0223" w:rsidRDefault="007A6BE5" w:rsidP="003B2486">
            <w:pPr>
              <w:rPr>
                <w:rFonts w:eastAsiaTheme="majorEastAsia"/>
                <w:b/>
                <w:sz w:val="22"/>
              </w:rPr>
            </w:pPr>
            <w:r>
              <w:rPr>
                <w:rFonts w:eastAsiaTheme="majorEastAsia"/>
                <w:b/>
                <w:sz w:val="22"/>
              </w:rPr>
              <w:t xml:space="preserve">Problem Area / </w:t>
            </w:r>
            <w:r w:rsidRPr="007F0223">
              <w:rPr>
                <w:rFonts w:eastAsiaTheme="majorEastAsia"/>
                <w:b/>
                <w:sz w:val="22"/>
              </w:rPr>
              <w:t>Objective</w:t>
            </w:r>
          </w:p>
        </w:tc>
        <w:tc>
          <w:tcPr>
            <w:tcW w:w="2430" w:type="dxa"/>
          </w:tcPr>
          <w:p w:rsidR="007A6BE5" w:rsidRPr="007F0223" w:rsidRDefault="007A6BE5" w:rsidP="003B2486">
            <w:pPr>
              <w:rPr>
                <w:rFonts w:eastAsiaTheme="majorEastAsia"/>
                <w:b/>
                <w:sz w:val="22"/>
              </w:rPr>
            </w:pPr>
            <w:r w:rsidRPr="007F0223">
              <w:rPr>
                <w:rFonts w:eastAsiaTheme="majorEastAsia"/>
                <w:b/>
                <w:sz w:val="22"/>
              </w:rPr>
              <w:t>Option 1</w:t>
            </w:r>
          </w:p>
          <w:p w:rsidR="007A6BE5" w:rsidRPr="007F0223" w:rsidRDefault="007A6BE5" w:rsidP="003B2486">
            <w:pPr>
              <w:rPr>
                <w:rFonts w:eastAsiaTheme="majorEastAsia"/>
                <w:b/>
                <w:sz w:val="22"/>
              </w:rPr>
            </w:pPr>
            <w:r w:rsidRPr="007F0223">
              <w:rPr>
                <w:rFonts w:eastAsiaTheme="majorEastAsia"/>
                <w:b/>
                <w:sz w:val="22"/>
              </w:rPr>
              <w:t>Status Quo (Baseline)</w:t>
            </w:r>
          </w:p>
        </w:tc>
        <w:tc>
          <w:tcPr>
            <w:tcW w:w="2430" w:type="dxa"/>
          </w:tcPr>
          <w:p w:rsidR="007A6BE5" w:rsidRPr="007F0223" w:rsidRDefault="007A6BE5" w:rsidP="003B2486">
            <w:pPr>
              <w:rPr>
                <w:rFonts w:eastAsiaTheme="majorEastAsia"/>
                <w:b/>
                <w:sz w:val="22"/>
              </w:rPr>
            </w:pPr>
            <w:r w:rsidRPr="007F0223">
              <w:rPr>
                <w:rFonts w:eastAsiaTheme="majorEastAsia"/>
                <w:b/>
                <w:sz w:val="22"/>
              </w:rPr>
              <w:t>Option 2</w:t>
            </w:r>
          </w:p>
          <w:p w:rsidR="007A6BE5" w:rsidRPr="007F0223" w:rsidRDefault="007A6BE5" w:rsidP="003B2486">
            <w:pPr>
              <w:rPr>
                <w:rFonts w:eastAsiaTheme="majorEastAsia"/>
                <w:b/>
                <w:sz w:val="22"/>
              </w:rPr>
            </w:pPr>
            <w:r w:rsidRPr="007F0223">
              <w:rPr>
                <w:rFonts w:eastAsiaTheme="majorEastAsia"/>
                <w:b/>
                <w:sz w:val="22"/>
              </w:rPr>
              <w:t>Harmonized Folder Structure</w:t>
            </w:r>
          </w:p>
        </w:tc>
        <w:tc>
          <w:tcPr>
            <w:tcW w:w="2610" w:type="dxa"/>
          </w:tcPr>
          <w:p w:rsidR="007A6BE5" w:rsidRPr="007F0223" w:rsidRDefault="007A6BE5" w:rsidP="003B2486">
            <w:pPr>
              <w:rPr>
                <w:rFonts w:eastAsiaTheme="majorEastAsia"/>
                <w:b/>
                <w:sz w:val="22"/>
              </w:rPr>
            </w:pPr>
            <w:r w:rsidRPr="007F0223">
              <w:rPr>
                <w:rFonts w:eastAsiaTheme="majorEastAsia"/>
                <w:b/>
                <w:sz w:val="22"/>
              </w:rPr>
              <w:t>Option 3</w:t>
            </w:r>
          </w:p>
          <w:p w:rsidR="007A6BE5" w:rsidRPr="007F0223" w:rsidRDefault="007A6BE5" w:rsidP="003B2486">
            <w:pPr>
              <w:rPr>
                <w:rFonts w:eastAsiaTheme="majorEastAsia"/>
                <w:b/>
                <w:sz w:val="22"/>
              </w:rPr>
            </w:pPr>
            <w:r w:rsidRPr="007F0223">
              <w:rPr>
                <w:rFonts w:eastAsiaTheme="majorEastAsia"/>
                <w:b/>
                <w:sz w:val="22"/>
              </w:rPr>
              <w:t>Custom IMDRF Message Standard</w:t>
            </w:r>
          </w:p>
        </w:tc>
        <w:tc>
          <w:tcPr>
            <w:tcW w:w="2448" w:type="dxa"/>
          </w:tcPr>
          <w:p w:rsidR="007A6BE5" w:rsidRPr="007F0223" w:rsidRDefault="007A6BE5" w:rsidP="003B2486">
            <w:pPr>
              <w:rPr>
                <w:rFonts w:eastAsiaTheme="majorEastAsia"/>
                <w:b/>
                <w:sz w:val="22"/>
              </w:rPr>
            </w:pPr>
            <w:r w:rsidRPr="007F0223">
              <w:rPr>
                <w:rFonts w:eastAsiaTheme="majorEastAsia"/>
                <w:b/>
                <w:sz w:val="22"/>
              </w:rPr>
              <w:t>Option 4</w:t>
            </w:r>
          </w:p>
          <w:p w:rsidR="007A6BE5" w:rsidRPr="007F0223" w:rsidRDefault="007A6BE5" w:rsidP="003B2486">
            <w:pPr>
              <w:rPr>
                <w:rFonts w:eastAsiaTheme="majorEastAsia"/>
                <w:b/>
                <w:sz w:val="22"/>
              </w:rPr>
            </w:pPr>
            <w:r w:rsidRPr="007F0223">
              <w:rPr>
                <w:rFonts w:eastAsiaTheme="majorEastAsia"/>
                <w:b/>
                <w:sz w:val="22"/>
              </w:rPr>
              <w:t>HL7 RPS Message Standard</w:t>
            </w:r>
          </w:p>
        </w:tc>
      </w:tr>
      <w:tr w:rsidR="007A6BE5" w:rsidTr="00AC5CEE">
        <w:trPr>
          <w:cantSplit/>
        </w:trPr>
        <w:tc>
          <w:tcPr>
            <w:tcW w:w="4698" w:type="dxa"/>
          </w:tcPr>
          <w:p w:rsidR="007A6BE5" w:rsidRDefault="007A6BE5" w:rsidP="003B2486">
            <w:pPr>
              <w:rPr>
                <w:rFonts w:eastAsiaTheme="majorEastAsia"/>
              </w:rPr>
            </w:pPr>
            <w:r w:rsidRPr="00283CA1">
              <w:t>Efficiently produce submissions for mu</w:t>
            </w:r>
            <w:r>
              <w:t>l</w:t>
            </w:r>
            <w:r w:rsidRPr="00283CA1">
              <w:t>tiple regions without managing multiple submission creation processes, and software tools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59A9" w:rsidP="003B2486">
            <w:pPr>
              <w:rPr>
                <w:rFonts w:eastAsiaTheme="majorEastAsia"/>
              </w:rPr>
            </w:pPr>
            <w:r>
              <w:rPr>
                <w:rFonts w:eastAsiaTheme="majorEastAsia"/>
              </w:rPr>
              <w:t>4.1</w:t>
            </w:r>
          </w:p>
        </w:tc>
        <w:tc>
          <w:tcPr>
            <w:tcW w:w="2610" w:type="dxa"/>
          </w:tcPr>
          <w:p w:rsidR="007A6BE5" w:rsidRDefault="00EB59A9" w:rsidP="003B2486">
            <w:pPr>
              <w:rPr>
                <w:rFonts w:eastAsiaTheme="majorEastAsia"/>
              </w:rPr>
            </w:pPr>
            <w:r>
              <w:rPr>
                <w:rFonts w:eastAsiaTheme="majorEastAsia"/>
              </w:rPr>
              <w:t>3.9</w:t>
            </w:r>
          </w:p>
        </w:tc>
        <w:tc>
          <w:tcPr>
            <w:tcW w:w="2448" w:type="dxa"/>
          </w:tcPr>
          <w:p w:rsidR="007A6BE5" w:rsidRDefault="00EB59A9" w:rsidP="003B2486">
            <w:pPr>
              <w:rPr>
                <w:rFonts w:eastAsiaTheme="majorEastAsia"/>
              </w:rPr>
            </w:pPr>
            <w:r>
              <w:rPr>
                <w:rFonts w:eastAsiaTheme="majorEastAsia"/>
              </w:rPr>
              <w:t>3.8</w:t>
            </w:r>
          </w:p>
        </w:tc>
      </w:tr>
      <w:tr w:rsidR="007A6BE5" w:rsidTr="00AC5CEE">
        <w:trPr>
          <w:cantSplit/>
        </w:trPr>
        <w:tc>
          <w:tcPr>
            <w:tcW w:w="4698" w:type="dxa"/>
          </w:tcPr>
          <w:p w:rsidR="007A6BE5" w:rsidRDefault="007A6BE5" w:rsidP="003B2486">
            <w:pPr>
              <w:rPr>
                <w:rFonts w:eastAsiaTheme="majorEastAsia"/>
              </w:rPr>
            </w:pPr>
            <w:r>
              <w:rPr>
                <w:rFonts w:eastAsiaTheme="majorEastAsia"/>
              </w:rPr>
              <w:t>Enable efficient exchange of information amongst regulators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shd w:val="clear" w:color="auto" w:fill="D9D9D9" w:themeFill="background1" w:themeFillShade="D9"/>
          </w:tcPr>
          <w:p w:rsidR="007A6BE5" w:rsidRDefault="00EB59A9" w:rsidP="003B2486">
            <w:pPr>
              <w:rPr>
                <w:rFonts w:eastAsiaTheme="majorEastAsia"/>
              </w:rPr>
            </w:pPr>
            <w:r>
              <w:rPr>
                <w:rFonts w:eastAsiaTheme="majorEastAsia"/>
              </w:rPr>
              <w:t>3.0</w:t>
            </w:r>
          </w:p>
        </w:tc>
        <w:tc>
          <w:tcPr>
            <w:tcW w:w="2610" w:type="dxa"/>
            <w:shd w:val="clear" w:color="auto" w:fill="D9D9D9" w:themeFill="background1" w:themeFillShade="D9"/>
          </w:tcPr>
          <w:p w:rsidR="007A6BE5" w:rsidRDefault="00EB59A9" w:rsidP="003B2486">
            <w:pPr>
              <w:rPr>
                <w:rFonts w:eastAsiaTheme="majorEastAsia"/>
              </w:rPr>
            </w:pPr>
            <w:r>
              <w:rPr>
                <w:rFonts w:eastAsiaTheme="majorEastAsia"/>
              </w:rPr>
              <w:t>3.0</w:t>
            </w:r>
          </w:p>
        </w:tc>
        <w:tc>
          <w:tcPr>
            <w:tcW w:w="2448" w:type="dxa"/>
            <w:shd w:val="clear" w:color="auto" w:fill="D9D9D9" w:themeFill="background1" w:themeFillShade="D9"/>
          </w:tcPr>
          <w:p w:rsidR="007A6BE5" w:rsidRDefault="00EB59A9" w:rsidP="003B2486">
            <w:pPr>
              <w:rPr>
                <w:rFonts w:eastAsiaTheme="majorEastAsia"/>
              </w:rPr>
            </w:pPr>
            <w:r>
              <w:rPr>
                <w:rFonts w:eastAsiaTheme="majorEastAsia"/>
              </w:rPr>
              <w:t>3.0</w:t>
            </w:r>
          </w:p>
        </w:tc>
      </w:tr>
      <w:tr w:rsidR="007A6BE5" w:rsidTr="00AC5CEE">
        <w:trPr>
          <w:cantSplit/>
        </w:trPr>
        <w:tc>
          <w:tcPr>
            <w:tcW w:w="4698" w:type="dxa"/>
          </w:tcPr>
          <w:p w:rsidR="007A6BE5" w:rsidRPr="007F0223" w:rsidRDefault="007A6BE5" w:rsidP="003B2486">
            <w:r w:rsidRPr="00287C96">
              <w:t>Enable a clear view to the</w:t>
            </w:r>
            <w:r w:rsidRPr="00E37CAA">
              <w:t xml:space="preserve"> lifecycle of A</w:t>
            </w:r>
            <w:r w:rsidRPr="007D63CB">
              <w:t>pplication content over time, as well as the ability to quickly see the most cur</w:t>
            </w:r>
            <w:r>
              <w:t>rent version of an Application.</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59A9" w:rsidP="003B2486">
            <w:pPr>
              <w:rPr>
                <w:rFonts w:eastAsiaTheme="majorEastAsia"/>
              </w:rPr>
            </w:pPr>
            <w:r>
              <w:rPr>
                <w:rFonts w:eastAsiaTheme="majorEastAsia"/>
              </w:rPr>
              <w:t>3.3</w:t>
            </w:r>
          </w:p>
        </w:tc>
        <w:tc>
          <w:tcPr>
            <w:tcW w:w="2610" w:type="dxa"/>
          </w:tcPr>
          <w:p w:rsidR="007A6BE5" w:rsidRDefault="00EB59A9" w:rsidP="003B2486">
            <w:pPr>
              <w:rPr>
                <w:rFonts w:eastAsiaTheme="majorEastAsia"/>
              </w:rPr>
            </w:pPr>
            <w:r>
              <w:rPr>
                <w:rFonts w:eastAsiaTheme="majorEastAsia"/>
              </w:rPr>
              <w:t>4.2</w:t>
            </w:r>
          </w:p>
        </w:tc>
        <w:tc>
          <w:tcPr>
            <w:tcW w:w="2448" w:type="dxa"/>
          </w:tcPr>
          <w:p w:rsidR="007A6BE5" w:rsidRDefault="00EB59A9" w:rsidP="003B2486">
            <w:pPr>
              <w:rPr>
                <w:rFonts w:eastAsiaTheme="majorEastAsia"/>
              </w:rPr>
            </w:pPr>
            <w:r>
              <w:rPr>
                <w:rFonts w:eastAsiaTheme="majorEastAsia"/>
              </w:rPr>
              <w:t>4.1</w:t>
            </w:r>
          </w:p>
        </w:tc>
      </w:tr>
      <w:tr w:rsidR="007A6BE5" w:rsidTr="00AC5CEE">
        <w:trPr>
          <w:cantSplit/>
        </w:trPr>
        <w:tc>
          <w:tcPr>
            <w:tcW w:w="4698" w:type="dxa"/>
          </w:tcPr>
          <w:p w:rsidR="007A6BE5" w:rsidRPr="007F0223" w:rsidRDefault="007A6BE5" w:rsidP="003B2486">
            <w:r w:rsidRPr="007D63CB">
              <w:t>Include additional metadata on submission content for better discovery in the future (i.</w:t>
            </w:r>
            <w:r>
              <w:t>e., TOC headings and keywords).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shd w:val="clear" w:color="auto" w:fill="D9D9D9" w:themeFill="background1" w:themeFillShade="D9"/>
          </w:tcPr>
          <w:p w:rsidR="007A6BE5" w:rsidRDefault="00EB59A9" w:rsidP="003B2486">
            <w:pPr>
              <w:rPr>
                <w:rFonts w:eastAsiaTheme="majorEastAsia"/>
              </w:rPr>
            </w:pPr>
            <w:r>
              <w:rPr>
                <w:rFonts w:eastAsiaTheme="majorEastAsia"/>
              </w:rPr>
              <w:t>3.0</w:t>
            </w:r>
          </w:p>
        </w:tc>
        <w:tc>
          <w:tcPr>
            <w:tcW w:w="2610" w:type="dxa"/>
            <w:shd w:val="clear" w:color="auto" w:fill="D9D9D9" w:themeFill="background1" w:themeFillShade="D9"/>
          </w:tcPr>
          <w:p w:rsidR="007A6BE5" w:rsidRDefault="00EB59A9" w:rsidP="003B2486">
            <w:pPr>
              <w:rPr>
                <w:rFonts w:eastAsiaTheme="majorEastAsia"/>
              </w:rPr>
            </w:pPr>
            <w:r>
              <w:rPr>
                <w:rFonts w:eastAsiaTheme="majorEastAsia"/>
              </w:rPr>
              <w:t>3.0</w:t>
            </w:r>
          </w:p>
        </w:tc>
        <w:tc>
          <w:tcPr>
            <w:tcW w:w="2448" w:type="dxa"/>
            <w:shd w:val="clear" w:color="auto" w:fill="D9D9D9" w:themeFill="background1" w:themeFillShade="D9"/>
          </w:tcPr>
          <w:p w:rsidR="007A6BE5" w:rsidRDefault="00EB59A9" w:rsidP="003B2486">
            <w:pPr>
              <w:rPr>
                <w:rFonts w:eastAsiaTheme="majorEastAsia"/>
              </w:rPr>
            </w:pPr>
            <w:r>
              <w:rPr>
                <w:rFonts w:eastAsiaTheme="majorEastAsia"/>
              </w:rPr>
              <w:t>3.0</w:t>
            </w:r>
          </w:p>
        </w:tc>
      </w:tr>
      <w:tr w:rsidR="007A6BE5" w:rsidTr="00AC5CEE">
        <w:trPr>
          <w:cantSplit/>
        </w:trPr>
        <w:tc>
          <w:tcPr>
            <w:tcW w:w="4698" w:type="dxa"/>
          </w:tcPr>
          <w:p w:rsidR="007A6BE5" w:rsidRPr="007F0223" w:rsidRDefault="007A6BE5" w:rsidP="003B2486">
            <w:r w:rsidRPr="007D63CB">
              <w:t>Provide a mechanism through which the full submission lifecycle for a product can be easily tr</w:t>
            </w:r>
            <w:r>
              <w:t xml:space="preserve">ansferred between stakeholders </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59A9" w:rsidP="003B2486">
            <w:pPr>
              <w:rPr>
                <w:rFonts w:eastAsiaTheme="majorEastAsia"/>
              </w:rPr>
            </w:pPr>
            <w:r>
              <w:rPr>
                <w:rFonts w:eastAsiaTheme="majorEastAsia"/>
              </w:rPr>
              <w:t>3.3</w:t>
            </w:r>
          </w:p>
        </w:tc>
        <w:tc>
          <w:tcPr>
            <w:tcW w:w="2610" w:type="dxa"/>
          </w:tcPr>
          <w:p w:rsidR="007A6BE5" w:rsidRDefault="00EB59A9" w:rsidP="003B2486">
            <w:pPr>
              <w:rPr>
                <w:rFonts w:eastAsiaTheme="majorEastAsia"/>
              </w:rPr>
            </w:pPr>
            <w:r>
              <w:rPr>
                <w:rFonts w:eastAsiaTheme="majorEastAsia"/>
              </w:rPr>
              <w:t>3.5</w:t>
            </w:r>
          </w:p>
        </w:tc>
        <w:tc>
          <w:tcPr>
            <w:tcW w:w="2448" w:type="dxa"/>
          </w:tcPr>
          <w:p w:rsidR="007A6BE5" w:rsidRDefault="00EB59A9" w:rsidP="003B2486">
            <w:pPr>
              <w:rPr>
                <w:rFonts w:eastAsiaTheme="majorEastAsia"/>
              </w:rPr>
            </w:pPr>
            <w:r>
              <w:rPr>
                <w:rFonts w:eastAsiaTheme="majorEastAsia"/>
              </w:rPr>
              <w:t>3.5</w:t>
            </w:r>
          </w:p>
        </w:tc>
      </w:tr>
      <w:tr w:rsidR="007A6BE5" w:rsidTr="00AC5CEE">
        <w:trPr>
          <w:cantSplit/>
        </w:trPr>
        <w:tc>
          <w:tcPr>
            <w:tcW w:w="4698" w:type="dxa"/>
          </w:tcPr>
          <w:p w:rsidR="007A6BE5" w:rsidRPr="007F0223" w:rsidRDefault="007A6BE5" w:rsidP="003B2486">
            <w:r w:rsidRPr="007D63CB">
              <w:t>When product changes result in changes to submitted documentation, facilitate more efficient analysis of which submissions and which regions w</w:t>
            </w:r>
            <w:r>
              <w:t>ould be impacted by the change.</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59A9" w:rsidP="003B2486">
            <w:pPr>
              <w:rPr>
                <w:rFonts w:eastAsiaTheme="majorEastAsia"/>
              </w:rPr>
            </w:pPr>
            <w:r>
              <w:rPr>
                <w:rFonts w:eastAsiaTheme="majorEastAsia"/>
              </w:rPr>
              <w:t>3.5</w:t>
            </w:r>
          </w:p>
        </w:tc>
        <w:tc>
          <w:tcPr>
            <w:tcW w:w="2610" w:type="dxa"/>
          </w:tcPr>
          <w:p w:rsidR="007A6BE5" w:rsidRDefault="00EB59A9" w:rsidP="003B2486">
            <w:pPr>
              <w:rPr>
                <w:rFonts w:eastAsiaTheme="majorEastAsia"/>
              </w:rPr>
            </w:pPr>
            <w:r>
              <w:rPr>
                <w:rFonts w:eastAsiaTheme="majorEastAsia"/>
              </w:rPr>
              <w:t>3.4</w:t>
            </w:r>
          </w:p>
        </w:tc>
        <w:tc>
          <w:tcPr>
            <w:tcW w:w="2448" w:type="dxa"/>
          </w:tcPr>
          <w:p w:rsidR="007A6BE5" w:rsidRDefault="00EB59A9" w:rsidP="003B2486">
            <w:pPr>
              <w:rPr>
                <w:rFonts w:eastAsiaTheme="majorEastAsia"/>
              </w:rPr>
            </w:pPr>
            <w:r>
              <w:rPr>
                <w:rFonts w:eastAsiaTheme="majorEastAsia"/>
              </w:rPr>
              <w:t>3.3</w:t>
            </w:r>
          </w:p>
        </w:tc>
      </w:tr>
      <w:tr w:rsidR="007A6BE5" w:rsidTr="00AC5CEE">
        <w:trPr>
          <w:cantSplit/>
        </w:trPr>
        <w:tc>
          <w:tcPr>
            <w:tcW w:w="4698" w:type="dxa"/>
          </w:tcPr>
          <w:p w:rsidR="007A6BE5" w:rsidRDefault="007A6BE5" w:rsidP="003B2486">
            <w:pPr>
              <w:rPr>
                <w:rFonts w:eastAsiaTheme="majorEastAsia"/>
              </w:rPr>
            </w:pPr>
            <w:r w:rsidRPr="007D63CB">
              <w:t>Enable regulators and industry to consistently and clearly identify / communicate how a submission relates to previous applications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59A9" w:rsidP="003B2486">
            <w:pPr>
              <w:rPr>
                <w:rFonts w:eastAsiaTheme="majorEastAsia"/>
              </w:rPr>
            </w:pPr>
            <w:r>
              <w:rPr>
                <w:rFonts w:eastAsiaTheme="majorEastAsia"/>
              </w:rPr>
              <w:t>3.8</w:t>
            </w:r>
          </w:p>
        </w:tc>
        <w:tc>
          <w:tcPr>
            <w:tcW w:w="2610" w:type="dxa"/>
          </w:tcPr>
          <w:p w:rsidR="007A6BE5" w:rsidRDefault="00EB59A9" w:rsidP="003B2486">
            <w:pPr>
              <w:rPr>
                <w:rFonts w:eastAsiaTheme="majorEastAsia"/>
              </w:rPr>
            </w:pPr>
            <w:r>
              <w:rPr>
                <w:rFonts w:eastAsiaTheme="majorEastAsia"/>
              </w:rPr>
              <w:t>3.8</w:t>
            </w:r>
          </w:p>
        </w:tc>
        <w:tc>
          <w:tcPr>
            <w:tcW w:w="2448" w:type="dxa"/>
          </w:tcPr>
          <w:p w:rsidR="007A6BE5" w:rsidRDefault="00EB59A9" w:rsidP="003B2486">
            <w:pPr>
              <w:rPr>
                <w:rFonts w:eastAsiaTheme="majorEastAsia"/>
              </w:rPr>
            </w:pPr>
            <w:r>
              <w:rPr>
                <w:rFonts w:eastAsiaTheme="majorEastAsia"/>
              </w:rPr>
              <w:t>3.6</w:t>
            </w:r>
          </w:p>
        </w:tc>
      </w:tr>
      <w:tr w:rsidR="007A6BE5" w:rsidTr="00AC5CEE">
        <w:trPr>
          <w:cantSplit/>
        </w:trPr>
        <w:tc>
          <w:tcPr>
            <w:tcW w:w="4698" w:type="dxa"/>
          </w:tcPr>
          <w:p w:rsidR="007A6BE5" w:rsidRDefault="007A6BE5" w:rsidP="003B2486">
            <w:pPr>
              <w:rPr>
                <w:rFonts w:eastAsiaTheme="majorEastAsia"/>
              </w:rPr>
            </w:pPr>
            <w:r w:rsidRPr="007D63CB">
              <w:rPr>
                <w:szCs w:val="24"/>
              </w:rPr>
              <w:t xml:space="preserve">Enable efficient access </w:t>
            </w:r>
            <w:r>
              <w:rPr>
                <w:szCs w:val="24"/>
              </w:rPr>
              <w:t xml:space="preserve">(for appropriate parties) to </w:t>
            </w:r>
            <w:r w:rsidRPr="007D63CB">
              <w:rPr>
                <w:szCs w:val="24"/>
              </w:rPr>
              <w:t>information provided electronically in submissions</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59A9" w:rsidP="003B2486">
            <w:pPr>
              <w:rPr>
                <w:rFonts w:eastAsiaTheme="majorEastAsia"/>
              </w:rPr>
            </w:pPr>
            <w:r>
              <w:rPr>
                <w:rFonts w:eastAsiaTheme="majorEastAsia"/>
              </w:rPr>
              <w:t>4.0</w:t>
            </w:r>
          </w:p>
        </w:tc>
        <w:tc>
          <w:tcPr>
            <w:tcW w:w="2610" w:type="dxa"/>
          </w:tcPr>
          <w:p w:rsidR="007A6BE5" w:rsidRDefault="00EB59A9" w:rsidP="003B2486">
            <w:pPr>
              <w:rPr>
                <w:rFonts w:eastAsiaTheme="majorEastAsia"/>
              </w:rPr>
            </w:pPr>
            <w:r>
              <w:rPr>
                <w:rFonts w:eastAsiaTheme="majorEastAsia"/>
              </w:rPr>
              <w:t>3.5</w:t>
            </w:r>
          </w:p>
        </w:tc>
        <w:tc>
          <w:tcPr>
            <w:tcW w:w="2448" w:type="dxa"/>
          </w:tcPr>
          <w:p w:rsidR="007A6BE5" w:rsidRDefault="00EB59A9" w:rsidP="003B2486">
            <w:pPr>
              <w:rPr>
                <w:rFonts w:eastAsiaTheme="majorEastAsia"/>
              </w:rPr>
            </w:pPr>
            <w:r>
              <w:rPr>
                <w:rFonts w:eastAsiaTheme="majorEastAsia"/>
              </w:rPr>
              <w:t>3.2</w:t>
            </w:r>
          </w:p>
        </w:tc>
      </w:tr>
      <w:tr w:rsidR="007A6BE5" w:rsidTr="00AC5CEE">
        <w:trPr>
          <w:cantSplit/>
        </w:trPr>
        <w:tc>
          <w:tcPr>
            <w:tcW w:w="4698" w:type="dxa"/>
          </w:tcPr>
          <w:p w:rsidR="007A6BE5" w:rsidRDefault="007A6BE5" w:rsidP="003B2486">
            <w:pPr>
              <w:rPr>
                <w:rFonts w:eastAsiaTheme="majorEastAsia"/>
              </w:rPr>
            </w:pPr>
            <w:r w:rsidRPr="00A65750">
              <w:rPr>
                <w:szCs w:val="24"/>
              </w:rPr>
              <w:t xml:space="preserve">Enable a solution for electronic storage of product submissions </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tcPr>
          <w:p w:rsidR="007A6BE5" w:rsidRDefault="00EB59A9" w:rsidP="003B2486">
            <w:pPr>
              <w:rPr>
                <w:rFonts w:eastAsiaTheme="majorEastAsia"/>
              </w:rPr>
            </w:pPr>
            <w:r>
              <w:rPr>
                <w:rFonts w:eastAsiaTheme="majorEastAsia"/>
              </w:rPr>
              <w:t>3.5</w:t>
            </w:r>
          </w:p>
        </w:tc>
        <w:tc>
          <w:tcPr>
            <w:tcW w:w="2610" w:type="dxa"/>
          </w:tcPr>
          <w:p w:rsidR="007A6BE5" w:rsidRDefault="00EB59A9" w:rsidP="003B2486">
            <w:pPr>
              <w:rPr>
                <w:rFonts w:eastAsiaTheme="majorEastAsia"/>
              </w:rPr>
            </w:pPr>
            <w:r>
              <w:rPr>
                <w:rFonts w:eastAsiaTheme="majorEastAsia"/>
              </w:rPr>
              <w:t>3.1</w:t>
            </w:r>
          </w:p>
        </w:tc>
        <w:tc>
          <w:tcPr>
            <w:tcW w:w="2448" w:type="dxa"/>
          </w:tcPr>
          <w:p w:rsidR="007A6BE5" w:rsidRDefault="00EB59A9" w:rsidP="003B2486">
            <w:pPr>
              <w:rPr>
                <w:rFonts w:eastAsiaTheme="majorEastAsia"/>
              </w:rPr>
            </w:pPr>
            <w:r>
              <w:rPr>
                <w:rFonts w:eastAsiaTheme="majorEastAsia"/>
              </w:rPr>
              <w:t>3.0</w:t>
            </w:r>
          </w:p>
        </w:tc>
      </w:tr>
      <w:tr w:rsidR="007A6BE5" w:rsidTr="00AC5CEE">
        <w:trPr>
          <w:cantSplit/>
        </w:trPr>
        <w:tc>
          <w:tcPr>
            <w:tcW w:w="4698" w:type="dxa"/>
          </w:tcPr>
          <w:p w:rsidR="007A6BE5" w:rsidRDefault="007A6BE5" w:rsidP="003B2486">
            <w:pPr>
              <w:rPr>
                <w:rFonts w:eastAsiaTheme="majorEastAsia"/>
              </w:rPr>
            </w:pPr>
            <w:r w:rsidRPr="007D63CB">
              <w:rPr>
                <w:szCs w:val="24"/>
              </w:rPr>
              <w:lastRenderedPageBreak/>
              <w:t xml:space="preserve">Enable efficient </w:t>
            </w:r>
            <w:r w:rsidRPr="00A65750">
              <w:rPr>
                <w:szCs w:val="24"/>
              </w:rPr>
              <w:t xml:space="preserve">simultaneous </w:t>
            </w:r>
            <w:r w:rsidRPr="00F52C03">
              <w:rPr>
                <w:szCs w:val="24"/>
              </w:rPr>
              <w:t>access to information (</w:t>
            </w:r>
            <w:r w:rsidRPr="00C5250F">
              <w:rPr>
                <w:szCs w:val="24"/>
              </w:rPr>
              <w:t>for reviewers) provided electronically in submissions</w:t>
            </w:r>
            <w:r w:rsidRPr="00C5250F" w:rsidDel="00222780">
              <w:rPr>
                <w:szCs w:val="24"/>
              </w:rPr>
              <w:t xml:space="preserve"> </w:t>
            </w:r>
          </w:p>
        </w:tc>
        <w:tc>
          <w:tcPr>
            <w:tcW w:w="2430" w:type="dxa"/>
            <w:shd w:val="clear" w:color="auto" w:fill="D9D9D9" w:themeFill="background1" w:themeFillShade="D9"/>
          </w:tcPr>
          <w:p w:rsidR="007A6BE5" w:rsidRDefault="00F307CA" w:rsidP="003B2486">
            <w:pPr>
              <w:rPr>
                <w:rFonts w:eastAsiaTheme="majorEastAsia"/>
              </w:rPr>
            </w:pPr>
            <w:r>
              <w:rPr>
                <w:rFonts w:eastAsiaTheme="majorEastAsia"/>
              </w:rPr>
              <w:t>3.0</w:t>
            </w:r>
          </w:p>
        </w:tc>
        <w:tc>
          <w:tcPr>
            <w:tcW w:w="2430" w:type="dxa"/>
            <w:shd w:val="clear" w:color="auto" w:fill="D9D9D9" w:themeFill="background1" w:themeFillShade="D9"/>
          </w:tcPr>
          <w:p w:rsidR="007A6BE5" w:rsidRDefault="00EB59A9" w:rsidP="003B2486">
            <w:pPr>
              <w:rPr>
                <w:rFonts w:eastAsiaTheme="majorEastAsia"/>
              </w:rPr>
            </w:pPr>
            <w:r>
              <w:rPr>
                <w:rFonts w:eastAsiaTheme="majorEastAsia"/>
              </w:rPr>
              <w:t>3.0</w:t>
            </w:r>
          </w:p>
        </w:tc>
        <w:tc>
          <w:tcPr>
            <w:tcW w:w="2610" w:type="dxa"/>
            <w:shd w:val="clear" w:color="auto" w:fill="D9D9D9" w:themeFill="background1" w:themeFillShade="D9"/>
          </w:tcPr>
          <w:p w:rsidR="007A6BE5" w:rsidRDefault="00EB59A9" w:rsidP="003B2486">
            <w:pPr>
              <w:rPr>
                <w:rFonts w:eastAsiaTheme="majorEastAsia"/>
              </w:rPr>
            </w:pPr>
            <w:r>
              <w:rPr>
                <w:rFonts w:eastAsiaTheme="majorEastAsia"/>
              </w:rPr>
              <w:t>3.0</w:t>
            </w:r>
          </w:p>
        </w:tc>
        <w:tc>
          <w:tcPr>
            <w:tcW w:w="2448" w:type="dxa"/>
            <w:shd w:val="clear" w:color="auto" w:fill="D9D9D9" w:themeFill="background1" w:themeFillShade="D9"/>
          </w:tcPr>
          <w:p w:rsidR="007A6BE5" w:rsidRDefault="00EB59A9" w:rsidP="003B2486">
            <w:pPr>
              <w:rPr>
                <w:rFonts w:eastAsiaTheme="majorEastAsia"/>
              </w:rPr>
            </w:pPr>
            <w:r>
              <w:rPr>
                <w:rFonts w:eastAsiaTheme="majorEastAsia"/>
              </w:rPr>
              <w:t>3.0</w:t>
            </w:r>
          </w:p>
        </w:tc>
      </w:tr>
      <w:tr w:rsidR="00EB59A9" w:rsidTr="00AC5CEE">
        <w:trPr>
          <w:cantSplit/>
        </w:trPr>
        <w:tc>
          <w:tcPr>
            <w:tcW w:w="4698" w:type="dxa"/>
          </w:tcPr>
          <w:p w:rsidR="00EB59A9" w:rsidRPr="00A65750" w:rsidRDefault="00EB59A9" w:rsidP="003B2486">
            <w:pPr>
              <w:rPr>
                <w:szCs w:val="24"/>
              </w:rPr>
            </w:pPr>
            <w:r w:rsidRPr="00C849A0">
              <w:rPr>
                <w:szCs w:val="24"/>
              </w:rPr>
              <w:t>Enable reduction of resources / time required for manual login (data entry, record creation) of submissions</w:t>
            </w:r>
          </w:p>
          <w:p w:rsidR="00EB59A9" w:rsidRPr="00C5250F" w:rsidRDefault="00EB59A9" w:rsidP="003B2486">
            <w:pPr>
              <w:rPr>
                <w:szCs w:val="24"/>
              </w:rPr>
            </w:pPr>
            <w:r w:rsidRPr="00F52C03">
              <w:rPr>
                <w:szCs w:val="24"/>
              </w:rPr>
              <w:t>Note:  This objective would require the collection of structured data values from indu</w:t>
            </w:r>
            <w:r w:rsidRPr="00C5250F">
              <w:rPr>
                <w:szCs w:val="24"/>
              </w:rPr>
              <w:t>stry</w:t>
            </w:r>
          </w:p>
          <w:p w:rsidR="00EB59A9" w:rsidRDefault="00EB59A9" w:rsidP="003B2486">
            <w:pPr>
              <w:rPr>
                <w:rFonts w:eastAsiaTheme="majorEastAsia"/>
              </w:rPr>
            </w:pPr>
          </w:p>
        </w:tc>
        <w:tc>
          <w:tcPr>
            <w:tcW w:w="2430" w:type="dxa"/>
            <w:shd w:val="clear" w:color="auto" w:fill="D9D9D9" w:themeFill="background1" w:themeFillShade="D9"/>
          </w:tcPr>
          <w:p w:rsidR="00EB59A9" w:rsidRDefault="00EB59A9" w:rsidP="003B2486">
            <w:pPr>
              <w:rPr>
                <w:rFonts w:eastAsiaTheme="majorEastAsia"/>
              </w:rPr>
            </w:pPr>
            <w:r>
              <w:rPr>
                <w:rFonts w:eastAsiaTheme="majorEastAsia"/>
              </w:rPr>
              <w:t>3.0</w:t>
            </w:r>
          </w:p>
        </w:tc>
        <w:tc>
          <w:tcPr>
            <w:tcW w:w="2430" w:type="dxa"/>
            <w:shd w:val="clear" w:color="auto" w:fill="D9D9D9" w:themeFill="background1" w:themeFillShade="D9"/>
          </w:tcPr>
          <w:p w:rsidR="00EB59A9" w:rsidRDefault="00EB59A9" w:rsidP="003B2486">
            <w:pPr>
              <w:rPr>
                <w:rFonts w:eastAsiaTheme="majorEastAsia"/>
              </w:rPr>
            </w:pPr>
            <w:r>
              <w:rPr>
                <w:rFonts w:eastAsiaTheme="majorEastAsia"/>
              </w:rPr>
              <w:t>3.0</w:t>
            </w:r>
          </w:p>
        </w:tc>
        <w:tc>
          <w:tcPr>
            <w:tcW w:w="2610" w:type="dxa"/>
            <w:shd w:val="clear" w:color="auto" w:fill="D9D9D9" w:themeFill="background1" w:themeFillShade="D9"/>
          </w:tcPr>
          <w:p w:rsidR="00EB59A9" w:rsidRDefault="00EB59A9" w:rsidP="003B2486">
            <w:pPr>
              <w:rPr>
                <w:rFonts w:eastAsiaTheme="majorEastAsia"/>
              </w:rPr>
            </w:pPr>
            <w:r>
              <w:rPr>
                <w:rFonts w:eastAsiaTheme="majorEastAsia"/>
              </w:rPr>
              <w:t>3.0</w:t>
            </w:r>
          </w:p>
        </w:tc>
        <w:tc>
          <w:tcPr>
            <w:tcW w:w="2448" w:type="dxa"/>
            <w:shd w:val="clear" w:color="auto" w:fill="D9D9D9" w:themeFill="background1" w:themeFillShade="D9"/>
          </w:tcPr>
          <w:p w:rsidR="00EB59A9" w:rsidRDefault="00EB59A9" w:rsidP="003B2486">
            <w:pPr>
              <w:rPr>
                <w:rFonts w:eastAsiaTheme="majorEastAsia"/>
              </w:rPr>
            </w:pPr>
            <w:r>
              <w:rPr>
                <w:rFonts w:eastAsiaTheme="majorEastAsia"/>
              </w:rPr>
              <w:t>3.0</w:t>
            </w:r>
          </w:p>
        </w:tc>
      </w:tr>
      <w:tr w:rsidR="00EB59A9" w:rsidTr="00AC5CEE">
        <w:trPr>
          <w:cantSplit/>
        </w:trPr>
        <w:tc>
          <w:tcPr>
            <w:tcW w:w="4698" w:type="dxa"/>
          </w:tcPr>
          <w:p w:rsidR="00EB59A9" w:rsidRPr="00F52C03" w:rsidRDefault="00EB59A9" w:rsidP="003B2486">
            <w:pPr>
              <w:rPr>
                <w:szCs w:val="24"/>
              </w:rPr>
            </w:pPr>
            <w:r w:rsidRPr="00A65750">
              <w:rPr>
                <w:szCs w:val="24"/>
              </w:rPr>
              <w:t xml:space="preserve">Provide a way to automatically identify the current review status of a submission.  </w:t>
            </w:r>
          </w:p>
          <w:p w:rsidR="00EB59A9" w:rsidRPr="00F52C03" w:rsidRDefault="00EB59A9" w:rsidP="003B2486">
            <w:pPr>
              <w:rPr>
                <w:szCs w:val="24"/>
              </w:rPr>
            </w:pPr>
          </w:p>
          <w:p w:rsidR="00EB59A9" w:rsidRPr="00C849A0" w:rsidRDefault="00EB59A9" w:rsidP="003B2486">
            <w:pPr>
              <w:rPr>
                <w:szCs w:val="24"/>
              </w:rPr>
            </w:pPr>
          </w:p>
          <w:p w:rsidR="00EB59A9" w:rsidRDefault="00EB59A9" w:rsidP="003B2486">
            <w:pPr>
              <w:rPr>
                <w:rFonts w:eastAsiaTheme="majorEastAsia"/>
              </w:rPr>
            </w:pPr>
          </w:p>
        </w:tc>
        <w:tc>
          <w:tcPr>
            <w:tcW w:w="2430" w:type="dxa"/>
            <w:shd w:val="clear" w:color="auto" w:fill="D9D9D9" w:themeFill="background1" w:themeFillShade="D9"/>
          </w:tcPr>
          <w:p w:rsidR="00EB59A9" w:rsidRDefault="00EB59A9" w:rsidP="003B2486">
            <w:pPr>
              <w:rPr>
                <w:rFonts w:eastAsiaTheme="majorEastAsia"/>
              </w:rPr>
            </w:pPr>
            <w:r>
              <w:rPr>
                <w:rFonts w:eastAsiaTheme="majorEastAsia"/>
              </w:rPr>
              <w:t>3.0</w:t>
            </w:r>
          </w:p>
        </w:tc>
        <w:tc>
          <w:tcPr>
            <w:tcW w:w="2430" w:type="dxa"/>
          </w:tcPr>
          <w:p w:rsidR="00EB59A9" w:rsidRDefault="00EB59A9" w:rsidP="003B2486">
            <w:pPr>
              <w:rPr>
                <w:rFonts w:eastAsiaTheme="majorEastAsia"/>
              </w:rPr>
            </w:pPr>
            <w:r>
              <w:rPr>
                <w:rFonts w:eastAsiaTheme="majorEastAsia"/>
              </w:rPr>
              <w:t>3.8</w:t>
            </w:r>
          </w:p>
        </w:tc>
        <w:tc>
          <w:tcPr>
            <w:tcW w:w="2610" w:type="dxa"/>
          </w:tcPr>
          <w:p w:rsidR="00EB59A9" w:rsidRDefault="00EB59A9" w:rsidP="003B2486">
            <w:pPr>
              <w:rPr>
                <w:rFonts w:eastAsiaTheme="majorEastAsia"/>
              </w:rPr>
            </w:pPr>
            <w:r>
              <w:rPr>
                <w:rFonts w:eastAsiaTheme="majorEastAsia"/>
              </w:rPr>
              <w:t>3.9</w:t>
            </w:r>
          </w:p>
        </w:tc>
        <w:tc>
          <w:tcPr>
            <w:tcW w:w="2448" w:type="dxa"/>
          </w:tcPr>
          <w:p w:rsidR="00EB59A9" w:rsidRDefault="00EB59A9" w:rsidP="003B2486">
            <w:pPr>
              <w:rPr>
                <w:rFonts w:eastAsiaTheme="majorEastAsia"/>
              </w:rPr>
            </w:pPr>
            <w:r>
              <w:rPr>
                <w:rFonts w:eastAsiaTheme="majorEastAsia"/>
              </w:rPr>
              <w:t>3.9</w:t>
            </w:r>
          </w:p>
        </w:tc>
      </w:tr>
      <w:tr w:rsidR="00EB59A9" w:rsidTr="00AC5CEE">
        <w:trPr>
          <w:cantSplit/>
        </w:trPr>
        <w:tc>
          <w:tcPr>
            <w:tcW w:w="4698" w:type="dxa"/>
          </w:tcPr>
          <w:p w:rsidR="00EB59A9" w:rsidRDefault="00EB59A9" w:rsidP="003B2486">
            <w:pPr>
              <w:rPr>
                <w:rFonts w:eastAsiaTheme="majorEastAsia"/>
              </w:rPr>
            </w:pPr>
            <w:r>
              <w:rPr>
                <w:szCs w:val="24"/>
              </w:rPr>
              <w:t>Provide a way to maintain the lifecycle of an Application over time when the regulation changes result in TOC variance between submissions.</w:t>
            </w:r>
          </w:p>
        </w:tc>
        <w:tc>
          <w:tcPr>
            <w:tcW w:w="2430" w:type="dxa"/>
            <w:shd w:val="clear" w:color="auto" w:fill="D9D9D9" w:themeFill="background1" w:themeFillShade="D9"/>
          </w:tcPr>
          <w:p w:rsidR="00EB59A9" w:rsidRDefault="00EB59A9" w:rsidP="003B2486">
            <w:pPr>
              <w:rPr>
                <w:rFonts w:eastAsiaTheme="majorEastAsia"/>
              </w:rPr>
            </w:pPr>
            <w:r>
              <w:rPr>
                <w:rFonts w:eastAsiaTheme="majorEastAsia"/>
              </w:rPr>
              <w:t>3.0</w:t>
            </w:r>
          </w:p>
        </w:tc>
        <w:tc>
          <w:tcPr>
            <w:tcW w:w="2430" w:type="dxa"/>
          </w:tcPr>
          <w:p w:rsidR="00EB59A9" w:rsidRDefault="00EB59A9" w:rsidP="003B2486">
            <w:pPr>
              <w:rPr>
                <w:rFonts w:eastAsiaTheme="majorEastAsia"/>
              </w:rPr>
            </w:pPr>
            <w:r>
              <w:rPr>
                <w:rFonts w:eastAsiaTheme="majorEastAsia"/>
              </w:rPr>
              <w:t>3.4</w:t>
            </w:r>
          </w:p>
        </w:tc>
        <w:tc>
          <w:tcPr>
            <w:tcW w:w="2610" w:type="dxa"/>
          </w:tcPr>
          <w:p w:rsidR="00EB59A9" w:rsidRDefault="00EB59A9" w:rsidP="003B2486">
            <w:pPr>
              <w:rPr>
                <w:rFonts w:eastAsiaTheme="majorEastAsia"/>
              </w:rPr>
            </w:pPr>
            <w:r>
              <w:rPr>
                <w:rFonts w:eastAsiaTheme="majorEastAsia"/>
              </w:rPr>
              <w:t>3.5</w:t>
            </w:r>
          </w:p>
        </w:tc>
        <w:tc>
          <w:tcPr>
            <w:tcW w:w="2448" w:type="dxa"/>
          </w:tcPr>
          <w:p w:rsidR="00EB59A9" w:rsidRDefault="00EB59A9" w:rsidP="003B2486">
            <w:pPr>
              <w:rPr>
                <w:rFonts w:eastAsiaTheme="majorEastAsia"/>
              </w:rPr>
            </w:pPr>
            <w:r>
              <w:rPr>
                <w:rFonts w:eastAsiaTheme="majorEastAsia"/>
              </w:rPr>
              <w:t>3.3</w:t>
            </w:r>
          </w:p>
        </w:tc>
      </w:tr>
      <w:tr w:rsidR="00EB59A9" w:rsidTr="00AC5CEE">
        <w:trPr>
          <w:cantSplit/>
        </w:trPr>
        <w:tc>
          <w:tcPr>
            <w:tcW w:w="4698" w:type="dxa"/>
          </w:tcPr>
          <w:p w:rsidR="00EB59A9" w:rsidRDefault="00EB59A9" w:rsidP="003B2486">
            <w:pPr>
              <w:rPr>
                <w:rFonts w:eastAsiaTheme="majorEastAsia"/>
              </w:rPr>
            </w:pPr>
            <w:r>
              <w:rPr>
                <w:rFonts w:eastAsiaTheme="majorEastAsia"/>
              </w:rPr>
              <w:t>Cost to maintain the solution.  This includes consideration of resources to manage day to day submission activity, and effort to provide governance over time</w:t>
            </w:r>
          </w:p>
        </w:tc>
        <w:tc>
          <w:tcPr>
            <w:tcW w:w="2430" w:type="dxa"/>
            <w:shd w:val="clear" w:color="auto" w:fill="D9D9D9" w:themeFill="background1" w:themeFillShade="D9"/>
          </w:tcPr>
          <w:p w:rsidR="00EB59A9" w:rsidRDefault="00EB59A9" w:rsidP="003B2486">
            <w:pPr>
              <w:rPr>
                <w:rFonts w:eastAsiaTheme="majorEastAsia"/>
              </w:rPr>
            </w:pPr>
            <w:r>
              <w:rPr>
                <w:rFonts w:eastAsiaTheme="majorEastAsia"/>
              </w:rPr>
              <w:t>3.0</w:t>
            </w:r>
          </w:p>
        </w:tc>
        <w:tc>
          <w:tcPr>
            <w:tcW w:w="2430" w:type="dxa"/>
          </w:tcPr>
          <w:p w:rsidR="00EB59A9" w:rsidRDefault="00EB59A9" w:rsidP="003B2486">
            <w:pPr>
              <w:rPr>
                <w:rFonts w:eastAsiaTheme="majorEastAsia"/>
              </w:rPr>
            </w:pPr>
            <w:r>
              <w:rPr>
                <w:rFonts w:eastAsiaTheme="majorEastAsia"/>
              </w:rPr>
              <w:t>3.0</w:t>
            </w:r>
          </w:p>
        </w:tc>
        <w:tc>
          <w:tcPr>
            <w:tcW w:w="2610" w:type="dxa"/>
          </w:tcPr>
          <w:p w:rsidR="00EB59A9" w:rsidRDefault="00EB59A9" w:rsidP="003B2486">
            <w:pPr>
              <w:rPr>
                <w:rFonts w:eastAsiaTheme="majorEastAsia"/>
              </w:rPr>
            </w:pPr>
            <w:r>
              <w:rPr>
                <w:rFonts w:eastAsiaTheme="majorEastAsia"/>
              </w:rPr>
              <w:t>2.3</w:t>
            </w:r>
          </w:p>
        </w:tc>
        <w:tc>
          <w:tcPr>
            <w:tcW w:w="2448" w:type="dxa"/>
          </w:tcPr>
          <w:p w:rsidR="00EB59A9" w:rsidRDefault="00EB59A9" w:rsidP="003B2486">
            <w:pPr>
              <w:rPr>
                <w:rFonts w:eastAsiaTheme="majorEastAsia"/>
              </w:rPr>
            </w:pPr>
            <w:r>
              <w:rPr>
                <w:rFonts w:eastAsiaTheme="majorEastAsia"/>
              </w:rPr>
              <w:t>2.5</w:t>
            </w:r>
          </w:p>
        </w:tc>
      </w:tr>
      <w:tr w:rsidR="00EB59A9" w:rsidTr="00AC5CEE">
        <w:trPr>
          <w:cantSplit/>
        </w:trPr>
        <w:tc>
          <w:tcPr>
            <w:tcW w:w="4698" w:type="dxa"/>
          </w:tcPr>
          <w:p w:rsidR="00EB59A9" w:rsidRDefault="00EB59A9" w:rsidP="003B2486">
            <w:pPr>
              <w:rPr>
                <w:rFonts w:eastAsiaTheme="majorEastAsia"/>
              </w:rPr>
            </w:pPr>
            <w:r>
              <w:rPr>
                <w:rFonts w:eastAsiaTheme="majorEastAsia"/>
              </w:rPr>
              <w:t>Cost to maintain the standard</w:t>
            </w:r>
          </w:p>
        </w:tc>
        <w:tc>
          <w:tcPr>
            <w:tcW w:w="2430" w:type="dxa"/>
            <w:shd w:val="clear" w:color="auto" w:fill="D9D9D9" w:themeFill="background1" w:themeFillShade="D9"/>
          </w:tcPr>
          <w:p w:rsidR="00EB59A9" w:rsidRDefault="00EB59A9" w:rsidP="003B2486">
            <w:pPr>
              <w:rPr>
                <w:rFonts w:eastAsiaTheme="majorEastAsia"/>
              </w:rPr>
            </w:pPr>
            <w:r>
              <w:rPr>
                <w:rFonts w:eastAsiaTheme="majorEastAsia"/>
              </w:rPr>
              <w:t>3.0</w:t>
            </w:r>
          </w:p>
        </w:tc>
        <w:tc>
          <w:tcPr>
            <w:tcW w:w="2430" w:type="dxa"/>
          </w:tcPr>
          <w:p w:rsidR="00EB59A9" w:rsidRDefault="00EB59A9" w:rsidP="003B2486">
            <w:pPr>
              <w:rPr>
                <w:rFonts w:eastAsiaTheme="majorEastAsia"/>
              </w:rPr>
            </w:pPr>
            <w:r>
              <w:rPr>
                <w:rFonts w:eastAsiaTheme="majorEastAsia"/>
              </w:rPr>
              <w:t>3.0</w:t>
            </w:r>
          </w:p>
        </w:tc>
        <w:tc>
          <w:tcPr>
            <w:tcW w:w="2610" w:type="dxa"/>
          </w:tcPr>
          <w:p w:rsidR="00EB59A9" w:rsidRDefault="00EB59A9" w:rsidP="003B2486">
            <w:pPr>
              <w:rPr>
                <w:rFonts w:eastAsiaTheme="majorEastAsia"/>
              </w:rPr>
            </w:pPr>
            <w:r>
              <w:rPr>
                <w:rFonts w:eastAsiaTheme="majorEastAsia"/>
              </w:rPr>
              <w:t>2.3</w:t>
            </w:r>
          </w:p>
        </w:tc>
        <w:tc>
          <w:tcPr>
            <w:tcW w:w="2448" w:type="dxa"/>
          </w:tcPr>
          <w:p w:rsidR="00EB59A9" w:rsidRDefault="00EB59A9" w:rsidP="003B2486">
            <w:pPr>
              <w:rPr>
                <w:rFonts w:eastAsiaTheme="majorEastAsia"/>
              </w:rPr>
            </w:pPr>
            <w:r>
              <w:rPr>
                <w:rFonts w:eastAsiaTheme="majorEastAsia"/>
              </w:rPr>
              <w:t>2.5</w:t>
            </w:r>
          </w:p>
        </w:tc>
      </w:tr>
      <w:tr w:rsidR="000F7C19" w:rsidTr="00AC5CEE">
        <w:trPr>
          <w:cantSplit/>
        </w:trPr>
        <w:tc>
          <w:tcPr>
            <w:tcW w:w="4698" w:type="dxa"/>
          </w:tcPr>
          <w:p w:rsidR="000F7C19" w:rsidRPr="007F0223" w:rsidRDefault="000F7C19" w:rsidP="003B2486">
            <w:pPr>
              <w:jc w:val="right"/>
              <w:rPr>
                <w:rFonts w:eastAsiaTheme="majorEastAsia"/>
                <w:b/>
              </w:rPr>
            </w:pPr>
            <w:r w:rsidRPr="007F0223">
              <w:rPr>
                <w:rFonts w:eastAsiaTheme="majorEastAsia"/>
                <w:b/>
              </w:rPr>
              <w:t>TOTAL SCORE</w:t>
            </w:r>
          </w:p>
        </w:tc>
        <w:tc>
          <w:tcPr>
            <w:tcW w:w="2430" w:type="dxa"/>
            <w:shd w:val="clear" w:color="auto" w:fill="BFBFBF" w:themeFill="background1" w:themeFillShade="BF"/>
          </w:tcPr>
          <w:p w:rsidR="000F7C19" w:rsidRPr="00FE2C6D" w:rsidRDefault="002E2959" w:rsidP="003B2486">
            <w:pPr>
              <w:rPr>
                <w:rFonts w:eastAsiaTheme="majorEastAsia"/>
              </w:rPr>
            </w:pPr>
            <w:r>
              <w:rPr>
                <w:rFonts w:eastAsiaTheme="majorEastAsia"/>
              </w:rPr>
              <w:t>45.0</w:t>
            </w:r>
          </w:p>
        </w:tc>
        <w:tc>
          <w:tcPr>
            <w:tcW w:w="2430" w:type="dxa"/>
            <w:shd w:val="clear" w:color="auto" w:fill="BFBFBF" w:themeFill="background1" w:themeFillShade="BF"/>
          </w:tcPr>
          <w:p w:rsidR="000F7C19" w:rsidRDefault="002E2959" w:rsidP="003B2486">
            <w:pPr>
              <w:rPr>
                <w:rFonts w:eastAsiaTheme="majorEastAsia"/>
              </w:rPr>
            </w:pPr>
            <w:r>
              <w:rPr>
                <w:rFonts w:eastAsiaTheme="majorEastAsia"/>
              </w:rPr>
              <w:t>50.6</w:t>
            </w:r>
          </w:p>
        </w:tc>
        <w:tc>
          <w:tcPr>
            <w:tcW w:w="2610" w:type="dxa"/>
            <w:shd w:val="clear" w:color="auto" w:fill="BFBFBF" w:themeFill="background1" w:themeFillShade="BF"/>
          </w:tcPr>
          <w:p w:rsidR="000F7C19" w:rsidRDefault="002E2959" w:rsidP="003B2486">
            <w:pPr>
              <w:rPr>
                <w:rFonts w:eastAsiaTheme="majorEastAsia"/>
              </w:rPr>
            </w:pPr>
            <w:r>
              <w:rPr>
                <w:rFonts w:eastAsiaTheme="majorEastAsia"/>
              </w:rPr>
              <w:t>49.4</w:t>
            </w:r>
          </w:p>
        </w:tc>
        <w:tc>
          <w:tcPr>
            <w:tcW w:w="2448" w:type="dxa"/>
            <w:shd w:val="clear" w:color="auto" w:fill="BFBFBF" w:themeFill="background1" w:themeFillShade="BF"/>
          </w:tcPr>
          <w:p w:rsidR="000F7C19" w:rsidRDefault="002E2959" w:rsidP="003B2486">
            <w:pPr>
              <w:rPr>
                <w:rFonts w:eastAsiaTheme="majorEastAsia"/>
              </w:rPr>
            </w:pPr>
            <w:r>
              <w:rPr>
                <w:rFonts w:eastAsiaTheme="majorEastAsia"/>
              </w:rPr>
              <w:t>48.5</w:t>
            </w:r>
          </w:p>
        </w:tc>
      </w:tr>
      <w:tr w:rsidR="000F7C19" w:rsidTr="00AC5CEE">
        <w:trPr>
          <w:cantSplit/>
        </w:trPr>
        <w:tc>
          <w:tcPr>
            <w:tcW w:w="4698" w:type="dxa"/>
          </w:tcPr>
          <w:p w:rsidR="000F7C19" w:rsidRPr="007F0223" w:rsidRDefault="000F7C19" w:rsidP="003B2486">
            <w:pPr>
              <w:jc w:val="right"/>
              <w:rPr>
                <w:rFonts w:eastAsiaTheme="majorEastAsia"/>
                <w:b/>
              </w:rPr>
            </w:pPr>
            <w:r w:rsidRPr="007F0223">
              <w:rPr>
                <w:rFonts w:eastAsiaTheme="majorEastAsia"/>
                <w:b/>
              </w:rPr>
              <w:t>AVERAGE SCORE</w:t>
            </w:r>
          </w:p>
        </w:tc>
        <w:tc>
          <w:tcPr>
            <w:tcW w:w="2430" w:type="dxa"/>
            <w:shd w:val="clear" w:color="auto" w:fill="BFBFBF" w:themeFill="background1" w:themeFillShade="BF"/>
          </w:tcPr>
          <w:p w:rsidR="000F7C19" w:rsidRPr="00FE2C6D" w:rsidRDefault="002E2959" w:rsidP="003B2486">
            <w:pPr>
              <w:rPr>
                <w:rFonts w:eastAsiaTheme="majorEastAsia"/>
              </w:rPr>
            </w:pPr>
            <w:r>
              <w:rPr>
                <w:rFonts w:eastAsiaTheme="majorEastAsia"/>
              </w:rPr>
              <w:t>3.0</w:t>
            </w:r>
          </w:p>
        </w:tc>
        <w:tc>
          <w:tcPr>
            <w:tcW w:w="2430" w:type="dxa"/>
            <w:shd w:val="clear" w:color="auto" w:fill="BFBFBF" w:themeFill="background1" w:themeFillShade="BF"/>
          </w:tcPr>
          <w:p w:rsidR="000F7C19" w:rsidRDefault="002E2959" w:rsidP="003B2486">
            <w:pPr>
              <w:rPr>
                <w:rFonts w:eastAsiaTheme="majorEastAsia"/>
              </w:rPr>
            </w:pPr>
            <w:r>
              <w:rPr>
                <w:rFonts w:eastAsiaTheme="majorEastAsia"/>
              </w:rPr>
              <w:t>3.4</w:t>
            </w:r>
          </w:p>
        </w:tc>
        <w:tc>
          <w:tcPr>
            <w:tcW w:w="2610" w:type="dxa"/>
            <w:shd w:val="clear" w:color="auto" w:fill="BFBFBF" w:themeFill="background1" w:themeFillShade="BF"/>
          </w:tcPr>
          <w:p w:rsidR="000F7C19" w:rsidRDefault="002E2959" w:rsidP="003B2486">
            <w:pPr>
              <w:rPr>
                <w:rFonts w:eastAsiaTheme="majorEastAsia"/>
              </w:rPr>
            </w:pPr>
            <w:r>
              <w:rPr>
                <w:rFonts w:eastAsiaTheme="majorEastAsia"/>
              </w:rPr>
              <w:t>3.3</w:t>
            </w:r>
          </w:p>
        </w:tc>
        <w:tc>
          <w:tcPr>
            <w:tcW w:w="2448" w:type="dxa"/>
            <w:shd w:val="clear" w:color="auto" w:fill="BFBFBF" w:themeFill="background1" w:themeFillShade="BF"/>
          </w:tcPr>
          <w:p w:rsidR="000F7C19" w:rsidRDefault="002E2959" w:rsidP="003B2486">
            <w:pPr>
              <w:rPr>
                <w:rFonts w:eastAsiaTheme="majorEastAsia"/>
              </w:rPr>
            </w:pPr>
            <w:r>
              <w:rPr>
                <w:rFonts w:eastAsiaTheme="majorEastAsia"/>
              </w:rPr>
              <w:t>3.2</w:t>
            </w:r>
          </w:p>
        </w:tc>
      </w:tr>
    </w:tbl>
    <w:p w:rsidR="00A32917" w:rsidRDefault="00A32917" w:rsidP="003D7CE5">
      <w:pPr>
        <w:spacing w:after="200" w:line="276" w:lineRule="auto"/>
      </w:pPr>
    </w:p>
    <w:p w:rsidR="00B83D27" w:rsidRDefault="00B83D27">
      <w:r>
        <w:br w:type="page"/>
      </w:r>
    </w:p>
    <w:p w:rsidR="00B83D27" w:rsidRDefault="00B83D27" w:rsidP="00B83D27">
      <w:pPr>
        <w:pStyle w:val="Heading1"/>
      </w:pPr>
      <w:bookmarkStart w:id="35" w:name="_Toc425422229"/>
      <w:r>
        <w:lastRenderedPageBreak/>
        <w:t>Appendix B:  Breakdown of Stakeholder Group and Subgroup Weighting Formulas</w:t>
      </w:r>
      <w:bookmarkEnd w:id="35"/>
      <w:r>
        <w:t xml:space="preserve"> </w:t>
      </w:r>
    </w:p>
    <w:p w:rsidR="00B83D27" w:rsidRDefault="00B83D27" w:rsidP="00B83D27">
      <w:r>
        <w:t>In order to obtain an accurate global representation of Industry and Regulators’ scoring evaluations, each stakeholder subgroup was weighted respective to their overall impact on either Regulator or Industry stakeholder group as a whole, which were then equally weighted in the Grand Total. The weights for each of the stakeholder subgroups, as well as the groups as a whole, are as follows:</w:t>
      </w:r>
    </w:p>
    <w:p w:rsidR="00B83D27" w:rsidRDefault="00B83D27" w:rsidP="00B83D27"/>
    <w:tbl>
      <w:tblPr>
        <w:tblStyle w:val="TableGrid"/>
        <w:tblW w:w="0" w:type="auto"/>
        <w:tblLook w:val="04A0" w:firstRow="1" w:lastRow="0" w:firstColumn="1" w:lastColumn="0" w:noHBand="0" w:noVBand="1"/>
      </w:tblPr>
      <w:tblGrid>
        <w:gridCol w:w="7763"/>
        <w:gridCol w:w="6853"/>
      </w:tblGrid>
      <w:tr w:rsidR="00B83D27" w:rsidTr="009A0305">
        <w:tc>
          <w:tcPr>
            <w:tcW w:w="7763" w:type="dxa"/>
            <w:shd w:val="clear" w:color="auto" w:fill="BFBFBF" w:themeFill="background1" w:themeFillShade="BF"/>
          </w:tcPr>
          <w:p w:rsidR="00B83D27" w:rsidRPr="008452DE" w:rsidRDefault="00B83D27" w:rsidP="009A0305">
            <w:pPr>
              <w:rPr>
                <w:b/>
              </w:rPr>
            </w:pPr>
            <w:r>
              <w:rPr>
                <w:b/>
              </w:rPr>
              <w:t>Regulators</w:t>
            </w:r>
            <w:r w:rsidRPr="008452DE">
              <w:rPr>
                <w:b/>
              </w:rPr>
              <w:t xml:space="preserve"> </w:t>
            </w:r>
          </w:p>
        </w:tc>
        <w:tc>
          <w:tcPr>
            <w:tcW w:w="6853" w:type="dxa"/>
            <w:shd w:val="clear" w:color="auto" w:fill="BFBFBF" w:themeFill="background1" w:themeFillShade="BF"/>
          </w:tcPr>
          <w:p w:rsidR="00B83D27" w:rsidRPr="008452DE" w:rsidRDefault="00B83D27" w:rsidP="009A0305">
            <w:pPr>
              <w:rPr>
                <w:b/>
              </w:rPr>
            </w:pPr>
            <w:r w:rsidRPr="008452DE">
              <w:rPr>
                <w:b/>
              </w:rPr>
              <w:t>Weighting</w:t>
            </w:r>
          </w:p>
        </w:tc>
      </w:tr>
      <w:tr w:rsidR="00B83D27" w:rsidTr="009A0305">
        <w:tc>
          <w:tcPr>
            <w:tcW w:w="7763" w:type="dxa"/>
          </w:tcPr>
          <w:p w:rsidR="00B83D27" w:rsidRDefault="00B83D27" w:rsidP="009A0305">
            <w:r>
              <w:t>Regulators with electronic review tools and experience reviewing structured content in submissions</w:t>
            </w:r>
          </w:p>
        </w:tc>
        <w:tc>
          <w:tcPr>
            <w:tcW w:w="6853" w:type="dxa"/>
          </w:tcPr>
          <w:p w:rsidR="00B83D27" w:rsidRDefault="00B83D27" w:rsidP="009A0305">
            <w:r>
              <w:t>50% (Weight on Regulators Total)</w:t>
            </w:r>
          </w:p>
        </w:tc>
      </w:tr>
      <w:tr w:rsidR="00B83D27" w:rsidTr="009A0305">
        <w:tc>
          <w:tcPr>
            <w:tcW w:w="7763" w:type="dxa"/>
          </w:tcPr>
          <w:p w:rsidR="00B83D27" w:rsidRDefault="00B83D27" w:rsidP="009A0305">
            <w:r>
              <w:t>Regulators who don’t currently have review tools</w:t>
            </w:r>
          </w:p>
        </w:tc>
        <w:tc>
          <w:tcPr>
            <w:tcW w:w="6853" w:type="dxa"/>
          </w:tcPr>
          <w:p w:rsidR="00B83D27" w:rsidRDefault="00B83D27" w:rsidP="009A0305">
            <w:r>
              <w:t>50% (Weight on Regulators Total)</w:t>
            </w:r>
          </w:p>
        </w:tc>
      </w:tr>
      <w:tr w:rsidR="00B83D27" w:rsidTr="009A0305">
        <w:tc>
          <w:tcPr>
            <w:tcW w:w="7763" w:type="dxa"/>
          </w:tcPr>
          <w:p w:rsidR="00B83D27" w:rsidRPr="008452DE" w:rsidRDefault="00B83D27" w:rsidP="009A0305">
            <w:pPr>
              <w:rPr>
                <w:b/>
              </w:rPr>
            </w:pPr>
            <w:r w:rsidRPr="008452DE">
              <w:rPr>
                <w:b/>
              </w:rPr>
              <w:t>Regulators (Total)</w:t>
            </w:r>
          </w:p>
        </w:tc>
        <w:tc>
          <w:tcPr>
            <w:tcW w:w="6853" w:type="dxa"/>
          </w:tcPr>
          <w:p w:rsidR="00B83D27" w:rsidRPr="008452DE" w:rsidRDefault="00B83D27" w:rsidP="009A0305">
            <w:pPr>
              <w:rPr>
                <w:b/>
              </w:rPr>
            </w:pPr>
            <w:r>
              <w:rPr>
                <w:b/>
              </w:rPr>
              <w:t>50%</w:t>
            </w:r>
            <w:r w:rsidRPr="008452DE">
              <w:rPr>
                <w:b/>
              </w:rPr>
              <w:t xml:space="preserve"> (Weight on Grand Total)</w:t>
            </w:r>
          </w:p>
        </w:tc>
      </w:tr>
    </w:tbl>
    <w:p w:rsidR="00B83D27" w:rsidRDefault="00B83D27"/>
    <w:tbl>
      <w:tblPr>
        <w:tblStyle w:val="TableGrid"/>
        <w:tblW w:w="0" w:type="auto"/>
        <w:tblLook w:val="04A0" w:firstRow="1" w:lastRow="0" w:firstColumn="1" w:lastColumn="0" w:noHBand="0" w:noVBand="1"/>
      </w:tblPr>
      <w:tblGrid>
        <w:gridCol w:w="7763"/>
        <w:gridCol w:w="6853"/>
      </w:tblGrid>
      <w:tr w:rsidR="00B83D27" w:rsidRPr="008452DE" w:rsidTr="00B83D27">
        <w:tc>
          <w:tcPr>
            <w:tcW w:w="7763" w:type="dxa"/>
          </w:tcPr>
          <w:p w:rsidR="00B83D27" w:rsidRPr="008452DE" w:rsidRDefault="00B83D27" w:rsidP="009A0305">
            <w:pPr>
              <w:rPr>
                <w:b/>
              </w:rPr>
            </w:pPr>
            <w:r>
              <w:rPr>
                <w:b/>
              </w:rPr>
              <w:t>Industry</w:t>
            </w:r>
          </w:p>
        </w:tc>
        <w:tc>
          <w:tcPr>
            <w:tcW w:w="6853" w:type="dxa"/>
          </w:tcPr>
          <w:p w:rsidR="00B83D27" w:rsidRPr="008452DE" w:rsidRDefault="00B83D27" w:rsidP="009A0305">
            <w:pPr>
              <w:rPr>
                <w:b/>
              </w:rPr>
            </w:pPr>
            <w:r w:rsidRPr="008452DE">
              <w:rPr>
                <w:b/>
              </w:rPr>
              <w:t>Weighting</w:t>
            </w:r>
          </w:p>
        </w:tc>
      </w:tr>
      <w:tr w:rsidR="00B83D27" w:rsidTr="009A0305">
        <w:tc>
          <w:tcPr>
            <w:tcW w:w="7763" w:type="dxa"/>
          </w:tcPr>
          <w:p w:rsidR="00B83D27" w:rsidRDefault="00B83D27" w:rsidP="009A0305">
            <w:r>
              <w:t>C</w:t>
            </w:r>
            <w:r w:rsidRPr="00BF3037">
              <w:t>ompanies that currently support eCTD or have publishing software in-house</w:t>
            </w:r>
          </w:p>
        </w:tc>
        <w:tc>
          <w:tcPr>
            <w:tcW w:w="6853" w:type="dxa"/>
          </w:tcPr>
          <w:p w:rsidR="00B83D27" w:rsidRDefault="00B83D27" w:rsidP="009A0305">
            <w:r>
              <w:t>5% (Weight on Industry Total)</w:t>
            </w:r>
          </w:p>
        </w:tc>
      </w:tr>
      <w:tr w:rsidR="00B83D27" w:rsidTr="009A0305">
        <w:tc>
          <w:tcPr>
            <w:tcW w:w="7763" w:type="dxa"/>
          </w:tcPr>
          <w:p w:rsidR="00B83D27" w:rsidRDefault="00B83D27" w:rsidP="009A0305">
            <w:r w:rsidRPr="00BF3037">
              <w:t>Companies that support multiple complex submissions</w:t>
            </w:r>
          </w:p>
        </w:tc>
        <w:tc>
          <w:tcPr>
            <w:tcW w:w="6853" w:type="dxa"/>
          </w:tcPr>
          <w:p w:rsidR="00B83D27" w:rsidRDefault="00B83D27" w:rsidP="009A0305">
            <w:r>
              <w:t>1</w:t>
            </w:r>
            <w:r w:rsidR="00D63D3C">
              <w:t>0</w:t>
            </w:r>
            <w:r>
              <w:t>% (Weight on Industry Total)</w:t>
            </w:r>
          </w:p>
        </w:tc>
      </w:tr>
      <w:tr w:rsidR="00B83D27" w:rsidTr="009A0305">
        <w:tc>
          <w:tcPr>
            <w:tcW w:w="7763" w:type="dxa"/>
          </w:tcPr>
          <w:p w:rsidR="00B83D27" w:rsidRPr="00BF3037" w:rsidRDefault="00B83D27" w:rsidP="009A0305">
            <w:r w:rsidRPr="00BF3037">
              <w:t>Companies that have primarily simple submissions</w:t>
            </w:r>
          </w:p>
        </w:tc>
        <w:tc>
          <w:tcPr>
            <w:tcW w:w="6853" w:type="dxa"/>
          </w:tcPr>
          <w:p w:rsidR="00B83D27" w:rsidRDefault="00B83D27" w:rsidP="009A0305">
            <w:r>
              <w:t>8</w:t>
            </w:r>
            <w:r w:rsidR="001C4493">
              <w:t>5</w:t>
            </w:r>
            <w:r>
              <w:t xml:space="preserve">% (Weight on Industry Total) </w:t>
            </w:r>
          </w:p>
        </w:tc>
      </w:tr>
      <w:tr w:rsidR="00B83D27" w:rsidTr="009A0305">
        <w:tc>
          <w:tcPr>
            <w:tcW w:w="7763" w:type="dxa"/>
          </w:tcPr>
          <w:p w:rsidR="00B83D27" w:rsidRPr="00C07607" w:rsidRDefault="00B83D27" w:rsidP="009A0305">
            <w:pPr>
              <w:rPr>
                <w:b/>
              </w:rPr>
            </w:pPr>
            <w:r>
              <w:rPr>
                <w:b/>
              </w:rPr>
              <w:t xml:space="preserve">Industry (Total) </w:t>
            </w:r>
          </w:p>
        </w:tc>
        <w:tc>
          <w:tcPr>
            <w:tcW w:w="6853" w:type="dxa"/>
          </w:tcPr>
          <w:p w:rsidR="00B83D27" w:rsidRPr="00C07607" w:rsidRDefault="00B83D27" w:rsidP="009A0305">
            <w:pPr>
              <w:rPr>
                <w:b/>
              </w:rPr>
            </w:pPr>
            <w:r w:rsidRPr="00C07607">
              <w:rPr>
                <w:b/>
              </w:rPr>
              <w:t>50%</w:t>
            </w:r>
            <w:r>
              <w:rPr>
                <w:b/>
              </w:rPr>
              <w:t xml:space="preserve"> (Weight on Grand Total)</w:t>
            </w:r>
          </w:p>
        </w:tc>
      </w:tr>
    </w:tbl>
    <w:p w:rsidR="00B83D27" w:rsidRDefault="00B83D27" w:rsidP="00B83D27"/>
    <w:p w:rsidR="00B83D27" w:rsidRDefault="00B83D27" w:rsidP="00B83D27">
      <w:r>
        <w:t>Overall Totals were calculated as:</w:t>
      </w:r>
    </w:p>
    <w:p w:rsidR="00B83D27" w:rsidRDefault="00B83D27" w:rsidP="009420E5">
      <w:pPr>
        <w:pStyle w:val="ListParagraph"/>
        <w:numPr>
          <w:ilvl w:val="0"/>
          <w:numId w:val="35"/>
        </w:numPr>
      </w:pPr>
      <w:r>
        <w:t xml:space="preserve">25% </w:t>
      </w:r>
      <w:r w:rsidRPr="00AB13F4">
        <w:t>Regulators with electronic review tools and experience reviewing structured content in submissions</w:t>
      </w:r>
    </w:p>
    <w:p w:rsidR="00B83D27" w:rsidRDefault="00B83D27" w:rsidP="009420E5">
      <w:pPr>
        <w:pStyle w:val="ListParagraph"/>
        <w:numPr>
          <w:ilvl w:val="0"/>
          <w:numId w:val="35"/>
        </w:numPr>
      </w:pPr>
      <w:r>
        <w:t xml:space="preserve">25% </w:t>
      </w:r>
      <w:r w:rsidRPr="00AB13F4">
        <w:t>Regulators who don’t currently have review tools</w:t>
      </w:r>
    </w:p>
    <w:p w:rsidR="00B83D27" w:rsidRDefault="00B83D27" w:rsidP="009420E5">
      <w:pPr>
        <w:pStyle w:val="ListParagraph"/>
        <w:numPr>
          <w:ilvl w:val="0"/>
          <w:numId w:val="35"/>
        </w:numPr>
      </w:pPr>
      <w:r>
        <w:t xml:space="preserve">2.5% </w:t>
      </w:r>
      <w:r w:rsidRPr="00AB13F4">
        <w:t>Companies that currently support eCTD or have publishing software in-house</w:t>
      </w:r>
    </w:p>
    <w:p w:rsidR="00B83D27" w:rsidRDefault="00B83D27" w:rsidP="009420E5">
      <w:pPr>
        <w:pStyle w:val="ListParagraph"/>
        <w:numPr>
          <w:ilvl w:val="0"/>
          <w:numId w:val="35"/>
        </w:numPr>
      </w:pPr>
      <w:r>
        <w:t xml:space="preserve">7.5% </w:t>
      </w:r>
      <w:r w:rsidRPr="00AB13F4">
        <w:t>Companies that support multiple complex submissions</w:t>
      </w:r>
    </w:p>
    <w:p w:rsidR="00B83D27" w:rsidRDefault="00B83D27" w:rsidP="009420E5">
      <w:pPr>
        <w:pStyle w:val="ListParagraph"/>
        <w:numPr>
          <w:ilvl w:val="0"/>
          <w:numId w:val="35"/>
        </w:numPr>
      </w:pPr>
      <w:r>
        <w:t xml:space="preserve">40% </w:t>
      </w:r>
      <w:r w:rsidRPr="00AB13F4">
        <w:t>Companies that have primarily simple submissions</w:t>
      </w:r>
    </w:p>
    <w:p w:rsidR="00B83D27" w:rsidRDefault="00B83D27" w:rsidP="00B83D27"/>
    <w:p w:rsidR="00B83D27" w:rsidRDefault="00B83D27" w:rsidP="00B83D27">
      <w:r>
        <w:t>Calculations for theses weightings are included in the accompanying excel file which recorded the scores for each of the stakeholder groups.</w:t>
      </w:r>
    </w:p>
    <w:p w:rsidR="00B04BE0" w:rsidRPr="00B04BE0" w:rsidRDefault="00B04BE0" w:rsidP="003D7CE5">
      <w:pPr>
        <w:spacing w:after="200" w:line="276" w:lineRule="auto"/>
      </w:pPr>
    </w:p>
    <w:sectPr w:rsidR="00B04BE0" w:rsidRPr="00B04BE0" w:rsidSect="003D7CE5">
      <w:footerReference w:type="default" r:id="rId2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6E2" w:rsidRDefault="00F966E2" w:rsidP="00E779CC">
      <w:r>
        <w:separator/>
      </w:r>
    </w:p>
  </w:endnote>
  <w:endnote w:type="continuationSeparator" w:id="0">
    <w:p w:rsidR="00F966E2" w:rsidRDefault="00F966E2" w:rsidP="00E779CC">
      <w:r>
        <w:continuationSeparator/>
      </w:r>
    </w:p>
  </w:endnote>
  <w:endnote w:type="continuationNotice" w:id="1">
    <w:p w:rsidR="00F966E2" w:rsidRDefault="00F96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CD53AD" w:rsidTr="00447F5C">
      <w:tc>
        <w:tcPr>
          <w:tcW w:w="4788" w:type="dxa"/>
        </w:tcPr>
        <w:p w:rsidR="00CD53AD" w:rsidRDefault="00CD53AD" w:rsidP="00447F5C">
          <w:pPr>
            <w:pStyle w:val="Footer"/>
            <w:rPr>
              <w:sz w:val="20"/>
            </w:rPr>
          </w:pPr>
          <w:r>
            <w:rPr>
              <w:sz w:val="20"/>
            </w:rPr>
            <w:t>1 May 2015</w:t>
          </w:r>
        </w:p>
      </w:tc>
      <w:tc>
        <w:tcPr>
          <w:tcW w:w="4788" w:type="dxa"/>
        </w:tcPr>
        <w:p w:rsidR="00CD53AD" w:rsidRDefault="00CD53AD" w:rsidP="00447F5C">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B36C15">
            <w:rPr>
              <w:noProof/>
              <w:snapToGrid w:val="0"/>
              <w:sz w:val="20"/>
            </w:rPr>
            <w:t>36</w:t>
          </w:r>
          <w:r>
            <w:rPr>
              <w:snapToGrid w:val="0"/>
              <w:sz w:val="20"/>
            </w:rPr>
            <w:fldChar w:fldCharType="end"/>
          </w:r>
        </w:p>
      </w:tc>
    </w:tr>
  </w:tbl>
  <w:p w:rsidR="00CD53AD" w:rsidRDefault="00CD53AD">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666737"/>
      <w:docPartObj>
        <w:docPartGallery w:val="Page Numbers (Bottom of Page)"/>
        <w:docPartUnique/>
      </w:docPartObj>
    </w:sdtPr>
    <w:sdtEndPr/>
    <w:sdtContent>
      <w:sdt>
        <w:sdtPr>
          <w:id w:val="-1049215512"/>
          <w:docPartObj>
            <w:docPartGallery w:val="Page Numbers (Top of Page)"/>
            <w:docPartUnique/>
          </w:docPartObj>
        </w:sdtPr>
        <w:sdtEndPr/>
        <w:sdtContent>
          <w:p w:rsidR="00CD53AD" w:rsidRDefault="00CD53AD" w:rsidP="00527289">
            <w:pPr>
              <w:pStyle w:val="Footer"/>
              <w:tabs>
                <w:tab w:val="left" w:pos="0"/>
                <w:tab w:val="left" w:pos="9360"/>
              </w:tabs>
            </w:pPr>
          </w:p>
          <w:tbl>
            <w:tblPr>
              <w:tblW w:w="0" w:type="auto"/>
              <w:tblBorders>
                <w:top w:val="single" w:sz="4" w:space="0" w:color="auto"/>
              </w:tblBorders>
              <w:tblLayout w:type="fixed"/>
              <w:tblLook w:val="0000" w:firstRow="0" w:lastRow="0" w:firstColumn="0" w:lastColumn="0" w:noHBand="0" w:noVBand="0"/>
            </w:tblPr>
            <w:tblGrid>
              <w:gridCol w:w="4788"/>
              <w:gridCol w:w="4788"/>
            </w:tblGrid>
            <w:tr w:rsidR="00CD53AD" w:rsidTr="00CD53AD">
              <w:tc>
                <w:tcPr>
                  <w:tcW w:w="4788" w:type="dxa"/>
                </w:tcPr>
                <w:p w:rsidR="00CD53AD" w:rsidRDefault="006C62C1" w:rsidP="006C62C1">
                  <w:pPr>
                    <w:pStyle w:val="Footer"/>
                    <w:rPr>
                      <w:sz w:val="20"/>
                      <w:lang w:eastAsia="ja-JP"/>
                    </w:rPr>
                  </w:pPr>
                  <w:r>
                    <w:rPr>
                      <w:rFonts w:hint="eastAsia"/>
                      <w:sz w:val="20"/>
                      <w:lang w:eastAsia="ja-JP"/>
                    </w:rPr>
                    <w:t>2</w:t>
                  </w:r>
                  <w:r w:rsidR="00CD53AD">
                    <w:rPr>
                      <w:sz w:val="20"/>
                    </w:rPr>
                    <w:t xml:space="preserve"> </w:t>
                  </w:r>
                  <w:r>
                    <w:rPr>
                      <w:sz w:val="20"/>
                    </w:rPr>
                    <w:t>October</w:t>
                  </w:r>
                  <w:r w:rsidR="00CD53AD">
                    <w:rPr>
                      <w:sz w:val="20"/>
                    </w:rPr>
                    <w:t xml:space="preserve"> 201</w:t>
                  </w:r>
                  <w:r w:rsidR="00CD53AD">
                    <w:rPr>
                      <w:rFonts w:hint="eastAsia"/>
                      <w:sz w:val="20"/>
                      <w:lang w:eastAsia="ja-JP"/>
                    </w:rPr>
                    <w:t>5</w:t>
                  </w:r>
                </w:p>
              </w:tc>
              <w:tc>
                <w:tcPr>
                  <w:tcW w:w="4788" w:type="dxa"/>
                </w:tcPr>
                <w:p w:rsidR="00CD53AD" w:rsidRDefault="00CD53AD" w:rsidP="00CD53AD">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0B2AFB">
                    <w:rPr>
                      <w:noProof/>
                      <w:snapToGrid w:val="0"/>
                      <w:sz w:val="20"/>
                    </w:rPr>
                    <w:t>5</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0B2AFB">
                    <w:rPr>
                      <w:noProof/>
                      <w:snapToGrid w:val="0"/>
                      <w:sz w:val="20"/>
                    </w:rPr>
                    <w:t>9</w:t>
                  </w:r>
                  <w:r>
                    <w:rPr>
                      <w:snapToGrid w:val="0"/>
                      <w:sz w:val="20"/>
                    </w:rPr>
                    <w:fldChar w:fldCharType="end"/>
                  </w:r>
                </w:p>
              </w:tc>
            </w:tr>
          </w:tbl>
          <w:p w:rsidR="00CD53AD" w:rsidRDefault="00F966E2" w:rsidP="00CD53AD">
            <w:pPr>
              <w:pStyle w:val="Footer"/>
              <w:tabs>
                <w:tab w:val="left" w:pos="0"/>
                <w:tab w:val="left" w:pos="9360"/>
              </w:tabs>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556032"/>
      <w:docPartObj>
        <w:docPartGallery w:val="Page Numbers (Bottom of Page)"/>
        <w:docPartUnique/>
      </w:docPartObj>
    </w:sdtPr>
    <w:sdtEndPr/>
    <w:sdtContent>
      <w:sdt>
        <w:sdtPr>
          <w:id w:val="1331642741"/>
          <w:docPartObj>
            <w:docPartGallery w:val="Page Numbers (Top of Page)"/>
            <w:docPartUnique/>
          </w:docPartObj>
        </w:sdtPr>
        <w:sdtEndPr/>
        <w:sdtContent>
          <w:p w:rsidR="00CD53AD" w:rsidRDefault="00CD53AD" w:rsidP="00527289">
            <w:pPr>
              <w:pStyle w:val="Footer"/>
              <w:tabs>
                <w:tab w:val="left" w:pos="0"/>
                <w:tab w:val="left" w:pos="9360"/>
              </w:tabs>
            </w:pPr>
          </w:p>
          <w:tbl>
            <w:tblPr>
              <w:tblW w:w="13320" w:type="dxa"/>
              <w:tblInd w:w="-342" w:type="dxa"/>
              <w:tblBorders>
                <w:top w:val="single" w:sz="4" w:space="0" w:color="auto"/>
              </w:tblBorders>
              <w:tblLayout w:type="fixed"/>
              <w:tblLook w:val="0000" w:firstRow="0" w:lastRow="0" w:firstColumn="0" w:lastColumn="0" w:noHBand="0" w:noVBand="0"/>
            </w:tblPr>
            <w:tblGrid>
              <w:gridCol w:w="4788"/>
              <w:gridCol w:w="8532"/>
            </w:tblGrid>
            <w:tr w:rsidR="00CD53AD" w:rsidTr="009C4B4B">
              <w:tc>
                <w:tcPr>
                  <w:tcW w:w="4788" w:type="dxa"/>
                </w:tcPr>
                <w:p w:rsidR="00CD53AD" w:rsidRDefault="006C62C1" w:rsidP="006C62C1">
                  <w:pPr>
                    <w:pStyle w:val="Footer"/>
                    <w:tabs>
                      <w:tab w:val="clear" w:pos="9360"/>
                      <w:tab w:val="right" w:pos="10620"/>
                    </w:tabs>
                    <w:rPr>
                      <w:sz w:val="20"/>
                    </w:rPr>
                  </w:pPr>
                  <w:r>
                    <w:rPr>
                      <w:sz w:val="20"/>
                    </w:rPr>
                    <w:t>2</w:t>
                  </w:r>
                  <w:r w:rsidR="00CD53AD">
                    <w:rPr>
                      <w:sz w:val="20"/>
                    </w:rPr>
                    <w:t xml:space="preserve"> </w:t>
                  </w:r>
                  <w:r>
                    <w:rPr>
                      <w:sz w:val="20"/>
                    </w:rPr>
                    <w:t>October</w:t>
                  </w:r>
                  <w:r w:rsidR="00CD53AD">
                    <w:rPr>
                      <w:sz w:val="20"/>
                    </w:rPr>
                    <w:t xml:space="preserve"> 2015</w:t>
                  </w:r>
                </w:p>
              </w:tc>
              <w:tc>
                <w:tcPr>
                  <w:tcW w:w="8532" w:type="dxa"/>
                </w:tcPr>
                <w:p w:rsidR="00CD53AD" w:rsidRDefault="00CD53AD" w:rsidP="00527289">
                  <w:pPr>
                    <w:pStyle w:val="Footer"/>
                    <w:tabs>
                      <w:tab w:val="clear" w:pos="9360"/>
                      <w:tab w:val="left" w:pos="4572"/>
                      <w:tab w:val="right" w:pos="10620"/>
                    </w:tabs>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0B2AFB">
                    <w:rPr>
                      <w:noProof/>
                      <w:snapToGrid w:val="0"/>
                      <w:sz w:val="20"/>
                    </w:rPr>
                    <w:t>13</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0B2AFB">
                    <w:rPr>
                      <w:noProof/>
                      <w:snapToGrid w:val="0"/>
                      <w:sz w:val="20"/>
                    </w:rPr>
                    <w:t>13</w:t>
                  </w:r>
                  <w:r>
                    <w:rPr>
                      <w:snapToGrid w:val="0"/>
                      <w:sz w:val="20"/>
                    </w:rPr>
                    <w:fldChar w:fldCharType="end"/>
                  </w:r>
                </w:p>
              </w:tc>
            </w:tr>
          </w:tbl>
          <w:p w:rsidR="00CD53AD" w:rsidRDefault="00F966E2" w:rsidP="009C4B4B">
            <w:pPr>
              <w:pStyle w:val="Footer"/>
              <w:tabs>
                <w:tab w:val="clear" w:pos="4680"/>
                <w:tab w:val="clear" w:pos="9360"/>
                <w:tab w:val="left" w:pos="0"/>
                <w:tab w:val="left" w:pos="6420"/>
              </w:tabs>
            </w:pPr>
          </w:p>
        </w:sdtContent>
      </w:sdt>
    </w:sdtContent>
  </w:sdt>
  <w:p w:rsidR="00CD53AD" w:rsidRDefault="00CD53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83186"/>
      <w:docPartObj>
        <w:docPartGallery w:val="Page Numbers (Bottom of Page)"/>
        <w:docPartUnique/>
      </w:docPartObj>
    </w:sdtPr>
    <w:sdtEndPr/>
    <w:sdtContent>
      <w:sdt>
        <w:sdtPr>
          <w:id w:val="2025741462"/>
          <w:docPartObj>
            <w:docPartGallery w:val="Page Numbers (Top of Page)"/>
            <w:docPartUnique/>
          </w:docPartObj>
        </w:sdtPr>
        <w:sdtEndPr/>
        <w:sdtContent>
          <w:p w:rsidR="00CD53AD" w:rsidRDefault="00CD53AD" w:rsidP="00527289">
            <w:pPr>
              <w:pStyle w:val="Footer"/>
              <w:tabs>
                <w:tab w:val="left" w:pos="0"/>
                <w:tab w:val="left" w:pos="9360"/>
              </w:tabs>
            </w:pPr>
          </w:p>
          <w:tbl>
            <w:tblPr>
              <w:tblW w:w="9720" w:type="dxa"/>
              <w:tblInd w:w="-342" w:type="dxa"/>
              <w:tblBorders>
                <w:top w:val="single" w:sz="4" w:space="0" w:color="auto"/>
              </w:tblBorders>
              <w:tblLayout w:type="fixed"/>
              <w:tblLook w:val="0000" w:firstRow="0" w:lastRow="0" w:firstColumn="0" w:lastColumn="0" w:noHBand="0" w:noVBand="0"/>
            </w:tblPr>
            <w:tblGrid>
              <w:gridCol w:w="4788"/>
              <w:gridCol w:w="4932"/>
            </w:tblGrid>
            <w:tr w:rsidR="00CD53AD" w:rsidTr="009C4B4B">
              <w:tc>
                <w:tcPr>
                  <w:tcW w:w="4788" w:type="dxa"/>
                </w:tcPr>
                <w:p w:rsidR="00CD53AD" w:rsidRDefault="006C62C1" w:rsidP="006C62C1">
                  <w:pPr>
                    <w:pStyle w:val="Footer"/>
                    <w:tabs>
                      <w:tab w:val="clear" w:pos="9360"/>
                      <w:tab w:val="right" w:pos="10620"/>
                    </w:tabs>
                    <w:rPr>
                      <w:sz w:val="20"/>
                    </w:rPr>
                  </w:pPr>
                  <w:r>
                    <w:rPr>
                      <w:sz w:val="20"/>
                    </w:rPr>
                    <w:t xml:space="preserve">2 October </w:t>
                  </w:r>
                  <w:r w:rsidR="00CD53AD">
                    <w:rPr>
                      <w:sz w:val="20"/>
                    </w:rPr>
                    <w:t>2015</w:t>
                  </w:r>
                </w:p>
              </w:tc>
              <w:tc>
                <w:tcPr>
                  <w:tcW w:w="4932" w:type="dxa"/>
                </w:tcPr>
                <w:p w:rsidR="00CD53AD" w:rsidRDefault="00CD53AD" w:rsidP="00527289">
                  <w:pPr>
                    <w:pStyle w:val="Footer"/>
                    <w:tabs>
                      <w:tab w:val="clear" w:pos="9360"/>
                      <w:tab w:val="left" w:pos="4572"/>
                      <w:tab w:val="right" w:pos="10620"/>
                    </w:tabs>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0B2AFB">
                    <w:rPr>
                      <w:noProof/>
                      <w:snapToGrid w:val="0"/>
                      <w:sz w:val="20"/>
                    </w:rPr>
                    <w:t>14</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0B2AFB">
                    <w:rPr>
                      <w:noProof/>
                      <w:snapToGrid w:val="0"/>
                      <w:sz w:val="20"/>
                    </w:rPr>
                    <w:t>17</w:t>
                  </w:r>
                  <w:r>
                    <w:rPr>
                      <w:snapToGrid w:val="0"/>
                      <w:sz w:val="20"/>
                    </w:rPr>
                    <w:fldChar w:fldCharType="end"/>
                  </w:r>
                </w:p>
              </w:tc>
            </w:tr>
          </w:tbl>
          <w:p w:rsidR="00CD53AD" w:rsidRDefault="00CD53AD" w:rsidP="009C4B4B">
            <w:pPr>
              <w:pStyle w:val="Footer"/>
              <w:tabs>
                <w:tab w:val="clear" w:pos="4680"/>
                <w:tab w:val="clear" w:pos="9360"/>
                <w:tab w:val="left" w:pos="0"/>
                <w:tab w:val="left" w:pos="6420"/>
              </w:tabs>
            </w:pPr>
            <w:r>
              <w:tab/>
            </w:r>
          </w:p>
        </w:sdtContent>
      </w:sdt>
    </w:sdtContent>
  </w:sdt>
  <w:p w:rsidR="00CD53AD" w:rsidRDefault="00CD53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5490"/>
    </w:tblGrid>
    <w:tr w:rsidR="00CD53AD" w:rsidTr="009C4B4B">
      <w:tc>
        <w:tcPr>
          <w:tcW w:w="4788" w:type="dxa"/>
        </w:tcPr>
        <w:p w:rsidR="00CD53AD" w:rsidRDefault="006C62C1" w:rsidP="006C62C1">
          <w:pPr>
            <w:pStyle w:val="Footer"/>
            <w:rPr>
              <w:sz w:val="20"/>
            </w:rPr>
          </w:pPr>
          <w:r>
            <w:rPr>
              <w:sz w:val="20"/>
            </w:rPr>
            <w:t>2</w:t>
          </w:r>
          <w:r w:rsidR="00CD53AD">
            <w:rPr>
              <w:sz w:val="20"/>
            </w:rPr>
            <w:t xml:space="preserve"> </w:t>
          </w:r>
          <w:r>
            <w:rPr>
              <w:sz w:val="20"/>
            </w:rPr>
            <w:t>October</w:t>
          </w:r>
          <w:r w:rsidR="00CD53AD">
            <w:rPr>
              <w:sz w:val="20"/>
            </w:rPr>
            <w:t xml:space="preserve"> 2015</w:t>
          </w:r>
        </w:p>
      </w:tc>
      <w:tc>
        <w:tcPr>
          <w:tcW w:w="5490" w:type="dxa"/>
        </w:tcPr>
        <w:p w:rsidR="00CD53AD" w:rsidRDefault="00CD53AD" w:rsidP="00447F5C">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0B2AFB">
            <w:rPr>
              <w:noProof/>
              <w:snapToGrid w:val="0"/>
              <w:sz w:val="20"/>
            </w:rPr>
            <w:t>25</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0B2AFB">
            <w:rPr>
              <w:noProof/>
              <w:snapToGrid w:val="0"/>
              <w:sz w:val="20"/>
            </w:rPr>
            <w:t>28</w:t>
          </w:r>
          <w:r>
            <w:rPr>
              <w:snapToGrid w:val="0"/>
              <w:sz w:val="20"/>
            </w:rPr>
            <w:fldChar w:fldCharType="end"/>
          </w:r>
        </w:p>
      </w:tc>
    </w:tr>
  </w:tbl>
  <w:p w:rsidR="00CD53AD" w:rsidRDefault="00CD53AD">
    <w:pPr>
      <w:pStyle w:val="Footer"/>
    </w:pPr>
    <w:r>
      <w:tab/>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9810"/>
    </w:tblGrid>
    <w:tr w:rsidR="00CD53AD" w:rsidTr="00527289">
      <w:tc>
        <w:tcPr>
          <w:tcW w:w="4788" w:type="dxa"/>
        </w:tcPr>
        <w:p w:rsidR="00CD53AD" w:rsidRDefault="006C62C1" w:rsidP="006C62C1">
          <w:pPr>
            <w:pStyle w:val="Footer"/>
            <w:rPr>
              <w:sz w:val="20"/>
            </w:rPr>
          </w:pPr>
          <w:r>
            <w:rPr>
              <w:sz w:val="20"/>
            </w:rPr>
            <w:t>2</w:t>
          </w:r>
          <w:r w:rsidR="00CD53AD">
            <w:rPr>
              <w:sz w:val="20"/>
            </w:rPr>
            <w:t xml:space="preserve"> </w:t>
          </w:r>
          <w:r>
            <w:rPr>
              <w:sz w:val="20"/>
            </w:rPr>
            <w:t>October</w:t>
          </w:r>
          <w:r w:rsidR="00CD53AD">
            <w:rPr>
              <w:sz w:val="20"/>
            </w:rPr>
            <w:t xml:space="preserve"> 2015</w:t>
          </w:r>
        </w:p>
      </w:tc>
      <w:tc>
        <w:tcPr>
          <w:tcW w:w="9810" w:type="dxa"/>
        </w:tcPr>
        <w:p w:rsidR="00CD53AD" w:rsidRDefault="00CD53AD" w:rsidP="00447F5C">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0B2AFB">
            <w:rPr>
              <w:noProof/>
              <w:snapToGrid w:val="0"/>
              <w:sz w:val="20"/>
            </w:rPr>
            <w:t>36</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0B2AFB">
            <w:rPr>
              <w:noProof/>
              <w:snapToGrid w:val="0"/>
              <w:sz w:val="20"/>
            </w:rPr>
            <w:t>36</w:t>
          </w:r>
          <w:r>
            <w:rPr>
              <w:snapToGrid w:val="0"/>
              <w:sz w:val="20"/>
            </w:rPr>
            <w:fldChar w:fldCharType="end"/>
          </w:r>
        </w:p>
      </w:tc>
    </w:tr>
  </w:tbl>
  <w:p w:rsidR="00CD53AD" w:rsidRDefault="00CD53AD">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6E2" w:rsidRDefault="00F966E2" w:rsidP="00E779CC">
      <w:r>
        <w:separator/>
      </w:r>
    </w:p>
  </w:footnote>
  <w:footnote w:type="continuationSeparator" w:id="0">
    <w:p w:rsidR="00F966E2" w:rsidRDefault="00F966E2" w:rsidP="00E779CC">
      <w:r>
        <w:continuationSeparator/>
      </w:r>
    </w:p>
  </w:footnote>
  <w:footnote w:type="continuationNotice" w:id="1">
    <w:p w:rsidR="00F966E2" w:rsidRDefault="00F966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AD" w:rsidRDefault="00CD53AD" w:rsidP="00CD53AD">
    <w:pPr>
      <w:pStyle w:val="Header"/>
      <w:pBdr>
        <w:bottom w:val="single" w:sz="4" w:space="1" w:color="auto"/>
      </w:pBdr>
      <w:jc w:val="center"/>
      <w:rPr>
        <w:sz w:val="20"/>
      </w:rPr>
    </w:pPr>
    <w:r>
      <w:rPr>
        <w:rFonts w:hint="eastAsia"/>
        <w:sz w:val="20"/>
        <w:lang w:eastAsia="ja-JP"/>
      </w:rPr>
      <w:t>IMDRF/</w:t>
    </w:r>
    <w:r>
      <w:rPr>
        <w:sz w:val="20"/>
      </w:rPr>
      <w:t>RPS WG/N32 FINAL: 2015</w:t>
    </w:r>
  </w:p>
  <w:p w:rsidR="00CD53AD" w:rsidRPr="009C4B4B" w:rsidRDefault="00CD53AD" w:rsidP="00CD53AD">
    <w:pPr>
      <w:pStyle w:val="Header"/>
      <w:pBdr>
        <w:bottom w:val="single" w:sz="4" w:space="1" w:color="auto"/>
      </w:pBd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AD" w:rsidRDefault="00CD53AD" w:rsidP="00CD53AD">
    <w:pPr>
      <w:pStyle w:val="Header"/>
      <w:wordWrap w:val="0"/>
      <w:ind w:righ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047"/>
    <w:multiLevelType w:val="multilevel"/>
    <w:tmpl w:val="028C0C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423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
    <w:nsid w:val="042E0E13"/>
    <w:multiLevelType w:val="hybridMultilevel"/>
    <w:tmpl w:val="434873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45A2BC4"/>
    <w:multiLevelType w:val="hybridMultilevel"/>
    <w:tmpl w:val="570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842764"/>
    <w:multiLevelType w:val="hybridMultilevel"/>
    <w:tmpl w:val="E070AAA2"/>
    <w:lvl w:ilvl="0" w:tplc="5E267440">
      <w:start w:val="1"/>
      <w:numFmt w:val="bullet"/>
      <w:pStyle w:val="Heading5Bullet"/>
      <w:lvlText w:val=""/>
      <w:lvlJc w:val="left"/>
      <w:pPr>
        <w:tabs>
          <w:tab w:val="num" w:pos="288"/>
        </w:tabs>
        <w:ind w:left="288" w:hanging="360"/>
      </w:pPr>
      <w:rPr>
        <w:rFonts w:ascii="Webdings" w:hAnsi="Webdings" w:hint="default"/>
        <w:color w:val="auto"/>
      </w:rPr>
    </w:lvl>
    <w:lvl w:ilvl="1" w:tplc="10090003">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pStyle w:val="Heading5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AB31CFA"/>
    <w:multiLevelType w:val="hybridMultilevel"/>
    <w:tmpl w:val="204E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36337"/>
    <w:multiLevelType w:val="hybridMultilevel"/>
    <w:tmpl w:val="E1BC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B30A2"/>
    <w:multiLevelType w:val="hybridMultilevel"/>
    <w:tmpl w:val="C89E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B322E6"/>
    <w:multiLevelType w:val="hybridMultilevel"/>
    <w:tmpl w:val="F698E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3B5B7E"/>
    <w:multiLevelType w:val="multilevel"/>
    <w:tmpl w:val="0CEC1C9E"/>
    <w:lvl w:ilvl="0">
      <w:start w:val="1"/>
      <w:numFmt w:val="decimal"/>
      <w:lvlText w:val="%1.0"/>
      <w:lvlJc w:val="left"/>
      <w:pPr>
        <w:tabs>
          <w:tab w:val="num" w:pos="858"/>
        </w:tabs>
        <w:ind w:left="858"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288"/>
        </w:tabs>
        <w:ind w:left="1288"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25CE7AA4"/>
    <w:multiLevelType w:val="hybridMultilevel"/>
    <w:tmpl w:val="0EA640C2"/>
    <w:lvl w:ilvl="0" w:tplc="04090001">
      <w:start w:val="1"/>
      <w:numFmt w:val="bullet"/>
      <w:lvlText w:val=""/>
      <w:lvlJc w:val="left"/>
      <w:pPr>
        <w:ind w:left="1567" w:hanging="360"/>
      </w:pPr>
      <w:rPr>
        <w:rFonts w:ascii="Symbol" w:hAnsi="Symbol" w:hint="default"/>
      </w:rPr>
    </w:lvl>
    <w:lvl w:ilvl="1" w:tplc="04090003">
      <w:start w:val="1"/>
      <w:numFmt w:val="bullet"/>
      <w:lvlText w:val="o"/>
      <w:lvlJc w:val="left"/>
      <w:pPr>
        <w:ind w:left="2287" w:hanging="360"/>
      </w:pPr>
      <w:rPr>
        <w:rFonts w:ascii="Courier New" w:hAnsi="Courier New" w:cs="Courier New" w:hint="default"/>
      </w:rPr>
    </w:lvl>
    <w:lvl w:ilvl="2" w:tplc="04090005" w:tentative="1">
      <w:start w:val="1"/>
      <w:numFmt w:val="bullet"/>
      <w:lvlText w:val=""/>
      <w:lvlJc w:val="left"/>
      <w:pPr>
        <w:ind w:left="3007" w:hanging="360"/>
      </w:pPr>
      <w:rPr>
        <w:rFonts w:ascii="Wingdings" w:hAnsi="Wingdings" w:hint="default"/>
      </w:rPr>
    </w:lvl>
    <w:lvl w:ilvl="3" w:tplc="04090001" w:tentative="1">
      <w:start w:val="1"/>
      <w:numFmt w:val="bullet"/>
      <w:lvlText w:val=""/>
      <w:lvlJc w:val="left"/>
      <w:pPr>
        <w:ind w:left="3727" w:hanging="360"/>
      </w:pPr>
      <w:rPr>
        <w:rFonts w:ascii="Symbol" w:hAnsi="Symbol" w:hint="default"/>
      </w:rPr>
    </w:lvl>
    <w:lvl w:ilvl="4" w:tplc="04090003" w:tentative="1">
      <w:start w:val="1"/>
      <w:numFmt w:val="bullet"/>
      <w:lvlText w:val="o"/>
      <w:lvlJc w:val="left"/>
      <w:pPr>
        <w:ind w:left="4447" w:hanging="360"/>
      </w:pPr>
      <w:rPr>
        <w:rFonts w:ascii="Courier New" w:hAnsi="Courier New" w:cs="Courier New" w:hint="default"/>
      </w:rPr>
    </w:lvl>
    <w:lvl w:ilvl="5" w:tplc="04090005" w:tentative="1">
      <w:start w:val="1"/>
      <w:numFmt w:val="bullet"/>
      <w:lvlText w:val=""/>
      <w:lvlJc w:val="left"/>
      <w:pPr>
        <w:ind w:left="5167" w:hanging="360"/>
      </w:pPr>
      <w:rPr>
        <w:rFonts w:ascii="Wingdings" w:hAnsi="Wingdings" w:hint="default"/>
      </w:rPr>
    </w:lvl>
    <w:lvl w:ilvl="6" w:tplc="04090001" w:tentative="1">
      <w:start w:val="1"/>
      <w:numFmt w:val="bullet"/>
      <w:lvlText w:val=""/>
      <w:lvlJc w:val="left"/>
      <w:pPr>
        <w:ind w:left="5887" w:hanging="360"/>
      </w:pPr>
      <w:rPr>
        <w:rFonts w:ascii="Symbol" w:hAnsi="Symbol" w:hint="default"/>
      </w:rPr>
    </w:lvl>
    <w:lvl w:ilvl="7" w:tplc="04090003" w:tentative="1">
      <w:start w:val="1"/>
      <w:numFmt w:val="bullet"/>
      <w:lvlText w:val="o"/>
      <w:lvlJc w:val="left"/>
      <w:pPr>
        <w:ind w:left="6607" w:hanging="360"/>
      </w:pPr>
      <w:rPr>
        <w:rFonts w:ascii="Courier New" w:hAnsi="Courier New" w:cs="Courier New" w:hint="default"/>
      </w:rPr>
    </w:lvl>
    <w:lvl w:ilvl="8" w:tplc="04090005" w:tentative="1">
      <w:start w:val="1"/>
      <w:numFmt w:val="bullet"/>
      <w:lvlText w:val=""/>
      <w:lvlJc w:val="left"/>
      <w:pPr>
        <w:ind w:left="7327" w:hanging="360"/>
      </w:pPr>
      <w:rPr>
        <w:rFonts w:ascii="Wingdings" w:hAnsi="Wingdings" w:hint="default"/>
      </w:rPr>
    </w:lvl>
  </w:abstractNum>
  <w:abstractNum w:abstractNumId="10">
    <w:nsid w:val="25DE778C"/>
    <w:multiLevelType w:val="hybridMultilevel"/>
    <w:tmpl w:val="0C00A1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2BEA678D"/>
    <w:multiLevelType w:val="hybridMultilevel"/>
    <w:tmpl w:val="D4766AA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2">
    <w:nsid w:val="2DAD7A02"/>
    <w:multiLevelType w:val="hybridMultilevel"/>
    <w:tmpl w:val="2804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0B05DC"/>
    <w:multiLevelType w:val="hybridMultilevel"/>
    <w:tmpl w:val="E030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600A56"/>
    <w:multiLevelType w:val="hybridMultilevel"/>
    <w:tmpl w:val="EB0243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F1E2FB9"/>
    <w:multiLevelType w:val="hybridMultilevel"/>
    <w:tmpl w:val="2804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pStyle w:val="Heading9"/>
      <w:lvlText w:val="%9."/>
      <w:lvlJc w:val="right"/>
      <w:pPr>
        <w:ind w:left="6480" w:hanging="180"/>
      </w:pPr>
    </w:lvl>
  </w:abstractNum>
  <w:abstractNum w:abstractNumId="16">
    <w:nsid w:val="3F4753C2"/>
    <w:multiLevelType w:val="hybridMultilevel"/>
    <w:tmpl w:val="F3001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B196E"/>
    <w:multiLevelType w:val="hybridMultilevel"/>
    <w:tmpl w:val="80A6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6347FB"/>
    <w:multiLevelType w:val="hybridMultilevel"/>
    <w:tmpl w:val="482C42EA"/>
    <w:lvl w:ilvl="0" w:tplc="345282CC">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1E42A4"/>
    <w:multiLevelType w:val="hybridMultilevel"/>
    <w:tmpl w:val="8BC48978"/>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0C433AC"/>
    <w:multiLevelType w:val="hybridMultilevel"/>
    <w:tmpl w:val="FCCA5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6B1E59"/>
    <w:multiLevelType w:val="hybridMultilevel"/>
    <w:tmpl w:val="F58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E622D"/>
    <w:multiLevelType w:val="hybridMultilevel"/>
    <w:tmpl w:val="3266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B1299B"/>
    <w:multiLevelType w:val="hybridMultilevel"/>
    <w:tmpl w:val="C436CA0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635B74B2"/>
    <w:multiLevelType w:val="hybridMultilevel"/>
    <w:tmpl w:val="5BFE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D310C2"/>
    <w:multiLevelType w:val="hybridMultilevel"/>
    <w:tmpl w:val="EE6E953A"/>
    <w:lvl w:ilvl="0" w:tplc="CEDC56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8519C4"/>
    <w:multiLevelType w:val="hybridMultilevel"/>
    <w:tmpl w:val="57A2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A61EEF"/>
    <w:multiLevelType w:val="hybridMultilevel"/>
    <w:tmpl w:val="F948F1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7C54A99"/>
    <w:multiLevelType w:val="hybridMultilevel"/>
    <w:tmpl w:val="10423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8F4A2B"/>
    <w:multiLevelType w:val="hybridMultilevel"/>
    <w:tmpl w:val="2E467E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6D61778B"/>
    <w:multiLevelType w:val="hybridMultilevel"/>
    <w:tmpl w:val="BCB859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nsid w:val="786F0443"/>
    <w:multiLevelType w:val="hybridMultilevel"/>
    <w:tmpl w:val="7070D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6"/>
  </w:num>
  <w:num w:numId="4">
    <w:abstractNumId w:val="11"/>
  </w:num>
  <w:num w:numId="5">
    <w:abstractNumId w:val="10"/>
  </w:num>
  <w:num w:numId="6">
    <w:abstractNumId w:val="27"/>
  </w:num>
  <w:num w:numId="7">
    <w:abstractNumId w:val="23"/>
  </w:num>
  <w:num w:numId="8">
    <w:abstractNumId w:val="30"/>
  </w:num>
  <w:num w:numId="9">
    <w:abstractNumId w:val="12"/>
  </w:num>
  <w:num w:numId="10">
    <w:abstractNumId w:val="3"/>
  </w:num>
  <w:num w:numId="11">
    <w:abstractNumId w:val="13"/>
  </w:num>
  <w:num w:numId="12">
    <w:abstractNumId w:val="19"/>
  </w:num>
  <w:num w:numId="13">
    <w:abstractNumId w:val="14"/>
  </w:num>
  <w:num w:numId="14">
    <w:abstractNumId w:val="20"/>
  </w:num>
  <w:num w:numId="15">
    <w:abstractNumId w:val="26"/>
  </w:num>
  <w:num w:numId="16">
    <w:abstractNumId w:val="15"/>
  </w:num>
  <w:num w:numId="17">
    <w:abstractNumId w:val="24"/>
  </w:num>
  <w:num w:numId="18">
    <w:abstractNumId w:val="9"/>
  </w:num>
  <w:num w:numId="19">
    <w:abstractNumId w:val="7"/>
  </w:num>
  <w:num w:numId="20">
    <w:abstractNumId w:val="25"/>
  </w:num>
  <w:num w:numId="21">
    <w:abstractNumId w:val="17"/>
  </w:num>
  <w:num w:numId="22">
    <w:abstractNumId w:val="29"/>
  </w:num>
  <w:num w:numId="23">
    <w:abstractNumId w:val="6"/>
  </w:num>
  <w:num w:numId="24">
    <w:abstractNumId w:val="31"/>
  </w:num>
  <w:num w:numId="25">
    <w:abstractNumId w:val="4"/>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1"/>
  </w:num>
  <w:num w:numId="35">
    <w:abstractNumId w:val="5"/>
  </w:num>
  <w:num w:numId="36">
    <w:abstractNumId w:val="2"/>
  </w:num>
  <w:num w:numId="37">
    <w:abstractNumId w:val="22"/>
  </w:num>
  <w:num w:numId="38">
    <w:abstractNumId w:val="28"/>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4A4C"/>
    <w:rsid w:val="0000694B"/>
    <w:rsid w:val="00020301"/>
    <w:rsid w:val="00021F2E"/>
    <w:rsid w:val="00024327"/>
    <w:rsid w:val="00025907"/>
    <w:rsid w:val="000339B8"/>
    <w:rsid w:val="000405CF"/>
    <w:rsid w:val="000422E5"/>
    <w:rsid w:val="00047E80"/>
    <w:rsid w:val="00060A26"/>
    <w:rsid w:val="0006435F"/>
    <w:rsid w:val="000652C8"/>
    <w:rsid w:val="00067E43"/>
    <w:rsid w:val="00074B6D"/>
    <w:rsid w:val="000823B3"/>
    <w:rsid w:val="00091E94"/>
    <w:rsid w:val="00096286"/>
    <w:rsid w:val="000A47ED"/>
    <w:rsid w:val="000A6142"/>
    <w:rsid w:val="000A6743"/>
    <w:rsid w:val="000B2AFB"/>
    <w:rsid w:val="000B2D32"/>
    <w:rsid w:val="000B7ACA"/>
    <w:rsid w:val="000D4722"/>
    <w:rsid w:val="000D564D"/>
    <w:rsid w:val="000E2B8C"/>
    <w:rsid w:val="000E42B1"/>
    <w:rsid w:val="000F218F"/>
    <w:rsid w:val="000F766C"/>
    <w:rsid w:val="000F7C19"/>
    <w:rsid w:val="001146A1"/>
    <w:rsid w:val="001213E2"/>
    <w:rsid w:val="0012228F"/>
    <w:rsid w:val="00127107"/>
    <w:rsid w:val="00141B18"/>
    <w:rsid w:val="00150ECB"/>
    <w:rsid w:val="001551FB"/>
    <w:rsid w:val="0015628B"/>
    <w:rsid w:val="00157FF1"/>
    <w:rsid w:val="001617B7"/>
    <w:rsid w:val="00182A4F"/>
    <w:rsid w:val="001838E7"/>
    <w:rsid w:val="001A5FC8"/>
    <w:rsid w:val="001A6F11"/>
    <w:rsid w:val="001B74B2"/>
    <w:rsid w:val="001C3620"/>
    <w:rsid w:val="001C4493"/>
    <w:rsid w:val="001D1E9E"/>
    <w:rsid w:val="001D2F89"/>
    <w:rsid w:val="001D7E3C"/>
    <w:rsid w:val="001E1D0B"/>
    <w:rsid w:val="001F3338"/>
    <w:rsid w:val="001F68B4"/>
    <w:rsid w:val="001F71A8"/>
    <w:rsid w:val="0021534A"/>
    <w:rsid w:val="00216853"/>
    <w:rsid w:val="00222780"/>
    <w:rsid w:val="00241251"/>
    <w:rsid w:val="00246BDE"/>
    <w:rsid w:val="00273931"/>
    <w:rsid w:val="00281990"/>
    <w:rsid w:val="002821F1"/>
    <w:rsid w:val="00283CA1"/>
    <w:rsid w:val="00287C96"/>
    <w:rsid w:val="00294D03"/>
    <w:rsid w:val="00296E99"/>
    <w:rsid w:val="002A116B"/>
    <w:rsid w:val="002A7959"/>
    <w:rsid w:val="002B32EB"/>
    <w:rsid w:val="002C24C1"/>
    <w:rsid w:val="002D2313"/>
    <w:rsid w:val="002E1E54"/>
    <w:rsid w:val="002E22C0"/>
    <w:rsid w:val="002E2959"/>
    <w:rsid w:val="002E36A5"/>
    <w:rsid w:val="002F0FE9"/>
    <w:rsid w:val="002F2CB2"/>
    <w:rsid w:val="002F5D5C"/>
    <w:rsid w:val="002F78EC"/>
    <w:rsid w:val="00300612"/>
    <w:rsid w:val="00302744"/>
    <w:rsid w:val="00303639"/>
    <w:rsid w:val="00325748"/>
    <w:rsid w:val="0033194A"/>
    <w:rsid w:val="00332D42"/>
    <w:rsid w:val="003522DC"/>
    <w:rsid w:val="003609AD"/>
    <w:rsid w:val="00365AAC"/>
    <w:rsid w:val="00365AE8"/>
    <w:rsid w:val="00370A15"/>
    <w:rsid w:val="00372158"/>
    <w:rsid w:val="00377D81"/>
    <w:rsid w:val="003B07C6"/>
    <w:rsid w:val="003B2486"/>
    <w:rsid w:val="003B37EF"/>
    <w:rsid w:val="003B65CF"/>
    <w:rsid w:val="003C224C"/>
    <w:rsid w:val="003C3173"/>
    <w:rsid w:val="003C4DA8"/>
    <w:rsid w:val="003C6293"/>
    <w:rsid w:val="003D25D1"/>
    <w:rsid w:val="003D6389"/>
    <w:rsid w:val="003D6F49"/>
    <w:rsid w:val="003D7CE5"/>
    <w:rsid w:val="003E1EC0"/>
    <w:rsid w:val="003E39FA"/>
    <w:rsid w:val="003F1A65"/>
    <w:rsid w:val="00411F8E"/>
    <w:rsid w:val="00420760"/>
    <w:rsid w:val="00425791"/>
    <w:rsid w:val="004308ED"/>
    <w:rsid w:val="00432944"/>
    <w:rsid w:val="00437BA5"/>
    <w:rsid w:val="00442C4A"/>
    <w:rsid w:val="00446204"/>
    <w:rsid w:val="00447F3C"/>
    <w:rsid w:val="00447F5C"/>
    <w:rsid w:val="00457214"/>
    <w:rsid w:val="00464947"/>
    <w:rsid w:val="00465580"/>
    <w:rsid w:val="0048520F"/>
    <w:rsid w:val="004C2044"/>
    <w:rsid w:val="004D43B1"/>
    <w:rsid w:val="004D6ADC"/>
    <w:rsid w:val="004D717A"/>
    <w:rsid w:val="004E4EF2"/>
    <w:rsid w:val="00501A46"/>
    <w:rsid w:val="00504206"/>
    <w:rsid w:val="005045BA"/>
    <w:rsid w:val="0050738E"/>
    <w:rsid w:val="00511E0C"/>
    <w:rsid w:val="005141E5"/>
    <w:rsid w:val="00517FCF"/>
    <w:rsid w:val="00526F72"/>
    <w:rsid w:val="00527289"/>
    <w:rsid w:val="00534A4C"/>
    <w:rsid w:val="00536773"/>
    <w:rsid w:val="0054065F"/>
    <w:rsid w:val="00547A1A"/>
    <w:rsid w:val="00560267"/>
    <w:rsid w:val="005602EE"/>
    <w:rsid w:val="00564EB8"/>
    <w:rsid w:val="00571E0C"/>
    <w:rsid w:val="00575122"/>
    <w:rsid w:val="00590582"/>
    <w:rsid w:val="005A195A"/>
    <w:rsid w:val="005B127B"/>
    <w:rsid w:val="005B2471"/>
    <w:rsid w:val="005B5D57"/>
    <w:rsid w:val="005B60DC"/>
    <w:rsid w:val="005C1F78"/>
    <w:rsid w:val="005C3989"/>
    <w:rsid w:val="005C3BFF"/>
    <w:rsid w:val="005C6761"/>
    <w:rsid w:val="005E0CAF"/>
    <w:rsid w:val="005E15C8"/>
    <w:rsid w:val="005E5D43"/>
    <w:rsid w:val="005F77F6"/>
    <w:rsid w:val="00607CE6"/>
    <w:rsid w:val="006125CE"/>
    <w:rsid w:val="006175B0"/>
    <w:rsid w:val="006424E2"/>
    <w:rsid w:val="006439C7"/>
    <w:rsid w:val="00647FB9"/>
    <w:rsid w:val="00651167"/>
    <w:rsid w:val="00664910"/>
    <w:rsid w:val="0067076F"/>
    <w:rsid w:val="006721A9"/>
    <w:rsid w:val="0067417E"/>
    <w:rsid w:val="00675F6F"/>
    <w:rsid w:val="00677D54"/>
    <w:rsid w:val="00682E14"/>
    <w:rsid w:val="006A14AD"/>
    <w:rsid w:val="006B400E"/>
    <w:rsid w:val="006C5A04"/>
    <w:rsid w:val="006C62C1"/>
    <w:rsid w:val="006D4D3E"/>
    <w:rsid w:val="006E1608"/>
    <w:rsid w:val="00702DDF"/>
    <w:rsid w:val="00710AE4"/>
    <w:rsid w:val="0071238F"/>
    <w:rsid w:val="00714C92"/>
    <w:rsid w:val="007214ED"/>
    <w:rsid w:val="00725970"/>
    <w:rsid w:val="00732A8A"/>
    <w:rsid w:val="0075146E"/>
    <w:rsid w:val="0075704A"/>
    <w:rsid w:val="007576A1"/>
    <w:rsid w:val="007607BF"/>
    <w:rsid w:val="007822BC"/>
    <w:rsid w:val="0079094A"/>
    <w:rsid w:val="00791E23"/>
    <w:rsid w:val="0079720C"/>
    <w:rsid w:val="007A2B28"/>
    <w:rsid w:val="007A6BE5"/>
    <w:rsid w:val="007A772D"/>
    <w:rsid w:val="007C3929"/>
    <w:rsid w:val="007D59F3"/>
    <w:rsid w:val="007D63CB"/>
    <w:rsid w:val="007D72EE"/>
    <w:rsid w:val="007E17C4"/>
    <w:rsid w:val="007E5C27"/>
    <w:rsid w:val="007E6348"/>
    <w:rsid w:val="007F2279"/>
    <w:rsid w:val="00801388"/>
    <w:rsid w:val="00804A71"/>
    <w:rsid w:val="008106EB"/>
    <w:rsid w:val="00817FD3"/>
    <w:rsid w:val="0082396C"/>
    <w:rsid w:val="0082542A"/>
    <w:rsid w:val="00841EBD"/>
    <w:rsid w:val="00842C51"/>
    <w:rsid w:val="008451D7"/>
    <w:rsid w:val="00867BB1"/>
    <w:rsid w:val="008730D0"/>
    <w:rsid w:val="00876E2A"/>
    <w:rsid w:val="00877BE5"/>
    <w:rsid w:val="0088057A"/>
    <w:rsid w:val="00887757"/>
    <w:rsid w:val="00892846"/>
    <w:rsid w:val="00893C45"/>
    <w:rsid w:val="00895488"/>
    <w:rsid w:val="0089755B"/>
    <w:rsid w:val="008A0DCC"/>
    <w:rsid w:val="008A2AAC"/>
    <w:rsid w:val="008B0036"/>
    <w:rsid w:val="008B1F48"/>
    <w:rsid w:val="008B27A7"/>
    <w:rsid w:val="008C2D1B"/>
    <w:rsid w:val="008D4AE7"/>
    <w:rsid w:val="008E0A0F"/>
    <w:rsid w:val="008F4D07"/>
    <w:rsid w:val="00901699"/>
    <w:rsid w:val="009031FA"/>
    <w:rsid w:val="00904A17"/>
    <w:rsid w:val="00911356"/>
    <w:rsid w:val="00912A72"/>
    <w:rsid w:val="00914DD9"/>
    <w:rsid w:val="00917AD2"/>
    <w:rsid w:val="009236E3"/>
    <w:rsid w:val="0092556F"/>
    <w:rsid w:val="00926803"/>
    <w:rsid w:val="00927336"/>
    <w:rsid w:val="00931AE0"/>
    <w:rsid w:val="009342EE"/>
    <w:rsid w:val="009420E5"/>
    <w:rsid w:val="00947379"/>
    <w:rsid w:val="00951D55"/>
    <w:rsid w:val="0095382E"/>
    <w:rsid w:val="00956448"/>
    <w:rsid w:val="00960BD4"/>
    <w:rsid w:val="00970333"/>
    <w:rsid w:val="00973926"/>
    <w:rsid w:val="009859EB"/>
    <w:rsid w:val="009A0305"/>
    <w:rsid w:val="009A052C"/>
    <w:rsid w:val="009A572B"/>
    <w:rsid w:val="009B222F"/>
    <w:rsid w:val="009B2346"/>
    <w:rsid w:val="009C090D"/>
    <w:rsid w:val="009C4B4B"/>
    <w:rsid w:val="009C6093"/>
    <w:rsid w:val="009D3A50"/>
    <w:rsid w:val="009D4D8B"/>
    <w:rsid w:val="009D553F"/>
    <w:rsid w:val="009E276C"/>
    <w:rsid w:val="009E3426"/>
    <w:rsid w:val="009E538E"/>
    <w:rsid w:val="009F5DE2"/>
    <w:rsid w:val="00A0065C"/>
    <w:rsid w:val="00A0200F"/>
    <w:rsid w:val="00A16770"/>
    <w:rsid w:val="00A21275"/>
    <w:rsid w:val="00A24259"/>
    <w:rsid w:val="00A32917"/>
    <w:rsid w:val="00A34241"/>
    <w:rsid w:val="00A36CD6"/>
    <w:rsid w:val="00A3735E"/>
    <w:rsid w:val="00A37C9C"/>
    <w:rsid w:val="00A41C17"/>
    <w:rsid w:val="00A4725C"/>
    <w:rsid w:val="00A6408A"/>
    <w:rsid w:val="00A65750"/>
    <w:rsid w:val="00A8670B"/>
    <w:rsid w:val="00A86B5B"/>
    <w:rsid w:val="00A900ED"/>
    <w:rsid w:val="00A904A3"/>
    <w:rsid w:val="00A90596"/>
    <w:rsid w:val="00A90632"/>
    <w:rsid w:val="00AA2FD4"/>
    <w:rsid w:val="00AB04F0"/>
    <w:rsid w:val="00AB0FD1"/>
    <w:rsid w:val="00AB5ABE"/>
    <w:rsid w:val="00AB7639"/>
    <w:rsid w:val="00AC1084"/>
    <w:rsid w:val="00AC18C4"/>
    <w:rsid w:val="00AC54C0"/>
    <w:rsid w:val="00AC5CEE"/>
    <w:rsid w:val="00AD7368"/>
    <w:rsid w:val="00AD75E3"/>
    <w:rsid w:val="00AE0421"/>
    <w:rsid w:val="00AE5FB1"/>
    <w:rsid w:val="00AF4273"/>
    <w:rsid w:val="00B04BE0"/>
    <w:rsid w:val="00B06713"/>
    <w:rsid w:val="00B06E08"/>
    <w:rsid w:val="00B07F1E"/>
    <w:rsid w:val="00B118D2"/>
    <w:rsid w:val="00B342C0"/>
    <w:rsid w:val="00B36C15"/>
    <w:rsid w:val="00B40900"/>
    <w:rsid w:val="00B4116D"/>
    <w:rsid w:val="00B7068C"/>
    <w:rsid w:val="00B735FB"/>
    <w:rsid w:val="00B8038B"/>
    <w:rsid w:val="00B83D27"/>
    <w:rsid w:val="00B83E37"/>
    <w:rsid w:val="00B85B80"/>
    <w:rsid w:val="00B874DA"/>
    <w:rsid w:val="00B93733"/>
    <w:rsid w:val="00BB0803"/>
    <w:rsid w:val="00BC5AF8"/>
    <w:rsid w:val="00BD2F4A"/>
    <w:rsid w:val="00BD4F58"/>
    <w:rsid w:val="00BE4FC6"/>
    <w:rsid w:val="00BF3037"/>
    <w:rsid w:val="00C04B56"/>
    <w:rsid w:val="00C16C38"/>
    <w:rsid w:val="00C24FC4"/>
    <w:rsid w:val="00C312B0"/>
    <w:rsid w:val="00C34984"/>
    <w:rsid w:val="00C34AA1"/>
    <w:rsid w:val="00C5250F"/>
    <w:rsid w:val="00C5620A"/>
    <w:rsid w:val="00C849A0"/>
    <w:rsid w:val="00C8531E"/>
    <w:rsid w:val="00CA4BE9"/>
    <w:rsid w:val="00CB0C45"/>
    <w:rsid w:val="00CB3E26"/>
    <w:rsid w:val="00CC518D"/>
    <w:rsid w:val="00CD3C97"/>
    <w:rsid w:val="00CD45B1"/>
    <w:rsid w:val="00CD53AD"/>
    <w:rsid w:val="00CE36B6"/>
    <w:rsid w:val="00CE7484"/>
    <w:rsid w:val="00CE7577"/>
    <w:rsid w:val="00CF1CB6"/>
    <w:rsid w:val="00D00E7B"/>
    <w:rsid w:val="00D05A9E"/>
    <w:rsid w:val="00D10925"/>
    <w:rsid w:val="00D21327"/>
    <w:rsid w:val="00D2303F"/>
    <w:rsid w:val="00D263C0"/>
    <w:rsid w:val="00D27A5A"/>
    <w:rsid w:val="00D3211E"/>
    <w:rsid w:val="00D34526"/>
    <w:rsid w:val="00D34D2F"/>
    <w:rsid w:val="00D408DE"/>
    <w:rsid w:val="00D44A7A"/>
    <w:rsid w:val="00D5065E"/>
    <w:rsid w:val="00D60F8C"/>
    <w:rsid w:val="00D63D3C"/>
    <w:rsid w:val="00D63E44"/>
    <w:rsid w:val="00D65C66"/>
    <w:rsid w:val="00D721DD"/>
    <w:rsid w:val="00D87748"/>
    <w:rsid w:val="00D92BBD"/>
    <w:rsid w:val="00D92CE3"/>
    <w:rsid w:val="00D92D3F"/>
    <w:rsid w:val="00D9532A"/>
    <w:rsid w:val="00DA1865"/>
    <w:rsid w:val="00DA7633"/>
    <w:rsid w:val="00DB2DD5"/>
    <w:rsid w:val="00DB36D8"/>
    <w:rsid w:val="00DD494C"/>
    <w:rsid w:val="00DE6000"/>
    <w:rsid w:val="00DF3421"/>
    <w:rsid w:val="00DF7933"/>
    <w:rsid w:val="00DF7A95"/>
    <w:rsid w:val="00E0090D"/>
    <w:rsid w:val="00E06088"/>
    <w:rsid w:val="00E06799"/>
    <w:rsid w:val="00E16CDA"/>
    <w:rsid w:val="00E26411"/>
    <w:rsid w:val="00E3102D"/>
    <w:rsid w:val="00E318F7"/>
    <w:rsid w:val="00E365C9"/>
    <w:rsid w:val="00E36FA7"/>
    <w:rsid w:val="00E37CAA"/>
    <w:rsid w:val="00E446B7"/>
    <w:rsid w:val="00E57758"/>
    <w:rsid w:val="00E60007"/>
    <w:rsid w:val="00E67355"/>
    <w:rsid w:val="00E67652"/>
    <w:rsid w:val="00E700E3"/>
    <w:rsid w:val="00E779CC"/>
    <w:rsid w:val="00E80693"/>
    <w:rsid w:val="00E863E0"/>
    <w:rsid w:val="00E864E2"/>
    <w:rsid w:val="00E92C3F"/>
    <w:rsid w:val="00E943F0"/>
    <w:rsid w:val="00EA3E0A"/>
    <w:rsid w:val="00EB184C"/>
    <w:rsid w:val="00EB59A9"/>
    <w:rsid w:val="00EB5CE3"/>
    <w:rsid w:val="00EB7365"/>
    <w:rsid w:val="00EC0505"/>
    <w:rsid w:val="00EC137E"/>
    <w:rsid w:val="00EC3559"/>
    <w:rsid w:val="00EC3576"/>
    <w:rsid w:val="00EC380A"/>
    <w:rsid w:val="00ED4FA2"/>
    <w:rsid w:val="00EE5245"/>
    <w:rsid w:val="00EE6606"/>
    <w:rsid w:val="00EF1459"/>
    <w:rsid w:val="00EF29E8"/>
    <w:rsid w:val="00EF52B3"/>
    <w:rsid w:val="00EF63D0"/>
    <w:rsid w:val="00F01B01"/>
    <w:rsid w:val="00F01DD0"/>
    <w:rsid w:val="00F056E3"/>
    <w:rsid w:val="00F0686C"/>
    <w:rsid w:val="00F106D8"/>
    <w:rsid w:val="00F175D7"/>
    <w:rsid w:val="00F2314F"/>
    <w:rsid w:val="00F307CA"/>
    <w:rsid w:val="00F32456"/>
    <w:rsid w:val="00F41600"/>
    <w:rsid w:val="00F4251A"/>
    <w:rsid w:val="00F42876"/>
    <w:rsid w:val="00F50C44"/>
    <w:rsid w:val="00F52848"/>
    <w:rsid w:val="00F52C03"/>
    <w:rsid w:val="00F55242"/>
    <w:rsid w:val="00F61763"/>
    <w:rsid w:val="00F704E9"/>
    <w:rsid w:val="00F73730"/>
    <w:rsid w:val="00F7565B"/>
    <w:rsid w:val="00F8008E"/>
    <w:rsid w:val="00F818E2"/>
    <w:rsid w:val="00F9026C"/>
    <w:rsid w:val="00F92082"/>
    <w:rsid w:val="00F963CE"/>
    <w:rsid w:val="00F966E2"/>
    <w:rsid w:val="00F97C8E"/>
    <w:rsid w:val="00FA067E"/>
    <w:rsid w:val="00FA2926"/>
    <w:rsid w:val="00FA3A3B"/>
    <w:rsid w:val="00FC5668"/>
    <w:rsid w:val="00FC584A"/>
    <w:rsid w:val="00FC5975"/>
    <w:rsid w:val="00FD1EB1"/>
    <w:rsid w:val="00FD6EB6"/>
    <w:rsid w:val="00FE48CB"/>
    <w:rsid w:val="00FF0D8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C7"/>
    <w:rPr>
      <w:sz w:val="24"/>
    </w:rPr>
  </w:style>
  <w:style w:type="paragraph" w:styleId="Heading1">
    <w:name w:val="heading 1"/>
    <w:basedOn w:val="Normal"/>
    <w:next w:val="Normal"/>
    <w:link w:val="Heading1Char"/>
    <w:qFormat/>
    <w:rsid w:val="006439C7"/>
    <w:pPr>
      <w:keepNext/>
      <w:numPr>
        <w:numId w:val="26"/>
      </w:numPr>
      <w:spacing w:before="240" w:after="240"/>
      <w:outlineLvl w:val="0"/>
    </w:pPr>
    <w:rPr>
      <w:rFonts w:cstheme="majorBidi"/>
      <w:b/>
      <w:kern w:val="28"/>
      <w:sz w:val="28"/>
    </w:rPr>
  </w:style>
  <w:style w:type="paragraph" w:styleId="Heading2">
    <w:name w:val="heading 2"/>
    <w:basedOn w:val="Normal"/>
    <w:next w:val="Normal"/>
    <w:link w:val="Heading2Char"/>
    <w:qFormat/>
    <w:rsid w:val="006439C7"/>
    <w:pPr>
      <w:keepNext/>
      <w:numPr>
        <w:ilvl w:val="1"/>
        <w:numId w:val="26"/>
      </w:numPr>
      <w:spacing w:before="240" w:after="240"/>
      <w:outlineLvl w:val="1"/>
    </w:pPr>
    <w:rPr>
      <w:b/>
    </w:rPr>
  </w:style>
  <w:style w:type="paragraph" w:styleId="Heading3">
    <w:name w:val="heading 3"/>
    <w:basedOn w:val="Heading2"/>
    <w:next w:val="Normal"/>
    <w:link w:val="Heading3Char"/>
    <w:qFormat/>
    <w:rsid w:val="00D9532A"/>
    <w:pPr>
      <w:numPr>
        <w:ilvl w:val="2"/>
      </w:numPr>
      <w:ind w:left="720"/>
      <w:contextualSpacing/>
      <w:outlineLvl w:val="2"/>
    </w:pPr>
  </w:style>
  <w:style w:type="paragraph" w:styleId="Heading4">
    <w:name w:val="heading 4"/>
    <w:basedOn w:val="Normal"/>
    <w:next w:val="Normal"/>
    <w:link w:val="Heading4Char"/>
    <w:qFormat/>
    <w:rsid w:val="006439C7"/>
    <w:pPr>
      <w:keepNext/>
      <w:outlineLvl w:val="3"/>
    </w:pPr>
    <w:rPr>
      <w:b/>
      <w:sz w:val="28"/>
    </w:rPr>
  </w:style>
  <w:style w:type="paragraph" w:styleId="Heading5">
    <w:name w:val="heading 5"/>
    <w:basedOn w:val="Normal"/>
    <w:next w:val="Normal"/>
    <w:link w:val="Heading5Char"/>
    <w:uiPriority w:val="9"/>
    <w:unhideWhenUsed/>
    <w:qFormat/>
    <w:rsid w:val="006439C7"/>
    <w:pPr>
      <w:keepNext/>
      <w:keepLines/>
      <w:numPr>
        <w:ilvl w:val="4"/>
        <w:numId w:val="2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39C7"/>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39C7"/>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39C7"/>
    <w:pPr>
      <w:keepNext/>
      <w:keepLines/>
      <w:numPr>
        <w:ilvl w:val="7"/>
        <w:numId w:val="2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439C7"/>
    <w:pPr>
      <w:keepNext/>
      <w:keepLines/>
      <w:numPr>
        <w:ilvl w:val="8"/>
        <w:numId w:val="16"/>
      </w:numPr>
      <w:spacing w:before="200"/>
      <w:ind w:left="1584" w:hanging="158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A4C"/>
    <w:rPr>
      <w:rFonts w:cstheme="majorBidi"/>
      <w:b/>
      <w:kern w:val="28"/>
      <w:sz w:val="28"/>
    </w:rPr>
  </w:style>
  <w:style w:type="paragraph" w:styleId="Header">
    <w:name w:val="header"/>
    <w:basedOn w:val="Normal"/>
    <w:link w:val="HeaderChar"/>
    <w:uiPriority w:val="99"/>
    <w:rsid w:val="00534A4C"/>
    <w:pPr>
      <w:tabs>
        <w:tab w:val="center" w:pos="4320"/>
        <w:tab w:val="right" w:pos="8640"/>
      </w:tabs>
    </w:pPr>
  </w:style>
  <w:style w:type="character" w:customStyle="1" w:styleId="HeaderChar">
    <w:name w:val="Header Char"/>
    <w:basedOn w:val="DefaultParagraphFont"/>
    <w:link w:val="Header"/>
    <w:uiPriority w:val="99"/>
    <w:rsid w:val="00534A4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34A4C"/>
    <w:rPr>
      <w:b/>
      <w:sz w:val="24"/>
    </w:rPr>
  </w:style>
  <w:style w:type="character" w:customStyle="1" w:styleId="Heading3Char">
    <w:name w:val="Heading 3 Char"/>
    <w:basedOn w:val="DefaultParagraphFont"/>
    <w:link w:val="Heading3"/>
    <w:rsid w:val="00D9532A"/>
    <w:rPr>
      <w:b/>
      <w:sz w:val="24"/>
    </w:rPr>
  </w:style>
  <w:style w:type="character" w:customStyle="1" w:styleId="Heading4Char">
    <w:name w:val="Heading 4 Char"/>
    <w:basedOn w:val="DefaultParagraphFont"/>
    <w:link w:val="Heading4"/>
    <w:rsid w:val="00534A4C"/>
    <w:rPr>
      <w:b/>
      <w:sz w:val="28"/>
    </w:rPr>
  </w:style>
  <w:style w:type="paragraph" w:styleId="CommentText">
    <w:name w:val="annotation text"/>
    <w:basedOn w:val="Normal"/>
    <w:link w:val="CommentTextChar"/>
    <w:uiPriority w:val="99"/>
    <w:unhideWhenUsed/>
    <w:rsid w:val="00534A4C"/>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534A4C"/>
    <w:rPr>
      <w:sz w:val="20"/>
      <w:szCs w:val="20"/>
    </w:rPr>
  </w:style>
  <w:style w:type="paragraph" w:styleId="NormalWeb">
    <w:name w:val="Normal (Web)"/>
    <w:basedOn w:val="Normal"/>
    <w:uiPriority w:val="99"/>
    <w:unhideWhenUsed/>
    <w:rsid w:val="00534A4C"/>
    <w:pPr>
      <w:spacing w:before="100" w:beforeAutospacing="1" w:after="100" w:afterAutospacing="1"/>
    </w:pPr>
    <w:rPr>
      <w:szCs w:val="24"/>
    </w:rPr>
  </w:style>
  <w:style w:type="table" w:styleId="TableGrid">
    <w:name w:val="Table Grid"/>
    <w:basedOn w:val="TableNormal"/>
    <w:uiPriority w:val="59"/>
    <w:rsid w:val="00047E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7E80"/>
    <w:rPr>
      <w:sz w:val="16"/>
      <w:szCs w:val="16"/>
    </w:rPr>
  </w:style>
  <w:style w:type="paragraph" w:styleId="BalloonText">
    <w:name w:val="Balloon Text"/>
    <w:basedOn w:val="Normal"/>
    <w:link w:val="BalloonTextChar"/>
    <w:uiPriority w:val="99"/>
    <w:unhideWhenUsed/>
    <w:rsid w:val="00047E80"/>
    <w:rPr>
      <w:rFonts w:ascii="Tahoma" w:hAnsi="Tahoma" w:cs="Tahoma"/>
      <w:sz w:val="16"/>
      <w:szCs w:val="16"/>
    </w:rPr>
  </w:style>
  <w:style w:type="character" w:customStyle="1" w:styleId="BalloonTextChar">
    <w:name w:val="Balloon Text Char"/>
    <w:basedOn w:val="DefaultParagraphFont"/>
    <w:link w:val="BalloonText"/>
    <w:uiPriority w:val="99"/>
    <w:rsid w:val="00047E80"/>
    <w:rPr>
      <w:rFonts w:ascii="Tahoma" w:eastAsia="Times New Roman" w:hAnsi="Tahoma" w:cs="Tahoma"/>
      <w:sz w:val="16"/>
      <w:szCs w:val="16"/>
    </w:rPr>
  </w:style>
  <w:style w:type="paragraph" w:styleId="BodyText">
    <w:name w:val="Body Text"/>
    <w:basedOn w:val="Normal"/>
    <w:link w:val="BodyTextChar"/>
    <w:uiPriority w:val="1"/>
    <w:rsid w:val="003C224C"/>
    <w:pPr>
      <w:widowControl w:val="0"/>
      <w:spacing w:before="78"/>
      <w:ind w:left="657"/>
    </w:pPr>
    <w:rPr>
      <w:rFonts w:ascii="Arial" w:eastAsia="Arial" w:hAnsi="Arial" w:cstheme="minorBidi"/>
      <w:i/>
      <w:szCs w:val="24"/>
    </w:rPr>
  </w:style>
  <w:style w:type="character" w:customStyle="1" w:styleId="BodyTextChar">
    <w:name w:val="Body Text Char"/>
    <w:basedOn w:val="DefaultParagraphFont"/>
    <w:link w:val="BodyText"/>
    <w:uiPriority w:val="1"/>
    <w:rsid w:val="003C224C"/>
    <w:rPr>
      <w:rFonts w:ascii="Arial" w:eastAsia="Arial" w:hAnsi="Arial"/>
      <w:i/>
      <w:sz w:val="24"/>
      <w:szCs w:val="24"/>
    </w:rPr>
  </w:style>
  <w:style w:type="paragraph" w:styleId="ListParagraph">
    <w:name w:val="List Paragraph"/>
    <w:basedOn w:val="Normal"/>
    <w:uiPriority w:val="34"/>
    <w:qFormat/>
    <w:rsid w:val="006439C7"/>
    <w:pPr>
      <w:ind w:left="720"/>
      <w:contextualSpacing/>
    </w:pPr>
  </w:style>
  <w:style w:type="paragraph" w:styleId="TOCHeading">
    <w:name w:val="TOC Heading"/>
    <w:basedOn w:val="Heading1"/>
    <w:next w:val="Normal"/>
    <w:uiPriority w:val="39"/>
    <w:semiHidden/>
    <w:unhideWhenUsed/>
    <w:qFormat/>
    <w:rsid w:val="006439C7"/>
    <w:pPr>
      <w:keepLines/>
      <w:numPr>
        <w:numId w:val="0"/>
      </w:numPr>
      <w:spacing w:before="480" w:after="0" w:line="276" w:lineRule="auto"/>
      <w:outlineLvl w:val="9"/>
    </w:pPr>
    <w:rPr>
      <w:rFonts w:asciiTheme="majorHAnsi" w:eastAsiaTheme="majorEastAsia" w:hAnsiTheme="majorHAnsi"/>
      <w:bCs/>
      <w:color w:val="365F91" w:themeColor="accent1" w:themeShade="BF"/>
      <w:kern w:val="0"/>
      <w:szCs w:val="28"/>
      <w:lang w:eastAsia="ja-JP"/>
    </w:rPr>
  </w:style>
  <w:style w:type="paragraph" w:styleId="TOC1">
    <w:name w:val="toc 1"/>
    <w:basedOn w:val="Normal"/>
    <w:next w:val="Normal"/>
    <w:autoRedefine/>
    <w:uiPriority w:val="39"/>
    <w:unhideWhenUsed/>
    <w:qFormat/>
    <w:rsid w:val="006439C7"/>
    <w:pPr>
      <w:spacing w:after="100"/>
    </w:pPr>
  </w:style>
  <w:style w:type="paragraph" w:styleId="TOC2">
    <w:name w:val="toc 2"/>
    <w:basedOn w:val="Normal"/>
    <w:next w:val="Normal"/>
    <w:autoRedefine/>
    <w:uiPriority w:val="39"/>
    <w:unhideWhenUsed/>
    <w:qFormat/>
    <w:rsid w:val="006439C7"/>
    <w:pPr>
      <w:spacing w:after="100"/>
      <w:ind w:left="240"/>
    </w:pPr>
  </w:style>
  <w:style w:type="paragraph" w:styleId="TOC3">
    <w:name w:val="toc 3"/>
    <w:basedOn w:val="Normal"/>
    <w:next w:val="Normal"/>
    <w:autoRedefine/>
    <w:uiPriority w:val="39"/>
    <w:unhideWhenUsed/>
    <w:qFormat/>
    <w:rsid w:val="006439C7"/>
    <w:pPr>
      <w:spacing w:after="100"/>
      <w:ind w:left="480"/>
    </w:pPr>
  </w:style>
  <w:style w:type="character" w:styleId="Hyperlink">
    <w:name w:val="Hyperlink"/>
    <w:basedOn w:val="DefaultParagraphFont"/>
    <w:uiPriority w:val="99"/>
    <w:unhideWhenUsed/>
    <w:rsid w:val="00F056E3"/>
    <w:rPr>
      <w:color w:val="0000FF" w:themeColor="hyperlink"/>
      <w:u w:val="single"/>
    </w:rPr>
  </w:style>
  <w:style w:type="paragraph" w:styleId="Footer">
    <w:name w:val="footer"/>
    <w:basedOn w:val="Normal"/>
    <w:link w:val="FooterChar"/>
    <w:unhideWhenUsed/>
    <w:rsid w:val="00E779CC"/>
    <w:pPr>
      <w:tabs>
        <w:tab w:val="center" w:pos="4680"/>
        <w:tab w:val="right" w:pos="9360"/>
      </w:tabs>
    </w:pPr>
  </w:style>
  <w:style w:type="character" w:customStyle="1" w:styleId="FooterChar">
    <w:name w:val="Footer Char"/>
    <w:basedOn w:val="DefaultParagraphFont"/>
    <w:link w:val="Footer"/>
    <w:uiPriority w:val="99"/>
    <w:rsid w:val="00E779C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E5FB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E5FB1"/>
    <w:rPr>
      <w:rFonts w:ascii="Times New Roman" w:eastAsia="Times New Roman" w:hAnsi="Times New Roman" w:cs="Times New Roman"/>
      <w:b/>
      <w:bCs/>
      <w:sz w:val="20"/>
      <w:szCs w:val="20"/>
    </w:rPr>
  </w:style>
  <w:style w:type="paragraph" w:customStyle="1" w:styleId="Heading5Bullet">
    <w:name w:val="Heading 5 Bullet"/>
    <w:basedOn w:val="Heading5"/>
    <w:uiPriority w:val="99"/>
    <w:rsid w:val="002F0FE9"/>
    <w:pPr>
      <w:numPr>
        <w:numId w:val="10"/>
      </w:numPr>
      <w:spacing w:before="60" w:after="40" w:line="320" w:lineRule="exact"/>
      <w:ind w:left="360"/>
    </w:pPr>
    <w:rPr>
      <w:rFonts w:ascii="Times New Roman" w:eastAsia="Times New Roman" w:hAnsi="Times New Roman" w:cs="Times New Roman"/>
      <w:b/>
      <w:iCs/>
      <w:color w:val="auto"/>
      <w:sz w:val="26"/>
      <w:lang w:val="en-CA" w:eastAsia="en-CA"/>
    </w:rPr>
  </w:style>
  <w:style w:type="paragraph" w:customStyle="1" w:styleId="TableStyle">
    <w:name w:val="Table Style"/>
    <w:basedOn w:val="Normal"/>
    <w:link w:val="TableStyleChar"/>
    <w:rsid w:val="002F0FE9"/>
    <w:pPr>
      <w:spacing w:after="60"/>
    </w:pPr>
    <w:rPr>
      <w:rFonts w:ascii="Arial" w:hAnsi="Arial" w:cs="Arial"/>
      <w:sz w:val="20"/>
      <w:lang w:val="en-CA"/>
    </w:rPr>
  </w:style>
  <w:style w:type="character" w:customStyle="1" w:styleId="TableStyleChar">
    <w:name w:val="Table Style Char"/>
    <w:link w:val="TableStyle"/>
    <w:rsid w:val="002F0FE9"/>
    <w:rPr>
      <w:rFonts w:ascii="Arial" w:eastAsia="Times New Roman" w:hAnsi="Arial" w:cs="Arial"/>
      <w:sz w:val="20"/>
      <w:szCs w:val="20"/>
      <w:lang w:val="en-CA"/>
    </w:rPr>
  </w:style>
  <w:style w:type="paragraph" w:customStyle="1" w:styleId="Body">
    <w:name w:val="Body"/>
    <w:basedOn w:val="Normal"/>
    <w:link w:val="BodyChar"/>
    <w:rsid w:val="002F0FE9"/>
    <w:pPr>
      <w:spacing w:after="120"/>
    </w:pPr>
    <w:rPr>
      <w:rFonts w:ascii="Verdana" w:hAnsi="Verdana"/>
      <w:sz w:val="20"/>
      <w:lang w:val="en-CA"/>
    </w:rPr>
  </w:style>
  <w:style w:type="character" w:customStyle="1" w:styleId="BodyChar">
    <w:name w:val="Body Char"/>
    <w:link w:val="Body"/>
    <w:rsid w:val="002F0FE9"/>
    <w:rPr>
      <w:rFonts w:ascii="Verdana" w:eastAsia="Times New Roman" w:hAnsi="Verdana" w:cs="Times New Roman"/>
      <w:sz w:val="20"/>
      <w:szCs w:val="20"/>
      <w:lang w:val="en-CA"/>
    </w:rPr>
  </w:style>
  <w:style w:type="character" w:customStyle="1" w:styleId="Heading5Char">
    <w:name w:val="Heading 5 Char"/>
    <w:basedOn w:val="DefaultParagraphFont"/>
    <w:link w:val="Heading5"/>
    <w:uiPriority w:val="9"/>
    <w:rsid w:val="006439C7"/>
    <w:rPr>
      <w:rFonts w:asciiTheme="majorHAnsi" w:eastAsiaTheme="majorEastAsia" w:hAnsiTheme="majorHAnsi" w:cstheme="majorBidi"/>
      <w:color w:val="243F60" w:themeColor="accent1" w:themeShade="7F"/>
      <w:sz w:val="24"/>
    </w:rPr>
  </w:style>
  <w:style w:type="paragraph" w:styleId="DocumentMap">
    <w:name w:val="Document Map"/>
    <w:basedOn w:val="Normal"/>
    <w:link w:val="DocumentMapChar"/>
    <w:uiPriority w:val="99"/>
    <w:semiHidden/>
    <w:unhideWhenUsed/>
    <w:rsid w:val="00F175D7"/>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175D7"/>
    <w:rPr>
      <w:rFonts w:ascii="Lucida Grande" w:eastAsia="Times New Roman" w:hAnsi="Lucida Grande" w:cs="Lucida Grande"/>
      <w:sz w:val="24"/>
      <w:szCs w:val="24"/>
    </w:rPr>
  </w:style>
  <w:style w:type="paragraph" w:styleId="Caption">
    <w:name w:val="caption"/>
    <w:basedOn w:val="Normal"/>
    <w:next w:val="Normal"/>
    <w:uiPriority w:val="35"/>
    <w:unhideWhenUsed/>
    <w:qFormat/>
    <w:rsid w:val="006439C7"/>
    <w:pPr>
      <w:spacing w:after="200"/>
    </w:pPr>
    <w:rPr>
      <w:b/>
      <w:bCs/>
      <w:color w:val="4F81BD" w:themeColor="accent1"/>
      <w:sz w:val="18"/>
      <w:szCs w:val="18"/>
    </w:rPr>
  </w:style>
  <w:style w:type="character" w:customStyle="1" w:styleId="Heading6Char">
    <w:name w:val="Heading 6 Char"/>
    <w:basedOn w:val="DefaultParagraphFont"/>
    <w:link w:val="Heading6"/>
    <w:uiPriority w:val="9"/>
    <w:semiHidden/>
    <w:rsid w:val="006439C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6439C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439C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439C7"/>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6439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39C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439C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439C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439C7"/>
    <w:rPr>
      <w:b/>
      <w:bCs/>
    </w:rPr>
  </w:style>
  <w:style w:type="paragraph" w:styleId="NoSpacing">
    <w:name w:val="No Spacing"/>
    <w:uiPriority w:val="1"/>
    <w:qFormat/>
    <w:rsid w:val="006439C7"/>
    <w:rPr>
      <w:sz w:val="24"/>
    </w:rPr>
  </w:style>
  <w:style w:type="character" w:styleId="BookTitle">
    <w:name w:val="Book Title"/>
    <w:basedOn w:val="DefaultParagraphFont"/>
    <w:uiPriority w:val="33"/>
    <w:qFormat/>
    <w:rsid w:val="006439C7"/>
    <w:rPr>
      <w:b/>
      <w:bCs/>
      <w:smallCaps/>
      <w:spacing w:val="5"/>
    </w:rPr>
  </w:style>
  <w:style w:type="paragraph" w:styleId="Revision">
    <w:name w:val="Revision"/>
    <w:hidden/>
    <w:uiPriority w:val="99"/>
    <w:semiHidden/>
    <w:rsid w:val="009031F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9C7"/>
    <w:rPr>
      <w:sz w:val="24"/>
    </w:rPr>
  </w:style>
  <w:style w:type="paragraph" w:styleId="Heading1">
    <w:name w:val="heading 1"/>
    <w:basedOn w:val="Normal"/>
    <w:next w:val="Normal"/>
    <w:link w:val="Heading1Char"/>
    <w:qFormat/>
    <w:rsid w:val="006439C7"/>
    <w:pPr>
      <w:keepNext/>
      <w:numPr>
        <w:numId w:val="26"/>
      </w:numPr>
      <w:spacing w:before="240" w:after="240"/>
      <w:outlineLvl w:val="0"/>
    </w:pPr>
    <w:rPr>
      <w:rFonts w:cstheme="majorBidi"/>
      <w:b/>
      <w:kern w:val="28"/>
      <w:sz w:val="28"/>
    </w:rPr>
  </w:style>
  <w:style w:type="paragraph" w:styleId="Heading2">
    <w:name w:val="heading 2"/>
    <w:basedOn w:val="Normal"/>
    <w:next w:val="Normal"/>
    <w:link w:val="Heading2Char"/>
    <w:qFormat/>
    <w:rsid w:val="006439C7"/>
    <w:pPr>
      <w:keepNext/>
      <w:numPr>
        <w:ilvl w:val="1"/>
        <w:numId w:val="26"/>
      </w:numPr>
      <w:spacing w:before="240" w:after="240"/>
      <w:outlineLvl w:val="1"/>
    </w:pPr>
    <w:rPr>
      <w:b/>
    </w:rPr>
  </w:style>
  <w:style w:type="paragraph" w:styleId="Heading3">
    <w:name w:val="heading 3"/>
    <w:basedOn w:val="Heading2"/>
    <w:next w:val="Normal"/>
    <w:link w:val="Heading3Char"/>
    <w:qFormat/>
    <w:rsid w:val="00D9532A"/>
    <w:pPr>
      <w:numPr>
        <w:ilvl w:val="2"/>
      </w:numPr>
      <w:ind w:left="720"/>
      <w:contextualSpacing/>
      <w:outlineLvl w:val="2"/>
    </w:pPr>
  </w:style>
  <w:style w:type="paragraph" w:styleId="Heading4">
    <w:name w:val="heading 4"/>
    <w:basedOn w:val="Normal"/>
    <w:next w:val="Normal"/>
    <w:link w:val="Heading4Char"/>
    <w:qFormat/>
    <w:rsid w:val="006439C7"/>
    <w:pPr>
      <w:keepNext/>
      <w:outlineLvl w:val="3"/>
    </w:pPr>
    <w:rPr>
      <w:b/>
      <w:sz w:val="28"/>
    </w:rPr>
  </w:style>
  <w:style w:type="paragraph" w:styleId="Heading5">
    <w:name w:val="heading 5"/>
    <w:basedOn w:val="Normal"/>
    <w:next w:val="Normal"/>
    <w:link w:val="Heading5Char"/>
    <w:uiPriority w:val="9"/>
    <w:unhideWhenUsed/>
    <w:qFormat/>
    <w:rsid w:val="006439C7"/>
    <w:pPr>
      <w:keepNext/>
      <w:keepLines/>
      <w:numPr>
        <w:ilvl w:val="4"/>
        <w:numId w:val="2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39C7"/>
    <w:pPr>
      <w:keepNext/>
      <w:keepLines/>
      <w:numPr>
        <w:ilvl w:val="5"/>
        <w:numId w:val="2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39C7"/>
    <w:pPr>
      <w:keepNext/>
      <w:keepLines/>
      <w:numPr>
        <w:ilvl w:val="6"/>
        <w:numId w:val="2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39C7"/>
    <w:pPr>
      <w:keepNext/>
      <w:keepLines/>
      <w:numPr>
        <w:ilvl w:val="7"/>
        <w:numId w:val="2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439C7"/>
    <w:pPr>
      <w:keepNext/>
      <w:keepLines/>
      <w:numPr>
        <w:ilvl w:val="8"/>
        <w:numId w:val="16"/>
      </w:numPr>
      <w:spacing w:before="200"/>
      <w:ind w:left="1584" w:hanging="1584"/>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A4C"/>
    <w:rPr>
      <w:rFonts w:cstheme="majorBidi"/>
      <w:b/>
      <w:kern w:val="28"/>
      <w:sz w:val="28"/>
    </w:rPr>
  </w:style>
  <w:style w:type="paragraph" w:styleId="Header">
    <w:name w:val="header"/>
    <w:basedOn w:val="Normal"/>
    <w:link w:val="HeaderChar"/>
    <w:uiPriority w:val="99"/>
    <w:rsid w:val="00534A4C"/>
    <w:pPr>
      <w:tabs>
        <w:tab w:val="center" w:pos="4320"/>
        <w:tab w:val="right" w:pos="8640"/>
      </w:tabs>
    </w:pPr>
  </w:style>
  <w:style w:type="character" w:customStyle="1" w:styleId="HeaderChar">
    <w:name w:val="Header Char"/>
    <w:basedOn w:val="DefaultParagraphFont"/>
    <w:link w:val="Header"/>
    <w:uiPriority w:val="99"/>
    <w:rsid w:val="00534A4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34A4C"/>
    <w:rPr>
      <w:b/>
      <w:sz w:val="24"/>
    </w:rPr>
  </w:style>
  <w:style w:type="character" w:customStyle="1" w:styleId="Heading3Char">
    <w:name w:val="Heading 3 Char"/>
    <w:basedOn w:val="DefaultParagraphFont"/>
    <w:link w:val="Heading3"/>
    <w:rsid w:val="00D9532A"/>
    <w:rPr>
      <w:b/>
      <w:sz w:val="24"/>
    </w:rPr>
  </w:style>
  <w:style w:type="character" w:customStyle="1" w:styleId="Heading4Char">
    <w:name w:val="Heading 4 Char"/>
    <w:basedOn w:val="DefaultParagraphFont"/>
    <w:link w:val="Heading4"/>
    <w:rsid w:val="00534A4C"/>
    <w:rPr>
      <w:b/>
      <w:sz w:val="28"/>
    </w:rPr>
  </w:style>
  <w:style w:type="paragraph" w:styleId="CommentText">
    <w:name w:val="annotation text"/>
    <w:basedOn w:val="Normal"/>
    <w:link w:val="CommentTextChar"/>
    <w:uiPriority w:val="99"/>
    <w:unhideWhenUsed/>
    <w:rsid w:val="00534A4C"/>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534A4C"/>
    <w:rPr>
      <w:sz w:val="20"/>
      <w:szCs w:val="20"/>
    </w:rPr>
  </w:style>
  <w:style w:type="paragraph" w:styleId="NormalWeb">
    <w:name w:val="Normal (Web)"/>
    <w:basedOn w:val="Normal"/>
    <w:uiPriority w:val="99"/>
    <w:unhideWhenUsed/>
    <w:rsid w:val="00534A4C"/>
    <w:pPr>
      <w:spacing w:before="100" w:beforeAutospacing="1" w:after="100" w:afterAutospacing="1"/>
    </w:pPr>
    <w:rPr>
      <w:szCs w:val="24"/>
    </w:rPr>
  </w:style>
  <w:style w:type="table" w:styleId="TableGrid">
    <w:name w:val="Table Grid"/>
    <w:basedOn w:val="TableNormal"/>
    <w:uiPriority w:val="59"/>
    <w:rsid w:val="00047E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7E80"/>
    <w:rPr>
      <w:sz w:val="16"/>
      <w:szCs w:val="16"/>
    </w:rPr>
  </w:style>
  <w:style w:type="paragraph" w:styleId="BalloonText">
    <w:name w:val="Balloon Text"/>
    <w:basedOn w:val="Normal"/>
    <w:link w:val="BalloonTextChar"/>
    <w:uiPriority w:val="99"/>
    <w:unhideWhenUsed/>
    <w:rsid w:val="00047E80"/>
    <w:rPr>
      <w:rFonts w:ascii="Tahoma" w:hAnsi="Tahoma" w:cs="Tahoma"/>
      <w:sz w:val="16"/>
      <w:szCs w:val="16"/>
    </w:rPr>
  </w:style>
  <w:style w:type="character" w:customStyle="1" w:styleId="BalloonTextChar">
    <w:name w:val="Balloon Text Char"/>
    <w:basedOn w:val="DefaultParagraphFont"/>
    <w:link w:val="BalloonText"/>
    <w:uiPriority w:val="99"/>
    <w:rsid w:val="00047E80"/>
    <w:rPr>
      <w:rFonts w:ascii="Tahoma" w:eastAsia="Times New Roman" w:hAnsi="Tahoma" w:cs="Tahoma"/>
      <w:sz w:val="16"/>
      <w:szCs w:val="16"/>
    </w:rPr>
  </w:style>
  <w:style w:type="paragraph" w:styleId="BodyText">
    <w:name w:val="Body Text"/>
    <w:basedOn w:val="Normal"/>
    <w:link w:val="BodyTextChar"/>
    <w:uiPriority w:val="1"/>
    <w:rsid w:val="003C224C"/>
    <w:pPr>
      <w:widowControl w:val="0"/>
      <w:spacing w:before="78"/>
      <w:ind w:left="657"/>
    </w:pPr>
    <w:rPr>
      <w:rFonts w:ascii="Arial" w:eastAsia="Arial" w:hAnsi="Arial" w:cstheme="minorBidi"/>
      <w:i/>
      <w:szCs w:val="24"/>
    </w:rPr>
  </w:style>
  <w:style w:type="character" w:customStyle="1" w:styleId="BodyTextChar">
    <w:name w:val="Body Text Char"/>
    <w:basedOn w:val="DefaultParagraphFont"/>
    <w:link w:val="BodyText"/>
    <w:uiPriority w:val="1"/>
    <w:rsid w:val="003C224C"/>
    <w:rPr>
      <w:rFonts w:ascii="Arial" w:eastAsia="Arial" w:hAnsi="Arial"/>
      <w:i/>
      <w:sz w:val="24"/>
      <w:szCs w:val="24"/>
    </w:rPr>
  </w:style>
  <w:style w:type="paragraph" w:styleId="ListParagraph">
    <w:name w:val="List Paragraph"/>
    <w:basedOn w:val="Normal"/>
    <w:uiPriority w:val="34"/>
    <w:qFormat/>
    <w:rsid w:val="006439C7"/>
    <w:pPr>
      <w:ind w:left="720"/>
      <w:contextualSpacing/>
    </w:pPr>
  </w:style>
  <w:style w:type="paragraph" w:styleId="TOCHeading">
    <w:name w:val="TOC Heading"/>
    <w:basedOn w:val="Heading1"/>
    <w:next w:val="Normal"/>
    <w:uiPriority w:val="39"/>
    <w:semiHidden/>
    <w:unhideWhenUsed/>
    <w:qFormat/>
    <w:rsid w:val="006439C7"/>
    <w:pPr>
      <w:keepLines/>
      <w:numPr>
        <w:numId w:val="0"/>
      </w:numPr>
      <w:spacing w:before="480" w:after="0" w:line="276" w:lineRule="auto"/>
      <w:outlineLvl w:val="9"/>
    </w:pPr>
    <w:rPr>
      <w:rFonts w:asciiTheme="majorHAnsi" w:eastAsiaTheme="majorEastAsia" w:hAnsiTheme="majorHAnsi"/>
      <w:bCs/>
      <w:color w:val="365F91" w:themeColor="accent1" w:themeShade="BF"/>
      <w:kern w:val="0"/>
      <w:szCs w:val="28"/>
      <w:lang w:eastAsia="ja-JP"/>
    </w:rPr>
  </w:style>
  <w:style w:type="paragraph" w:styleId="TOC1">
    <w:name w:val="toc 1"/>
    <w:basedOn w:val="Normal"/>
    <w:next w:val="Normal"/>
    <w:autoRedefine/>
    <w:uiPriority w:val="39"/>
    <w:unhideWhenUsed/>
    <w:qFormat/>
    <w:rsid w:val="006439C7"/>
    <w:pPr>
      <w:spacing w:after="100"/>
    </w:pPr>
  </w:style>
  <w:style w:type="paragraph" w:styleId="TOC2">
    <w:name w:val="toc 2"/>
    <w:basedOn w:val="Normal"/>
    <w:next w:val="Normal"/>
    <w:autoRedefine/>
    <w:uiPriority w:val="39"/>
    <w:unhideWhenUsed/>
    <w:qFormat/>
    <w:rsid w:val="006439C7"/>
    <w:pPr>
      <w:spacing w:after="100"/>
      <w:ind w:left="240"/>
    </w:pPr>
  </w:style>
  <w:style w:type="paragraph" w:styleId="TOC3">
    <w:name w:val="toc 3"/>
    <w:basedOn w:val="Normal"/>
    <w:next w:val="Normal"/>
    <w:autoRedefine/>
    <w:uiPriority w:val="39"/>
    <w:unhideWhenUsed/>
    <w:qFormat/>
    <w:rsid w:val="006439C7"/>
    <w:pPr>
      <w:spacing w:after="100"/>
      <w:ind w:left="480"/>
    </w:pPr>
  </w:style>
  <w:style w:type="character" w:styleId="Hyperlink">
    <w:name w:val="Hyperlink"/>
    <w:basedOn w:val="DefaultParagraphFont"/>
    <w:uiPriority w:val="99"/>
    <w:unhideWhenUsed/>
    <w:rsid w:val="00F056E3"/>
    <w:rPr>
      <w:color w:val="0000FF" w:themeColor="hyperlink"/>
      <w:u w:val="single"/>
    </w:rPr>
  </w:style>
  <w:style w:type="paragraph" w:styleId="Footer">
    <w:name w:val="footer"/>
    <w:basedOn w:val="Normal"/>
    <w:link w:val="FooterChar"/>
    <w:unhideWhenUsed/>
    <w:rsid w:val="00E779CC"/>
    <w:pPr>
      <w:tabs>
        <w:tab w:val="center" w:pos="4680"/>
        <w:tab w:val="right" w:pos="9360"/>
      </w:tabs>
    </w:pPr>
  </w:style>
  <w:style w:type="character" w:customStyle="1" w:styleId="FooterChar">
    <w:name w:val="Footer Char"/>
    <w:basedOn w:val="DefaultParagraphFont"/>
    <w:link w:val="Footer"/>
    <w:uiPriority w:val="99"/>
    <w:rsid w:val="00E779CC"/>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E5FB1"/>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E5FB1"/>
    <w:rPr>
      <w:rFonts w:ascii="Times New Roman" w:eastAsia="Times New Roman" w:hAnsi="Times New Roman" w:cs="Times New Roman"/>
      <w:b/>
      <w:bCs/>
      <w:sz w:val="20"/>
      <w:szCs w:val="20"/>
    </w:rPr>
  </w:style>
  <w:style w:type="paragraph" w:customStyle="1" w:styleId="Heading5Bullet">
    <w:name w:val="Heading 5 Bullet"/>
    <w:basedOn w:val="Heading5"/>
    <w:uiPriority w:val="99"/>
    <w:rsid w:val="002F0FE9"/>
    <w:pPr>
      <w:numPr>
        <w:numId w:val="10"/>
      </w:numPr>
      <w:spacing w:before="60" w:after="40" w:line="320" w:lineRule="exact"/>
      <w:ind w:left="360"/>
    </w:pPr>
    <w:rPr>
      <w:rFonts w:ascii="Times New Roman" w:eastAsia="Times New Roman" w:hAnsi="Times New Roman" w:cs="Times New Roman"/>
      <w:b/>
      <w:iCs/>
      <w:color w:val="auto"/>
      <w:sz w:val="26"/>
      <w:lang w:val="en-CA" w:eastAsia="en-CA"/>
    </w:rPr>
  </w:style>
  <w:style w:type="paragraph" w:customStyle="1" w:styleId="TableStyle">
    <w:name w:val="Table Style"/>
    <w:basedOn w:val="Normal"/>
    <w:link w:val="TableStyleChar"/>
    <w:rsid w:val="002F0FE9"/>
    <w:pPr>
      <w:spacing w:after="60"/>
    </w:pPr>
    <w:rPr>
      <w:rFonts w:ascii="Arial" w:hAnsi="Arial" w:cs="Arial"/>
      <w:sz w:val="20"/>
      <w:lang w:val="en-CA"/>
    </w:rPr>
  </w:style>
  <w:style w:type="character" w:customStyle="1" w:styleId="TableStyleChar">
    <w:name w:val="Table Style Char"/>
    <w:link w:val="TableStyle"/>
    <w:rsid w:val="002F0FE9"/>
    <w:rPr>
      <w:rFonts w:ascii="Arial" w:eastAsia="Times New Roman" w:hAnsi="Arial" w:cs="Arial"/>
      <w:sz w:val="20"/>
      <w:szCs w:val="20"/>
      <w:lang w:val="en-CA"/>
    </w:rPr>
  </w:style>
  <w:style w:type="paragraph" w:customStyle="1" w:styleId="Body">
    <w:name w:val="Body"/>
    <w:basedOn w:val="Normal"/>
    <w:link w:val="BodyChar"/>
    <w:rsid w:val="002F0FE9"/>
    <w:pPr>
      <w:spacing w:after="120"/>
    </w:pPr>
    <w:rPr>
      <w:rFonts w:ascii="Verdana" w:hAnsi="Verdana"/>
      <w:sz w:val="20"/>
      <w:lang w:val="en-CA"/>
    </w:rPr>
  </w:style>
  <w:style w:type="character" w:customStyle="1" w:styleId="BodyChar">
    <w:name w:val="Body Char"/>
    <w:link w:val="Body"/>
    <w:rsid w:val="002F0FE9"/>
    <w:rPr>
      <w:rFonts w:ascii="Verdana" w:eastAsia="Times New Roman" w:hAnsi="Verdana" w:cs="Times New Roman"/>
      <w:sz w:val="20"/>
      <w:szCs w:val="20"/>
      <w:lang w:val="en-CA"/>
    </w:rPr>
  </w:style>
  <w:style w:type="character" w:customStyle="1" w:styleId="Heading5Char">
    <w:name w:val="Heading 5 Char"/>
    <w:basedOn w:val="DefaultParagraphFont"/>
    <w:link w:val="Heading5"/>
    <w:uiPriority w:val="9"/>
    <w:rsid w:val="006439C7"/>
    <w:rPr>
      <w:rFonts w:asciiTheme="majorHAnsi" w:eastAsiaTheme="majorEastAsia" w:hAnsiTheme="majorHAnsi" w:cstheme="majorBidi"/>
      <w:color w:val="243F60" w:themeColor="accent1" w:themeShade="7F"/>
      <w:sz w:val="24"/>
    </w:rPr>
  </w:style>
  <w:style w:type="paragraph" w:styleId="DocumentMap">
    <w:name w:val="Document Map"/>
    <w:basedOn w:val="Normal"/>
    <w:link w:val="DocumentMapChar"/>
    <w:uiPriority w:val="99"/>
    <w:semiHidden/>
    <w:unhideWhenUsed/>
    <w:rsid w:val="00F175D7"/>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175D7"/>
    <w:rPr>
      <w:rFonts w:ascii="Lucida Grande" w:eastAsia="Times New Roman" w:hAnsi="Lucida Grande" w:cs="Lucida Grande"/>
      <w:sz w:val="24"/>
      <w:szCs w:val="24"/>
    </w:rPr>
  </w:style>
  <w:style w:type="paragraph" w:styleId="Caption">
    <w:name w:val="caption"/>
    <w:basedOn w:val="Normal"/>
    <w:next w:val="Normal"/>
    <w:uiPriority w:val="35"/>
    <w:unhideWhenUsed/>
    <w:qFormat/>
    <w:rsid w:val="006439C7"/>
    <w:pPr>
      <w:spacing w:after="200"/>
    </w:pPr>
    <w:rPr>
      <w:b/>
      <w:bCs/>
      <w:color w:val="4F81BD" w:themeColor="accent1"/>
      <w:sz w:val="18"/>
      <w:szCs w:val="18"/>
    </w:rPr>
  </w:style>
  <w:style w:type="character" w:customStyle="1" w:styleId="Heading6Char">
    <w:name w:val="Heading 6 Char"/>
    <w:basedOn w:val="DefaultParagraphFont"/>
    <w:link w:val="Heading6"/>
    <w:uiPriority w:val="9"/>
    <w:semiHidden/>
    <w:rsid w:val="006439C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6439C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6439C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439C7"/>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6439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39C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439C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6439C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439C7"/>
    <w:rPr>
      <w:b/>
      <w:bCs/>
    </w:rPr>
  </w:style>
  <w:style w:type="paragraph" w:styleId="NoSpacing">
    <w:name w:val="No Spacing"/>
    <w:uiPriority w:val="1"/>
    <w:qFormat/>
    <w:rsid w:val="006439C7"/>
    <w:rPr>
      <w:sz w:val="24"/>
    </w:rPr>
  </w:style>
  <w:style w:type="character" w:styleId="BookTitle">
    <w:name w:val="Book Title"/>
    <w:basedOn w:val="DefaultParagraphFont"/>
    <w:uiPriority w:val="33"/>
    <w:qFormat/>
    <w:rsid w:val="006439C7"/>
    <w:rPr>
      <w:b/>
      <w:bCs/>
      <w:smallCaps/>
      <w:spacing w:val="5"/>
    </w:rPr>
  </w:style>
  <w:style w:type="paragraph" w:styleId="Revision">
    <w:name w:val="Revision"/>
    <w:hidden/>
    <w:uiPriority w:val="99"/>
    <w:semiHidden/>
    <w:rsid w:val="009031F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9384">
      <w:bodyDiv w:val="1"/>
      <w:marLeft w:val="0"/>
      <w:marRight w:val="0"/>
      <w:marTop w:val="0"/>
      <w:marBottom w:val="0"/>
      <w:divBdr>
        <w:top w:val="none" w:sz="0" w:space="0" w:color="auto"/>
        <w:left w:val="none" w:sz="0" w:space="0" w:color="auto"/>
        <w:bottom w:val="none" w:sz="0" w:space="0" w:color="auto"/>
        <w:right w:val="none" w:sz="0" w:space="0" w:color="auto"/>
      </w:divBdr>
    </w:div>
    <w:div w:id="299531067">
      <w:bodyDiv w:val="1"/>
      <w:marLeft w:val="0"/>
      <w:marRight w:val="0"/>
      <w:marTop w:val="0"/>
      <w:marBottom w:val="0"/>
      <w:divBdr>
        <w:top w:val="none" w:sz="0" w:space="0" w:color="auto"/>
        <w:left w:val="none" w:sz="0" w:space="0" w:color="auto"/>
        <w:bottom w:val="none" w:sz="0" w:space="0" w:color="auto"/>
        <w:right w:val="none" w:sz="0" w:space="0" w:color="auto"/>
      </w:divBdr>
    </w:div>
    <w:div w:id="546574688">
      <w:bodyDiv w:val="1"/>
      <w:marLeft w:val="0"/>
      <w:marRight w:val="0"/>
      <w:marTop w:val="0"/>
      <w:marBottom w:val="0"/>
      <w:divBdr>
        <w:top w:val="none" w:sz="0" w:space="0" w:color="auto"/>
        <w:left w:val="none" w:sz="0" w:space="0" w:color="auto"/>
        <w:bottom w:val="none" w:sz="0" w:space="0" w:color="auto"/>
        <w:right w:val="none" w:sz="0" w:space="0" w:color="auto"/>
      </w:divBdr>
    </w:div>
    <w:div w:id="871262735">
      <w:bodyDiv w:val="1"/>
      <w:marLeft w:val="0"/>
      <w:marRight w:val="0"/>
      <w:marTop w:val="0"/>
      <w:marBottom w:val="0"/>
      <w:divBdr>
        <w:top w:val="none" w:sz="0" w:space="0" w:color="auto"/>
        <w:left w:val="none" w:sz="0" w:space="0" w:color="auto"/>
        <w:bottom w:val="none" w:sz="0" w:space="0" w:color="auto"/>
        <w:right w:val="none" w:sz="0" w:space="0" w:color="auto"/>
      </w:divBdr>
    </w:div>
    <w:div w:id="884948909">
      <w:bodyDiv w:val="1"/>
      <w:marLeft w:val="0"/>
      <w:marRight w:val="0"/>
      <w:marTop w:val="0"/>
      <w:marBottom w:val="0"/>
      <w:divBdr>
        <w:top w:val="none" w:sz="0" w:space="0" w:color="auto"/>
        <w:left w:val="none" w:sz="0" w:space="0" w:color="auto"/>
        <w:bottom w:val="none" w:sz="0" w:space="0" w:color="auto"/>
        <w:right w:val="none" w:sz="0" w:space="0" w:color="auto"/>
      </w:divBdr>
    </w:div>
    <w:div w:id="1030489854">
      <w:bodyDiv w:val="1"/>
      <w:marLeft w:val="0"/>
      <w:marRight w:val="0"/>
      <w:marTop w:val="0"/>
      <w:marBottom w:val="0"/>
      <w:divBdr>
        <w:top w:val="none" w:sz="0" w:space="0" w:color="auto"/>
        <w:left w:val="none" w:sz="0" w:space="0" w:color="auto"/>
        <w:bottom w:val="none" w:sz="0" w:space="0" w:color="auto"/>
        <w:right w:val="none" w:sz="0" w:space="0" w:color="auto"/>
      </w:divBdr>
    </w:div>
    <w:div w:id="1113591699">
      <w:bodyDiv w:val="1"/>
      <w:marLeft w:val="0"/>
      <w:marRight w:val="0"/>
      <w:marTop w:val="0"/>
      <w:marBottom w:val="0"/>
      <w:divBdr>
        <w:top w:val="none" w:sz="0" w:space="0" w:color="auto"/>
        <w:left w:val="none" w:sz="0" w:space="0" w:color="auto"/>
        <w:bottom w:val="none" w:sz="0" w:space="0" w:color="auto"/>
        <w:right w:val="none" w:sz="0" w:space="0" w:color="auto"/>
      </w:divBdr>
    </w:div>
    <w:div w:id="1251500304">
      <w:bodyDiv w:val="1"/>
      <w:marLeft w:val="0"/>
      <w:marRight w:val="0"/>
      <w:marTop w:val="0"/>
      <w:marBottom w:val="0"/>
      <w:divBdr>
        <w:top w:val="none" w:sz="0" w:space="0" w:color="auto"/>
        <w:left w:val="none" w:sz="0" w:space="0" w:color="auto"/>
        <w:bottom w:val="none" w:sz="0" w:space="0" w:color="auto"/>
        <w:right w:val="none" w:sz="0" w:space="0" w:color="auto"/>
      </w:divBdr>
    </w:div>
    <w:div w:id="1544517644">
      <w:bodyDiv w:val="1"/>
      <w:marLeft w:val="0"/>
      <w:marRight w:val="0"/>
      <w:marTop w:val="0"/>
      <w:marBottom w:val="0"/>
      <w:divBdr>
        <w:top w:val="none" w:sz="0" w:space="0" w:color="auto"/>
        <w:left w:val="none" w:sz="0" w:space="0" w:color="auto"/>
        <w:bottom w:val="none" w:sz="0" w:space="0" w:color="auto"/>
        <w:right w:val="none" w:sz="0" w:space="0" w:color="auto"/>
      </w:divBdr>
    </w:div>
    <w:div w:id="1567761227">
      <w:bodyDiv w:val="1"/>
      <w:marLeft w:val="0"/>
      <w:marRight w:val="0"/>
      <w:marTop w:val="0"/>
      <w:marBottom w:val="0"/>
      <w:divBdr>
        <w:top w:val="none" w:sz="0" w:space="0" w:color="auto"/>
        <w:left w:val="none" w:sz="0" w:space="0" w:color="auto"/>
        <w:bottom w:val="none" w:sz="0" w:space="0" w:color="auto"/>
        <w:right w:val="none" w:sz="0" w:space="0" w:color="auto"/>
      </w:divBdr>
    </w:div>
    <w:div w:id="1738167529">
      <w:bodyDiv w:val="1"/>
      <w:marLeft w:val="0"/>
      <w:marRight w:val="0"/>
      <w:marTop w:val="0"/>
      <w:marBottom w:val="0"/>
      <w:divBdr>
        <w:top w:val="none" w:sz="0" w:space="0" w:color="auto"/>
        <w:left w:val="none" w:sz="0" w:space="0" w:color="auto"/>
        <w:bottom w:val="none" w:sz="0" w:space="0" w:color="auto"/>
        <w:right w:val="none" w:sz="0" w:space="0" w:color="auto"/>
      </w:divBdr>
    </w:div>
    <w:div w:id="1776123521">
      <w:bodyDiv w:val="1"/>
      <w:marLeft w:val="0"/>
      <w:marRight w:val="0"/>
      <w:marTop w:val="0"/>
      <w:marBottom w:val="0"/>
      <w:divBdr>
        <w:top w:val="none" w:sz="0" w:space="0" w:color="auto"/>
        <w:left w:val="none" w:sz="0" w:space="0" w:color="auto"/>
        <w:bottom w:val="none" w:sz="0" w:space="0" w:color="auto"/>
        <w:right w:val="none" w:sz="0" w:space="0" w:color="auto"/>
      </w:divBdr>
      <w:divsChild>
        <w:div w:id="846604580">
          <w:marLeft w:val="1800"/>
          <w:marRight w:val="0"/>
          <w:marTop w:val="58"/>
          <w:marBottom w:val="0"/>
          <w:divBdr>
            <w:top w:val="none" w:sz="0" w:space="0" w:color="auto"/>
            <w:left w:val="none" w:sz="0" w:space="0" w:color="auto"/>
            <w:bottom w:val="none" w:sz="0" w:space="0" w:color="auto"/>
            <w:right w:val="none" w:sz="0" w:space="0" w:color="auto"/>
          </w:divBdr>
        </w:div>
      </w:divsChild>
    </w:div>
    <w:div w:id="208025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3EE7F0C404A43B84E48C90D6E307C" ma:contentTypeVersion="1" ma:contentTypeDescription="Create a new document." ma:contentTypeScope="" ma:versionID="3b15c1c4fc7a08614843d94bc746b7bb">
  <xsd:schema xmlns:xsd="http://www.w3.org/2001/XMLSchema" xmlns:xs="http://www.w3.org/2001/XMLSchema" xmlns:p="http://schemas.microsoft.com/office/2006/metadata/properties" xmlns:ns2="47130c8d-230e-48d5-a2b0-18ffca70f364" xmlns:ns3="9090b1f0-35dc-4282-afe9-80db97d08e3b" targetNamespace="http://schemas.microsoft.com/office/2006/metadata/properties" ma:root="true" ma:fieldsID="0d49c3fc00878a5be0f89a11f3e48f7d" ns2:_="" ns3:_="">
    <xsd:import namespace="47130c8d-230e-48d5-a2b0-18ffca70f364"/>
    <xsd:import namespace="9090b1f0-35dc-4282-afe9-80db97d08e3b"/>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30c8d-230e-48d5-a2b0-18ffca70f3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90b1f0-35dc-4282-afe9-80db97d08e3b"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9090b1f0-35dc-4282-afe9-80db97d08e3b" xsi:nil="true"/>
    <_dlc_DocId xmlns="47130c8d-230e-48d5-a2b0-18ffca70f364">W6E3W4PSSMKQ-101-312</_dlc_DocId>
    <_dlc_DocIdUrl xmlns="47130c8d-230e-48d5-a2b0-18ffca70f364">
      <Url>http://sharepoint.fda.gov/orgs/CDRH-Science/Informatics/IMDRF/_layouts/DocIdRedir.aspx?ID=W6E3W4PSSMKQ-101-312</Url>
      <Description>W6E3W4PSSMKQ-101-312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F9EE-7489-4989-A980-93F56F90E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30c8d-230e-48d5-a2b0-18ffca70f364"/>
    <ds:schemaRef ds:uri="9090b1f0-35dc-4282-afe9-80db97d08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23437-E867-42BD-A6F4-E424FC290DC9}">
  <ds:schemaRefs>
    <ds:schemaRef ds:uri="http://schemas.microsoft.com/sharepoint/events"/>
  </ds:schemaRefs>
</ds:datastoreItem>
</file>

<file path=customXml/itemProps3.xml><?xml version="1.0" encoding="utf-8"?>
<ds:datastoreItem xmlns:ds="http://schemas.openxmlformats.org/officeDocument/2006/customXml" ds:itemID="{9DC558DF-62D9-4D99-8D46-DD8DCC7FD770}">
  <ds:schemaRefs>
    <ds:schemaRef ds:uri="http://schemas.microsoft.com/sharepoint/v3/contenttype/forms"/>
  </ds:schemaRefs>
</ds:datastoreItem>
</file>

<file path=customXml/itemProps4.xml><?xml version="1.0" encoding="utf-8"?>
<ds:datastoreItem xmlns:ds="http://schemas.openxmlformats.org/officeDocument/2006/customXml" ds:itemID="{A6D40DFB-2C4E-4FED-819C-7EB2B900EA65}">
  <ds:schemaRefs>
    <ds:schemaRef ds:uri="http://schemas.microsoft.com/office/2006/metadata/properties"/>
    <ds:schemaRef ds:uri="http://schemas.microsoft.com/office/infopath/2007/PartnerControls"/>
    <ds:schemaRef ds:uri="9090b1f0-35dc-4282-afe9-80db97d08e3b"/>
    <ds:schemaRef ds:uri="47130c8d-230e-48d5-a2b0-18ffca70f364"/>
  </ds:schemaRefs>
</ds:datastoreItem>
</file>

<file path=customXml/itemProps5.xml><?xml version="1.0" encoding="utf-8"?>
<ds:datastoreItem xmlns:ds="http://schemas.openxmlformats.org/officeDocument/2006/customXml" ds:itemID="{78772D9E-0490-421A-8F30-BBC4044D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8844</Words>
  <Characters>50417</Characters>
  <Application>Microsoft Office Word</Application>
  <DocSecurity>0</DocSecurity>
  <Lines>420</Lines>
  <Paragraphs>118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IMDRF</Company>
  <LinksUpToDate>false</LinksUpToDate>
  <CharactersWithSpaces>59143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Assessment of Electronic Submission Messaging Formats</dc:title>
  <dc:subject>procedural document</dc:subject>
  <dc:creator>IMDRF</dc:creator>
  <cp:keywords>medical devices, regulation, imdrf</cp:keywords>
  <cp:lastModifiedBy>Sheppard, Fran</cp:lastModifiedBy>
  <cp:revision>7</cp:revision>
  <cp:lastPrinted>2015-10-02T07:09:00Z</cp:lastPrinted>
  <dcterms:created xsi:type="dcterms:W3CDTF">2015-07-24T14:12:00Z</dcterms:created>
  <dcterms:modified xsi:type="dcterms:W3CDTF">2015-10-19T10:15:00Z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0x0101000093EE7F0C404A43B84E48C90D6E307C</vt:lpwstr>
  </property>
  <property fmtid="{D5CDD505-2E9C-101B-9397-08002B2CF9AE}" pid="3" name="_dlc_DocIdItemGuid">
    <vt:lpwstr>0906c526-ba4e-4c03-88e1-b43d4f7bb92c</vt:lpwstr>
  </property>
</Properties>
</file>