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37C4E" w14:textId="0494EDCB" w:rsidR="005219B9" w:rsidRDefault="00641029" w:rsidP="00043568">
      <w:pPr>
        <w:pBdr>
          <w:top w:val="single" w:sz="6" w:space="0" w:color="000000"/>
          <w:left w:val="single" w:sz="6" w:space="0" w:color="000000"/>
          <w:bottom w:val="single" w:sz="6" w:space="0" w:color="000000"/>
          <w:right w:val="single" w:sz="6" w:space="0" w:color="000000"/>
        </w:pBdr>
        <w:tabs>
          <w:tab w:val="right" w:pos="9360"/>
        </w:tabs>
        <w:wordWrap w:val="0"/>
        <w:jc w:val="right"/>
        <w:rPr>
          <w:b/>
          <w:lang w:eastAsia="ja-JP"/>
        </w:rPr>
      </w:pPr>
      <w:bookmarkStart w:id="0" w:name="_GoBack"/>
      <w:bookmarkEnd w:id="0"/>
      <w:r>
        <w:rPr>
          <w:b/>
        </w:rPr>
        <w:t>IMDRF/</w:t>
      </w:r>
      <w:r w:rsidR="00631083">
        <w:rPr>
          <w:rFonts w:hint="eastAsia"/>
          <w:b/>
          <w:lang w:eastAsia="ja-JP"/>
        </w:rPr>
        <w:t>MC/</w:t>
      </w:r>
      <w:r>
        <w:rPr>
          <w:b/>
        </w:rPr>
        <w:t>N</w:t>
      </w:r>
      <w:r w:rsidR="00043568">
        <w:rPr>
          <w:rFonts w:hint="eastAsia"/>
          <w:b/>
          <w:lang w:eastAsia="ja-JP"/>
        </w:rPr>
        <w:t xml:space="preserve">39 </w:t>
      </w:r>
      <w:r>
        <w:rPr>
          <w:b/>
        </w:rPr>
        <w:t>FINAL:201</w:t>
      </w:r>
      <w:r>
        <w:rPr>
          <w:rFonts w:hint="eastAsia"/>
          <w:b/>
          <w:lang w:eastAsia="ja-JP"/>
        </w:rPr>
        <w:t>5</w:t>
      </w:r>
    </w:p>
    <w:p w14:paraId="215496A0"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45234D3E"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76572A8C" w14:textId="77777777"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75031136" wp14:editId="11B8426D">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090833B3"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AB410CD"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08F559D9" w14:textId="77777777" w:rsidR="001732F8" w:rsidRDefault="001732F8">
      <w:pPr>
        <w:pBdr>
          <w:top w:val="single" w:sz="6" w:space="0" w:color="000000"/>
          <w:left w:val="single" w:sz="6" w:space="0" w:color="000000"/>
          <w:bottom w:val="single" w:sz="6" w:space="0" w:color="000000"/>
          <w:right w:val="single" w:sz="6" w:space="0" w:color="000000"/>
        </w:pBdr>
        <w:rPr>
          <w:sz w:val="28"/>
        </w:rPr>
      </w:pPr>
    </w:p>
    <w:p w14:paraId="47849759" w14:textId="44B6D1FE" w:rsidR="005219B9" w:rsidRPr="00CD519C" w:rsidRDefault="00043568" w:rsidP="00CD519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lang w:eastAsia="ja-JP"/>
        </w:rPr>
      </w:pPr>
      <w:r>
        <w:rPr>
          <w:b/>
          <w:sz w:val="40"/>
        </w:rPr>
        <w:t>FINAL DOCUMENT</w:t>
      </w:r>
    </w:p>
    <w:p w14:paraId="44AF100B"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0B074041" w14:textId="77777777" w:rsidR="001732F8" w:rsidRDefault="001732F8">
      <w:pPr>
        <w:pBdr>
          <w:top w:val="single" w:sz="6" w:space="0" w:color="000000"/>
          <w:left w:val="single" w:sz="6" w:space="0" w:color="000000"/>
          <w:bottom w:val="single" w:sz="6" w:space="0" w:color="000000"/>
          <w:right w:val="single" w:sz="6" w:space="0" w:color="000000"/>
        </w:pBdr>
        <w:rPr>
          <w:b/>
          <w:sz w:val="32"/>
          <w:lang w:eastAsia="ja-JP"/>
        </w:rPr>
      </w:pPr>
    </w:p>
    <w:p w14:paraId="3038B151"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09F730A5"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6B11D09A" w14:textId="77777777" w:rsidR="005219B9" w:rsidRDefault="00825ACA" w:rsidP="00A22B31">
      <w:pPr>
        <w:pBdr>
          <w:top w:val="single" w:sz="6" w:space="0" w:color="000000"/>
          <w:left w:val="single" w:sz="6" w:space="0" w:color="000000"/>
          <w:bottom w:val="single" w:sz="6" w:space="0" w:color="000000"/>
          <w:right w:val="single" w:sz="6" w:space="0" w:color="000000"/>
        </w:pBdr>
        <w:ind w:left="2880" w:hanging="2880"/>
        <w:rPr>
          <w:b/>
          <w:sz w:val="32"/>
        </w:rPr>
      </w:pPr>
      <w:r>
        <w:rPr>
          <w:b/>
          <w:sz w:val="28"/>
        </w:rPr>
        <w:t xml:space="preserve">   Title: </w:t>
      </w:r>
      <w:r w:rsidR="00A22B31">
        <w:rPr>
          <w:rFonts w:hint="eastAsia"/>
          <w:b/>
          <w:sz w:val="28"/>
          <w:lang w:eastAsia="ja-JP"/>
        </w:rPr>
        <w:tab/>
      </w:r>
      <w:r w:rsidR="0088051F">
        <w:rPr>
          <w:rFonts w:hint="eastAsia"/>
          <w:b/>
          <w:sz w:val="28"/>
          <w:lang w:eastAsia="ja-JP"/>
        </w:rPr>
        <w:t xml:space="preserve">IMDRF </w:t>
      </w:r>
      <w:r w:rsidR="00A22B31">
        <w:rPr>
          <w:rFonts w:hint="eastAsia"/>
          <w:sz w:val="28"/>
          <w:lang w:eastAsia="ja-JP"/>
        </w:rPr>
        <w:t>S</w:t>
      </w:r>
      <w:r w:rsidR="00A22B31">
        <w:rPr>
          <w:sz w:val="28"/>
        </w:rPr>
        <w:t>t</w:t>
      </w:r>
      <w:r w:rsidR="0088051F">
        <w:rPr>
          <w:rFonts w:hint="eastAsia"/>
          <w:sz w:val="28"/>
          <w:lang w:eastAsia="ja-JP"/>
        </w:rPr>
        <w:t>rategic Plan 2020</w:t>
      </w:r>
      <w:r w:rsidR="00A22B31" w:rsidRPr="00A22B31">
        <w:rPr>
          <w:sz w:val="28"/>
        </w:rPr>
        <w:t xml:space="preserve"> </w:t>
      </w:r>
    </w:p>
    <w:p w14:paraId="257C99A9"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32"/>
        </w:rPr>
      </w:pPr>
    </w:p>
    <w:p w14:paraId="381FA9A8" w14:textId="77777777"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ind w:left="2880" w:hanging="2880"/>
        <w:rPr>
          <w:b/>
          <w:sz w:val="28"/>
          <w:lang w:eastAsia="ja-JP"/>
        </w:rPr>
      </w:pPr>
      <w:r>
        <w:rPr>
          <w:b/>
          <w:sz w:val="28"/>
        </w:rPr>
        <w:t xml:space="preserve">   Authoring Group: </w:t>
      </w:r>
      <w:r w:rsidR="00B42C7B">
        <w:rPr>
          <w:b/>
          <w:sz w:val="28"/>
        </w:rPr>
        <w:tab/>
      </w:r>
      <w:r w:rsidR="00A22B31">
        <w:rPr>
          <w:rFonts w:hint="eastAsia"/>
          <w:b/>
          <w:sz w:val="28"/>
          <w:lang w:eastAsia="ja-JP"/>
        </w:rPr>
        <w:tab/>
      </w:r>
      <w:r w:rsidR="00631083">
        <w:rPr>
          <w:sz w:val="28"/>
        </w:rPr>
        <w:t xml:space="preserve">IMDRF </w:t>
      </w:r>
      <w:r w:rsidR="00631083">
        <w:rPr>
          <w:rFonts w:hint="eastAsia"/>
          <w:sz w:val="28"/>
          <w:lang w:eastAsia="ja-JP"/>
        </w:rPr>
        <w:t>MC</w:t>
      </w:r>
    </w:p>
    <w:p w14:paraId="31BC73E4"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28"/>
        </w:rPr>
      </w:pPr>
    </w:p>
    <w:p w14:paraId="25B6ADD9" w14:textId="211C0251"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rPr>
          <w:sz w:val="28"/>
          <w:lang w:eastAsia="ja-JP"/>
        </w:rPr>
      </w:pPr>
      <w:r>
        <w:rPr>
          <w:b/>
          <w:sz w:val="28"/>
        </w:rPr>
        <w:t xml:space="preserve">   Date: </w:t>
      </w:r>
      <w:r w:rsidR="00B42C7B">
        <w:rPr>
          <w:b/>
          <w:sz w:val="28"/>
        </w:rPr>
        <w:tab/>
      </w:r>
      <w:r w:rsidR="00A22B31">
        <w:rPr>
          <w:rFonts w:hint="eastAsia"/>
          <w:b/>
          <w:sz w:val="28"/>
          <w:lang w:eastAsia="ja-JP"/>
        </w:rPr>
        <w:tab/>
      </w:r>
      <w:r w:rsidR="00E11BDF">
        <w:rPr>
          <w:rFonts w:hint="eastAsia"/>
          <w:sz w:val="28"/>
          <w:lang w:eastAsia="ja-JP"/>
        </w:rPr>
        <w:t>2</w:t>
      </w:r>
      <w:r w:rsidR="00631083">
        <w:rPr>
          <w:sz w:val="28"/>
        </w:rPr>
        <w:t xml:space="preserve"> </w:t>
      </w:r>
      <w:r w:rsidR="00E11BDF">
        <w:rPr>
          <w:sz w:val="28"/>
        </w:rPr>
        <w:t>October</w:t>
      </w:r>
      <w:r w:rsidR="00631083">
        <w:rPr>
          <w:sz w:val="28"/>
        </w:rPr>
        <w:t xml:space="preserve"> 201</w:t>
      </w:r>
      <w:r w:rsidR="00631083">
        <w:rPr>
          <w:rFonts w:hint="eastAsia"/>
          <w:sz w:val="28"/>
          <w:lang w:eastAsia="ja-JP"/>
        </w:rPr>
        <w:t>5</w:t>
      </w:r>
    </w:p>
    <w:p w14:paraId="6C382443"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40D414A7"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23291D51"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7B566D4F"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3DAC7B71"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1D086EC0"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678D8747" w14:textId="77777777" w:rsidR="00CD519C" w:rsidRDefault="00631083" w:rsidP="00631083">
      <w:pPr>
        <w:pBdr>
          <w:top w:val="single" w:sz="6" w:space="0" w:color="000000"/>
          <w:left w:val="single" w:sz="6" w:space="0" w:color="000000"/>
          <w:bottom w:val="single" w:sz="6" w:space="0" w:color="000000"/>
          <w:right w:val="single" w:sz="6" w:space="0" w:color="000000"/>
        </w:pBdr>
        <w:wordWrap w:val="0"/>
        <w:jc w:val="right"/>
        <w:rPr>
          <w:sz w:val="28"/>
        </w:rPr>
      </w:pPr>
      <w:proofErr w:type="spellStart"/>
      <w:r>
        <w:rPr>
          <w:rFonts w:hint="eastAsia"/>
          <w:sz w:val="28"/>
          <w:lang w:val="en-CA" w:eastAsia="ja-JP"/>
        </w:rPr>
        <w:t>Toshiyoshi</w:t>
      </w:r>
      <w:proofErr w:type="spellEnd"/>
      <w:r>
        <w:rPr>
          <w:rFonts w:hint="eastAsia"/>
          <w:sz w:val="28"/>
          <w:lang w:val="en-CA" w:eastAsia="ja-JP"/>
        </w:rPr>
        <w:t xml:space="preserve"> </w:t>
      </w:r>
      <w:proofErr w:type="spellStart"/>
      <w:r>
        <w:rPr>
          <w:rFonts w:hint="eastAsia"/>
          <w:sz w:val="28"/>
          <w:lang w:val="en-CA" w:eastAsia="ja-JP"/>
        </w:rPr>
        <w:t>Tominaga</w:t>
      </w:r>
      <w:proofErr w:type="spellEnd"/>
      <w:r w:rsidR="00CD519C">
        <w:rPr>
          <w:sz w:val="28"/>
          <w:lang w:val="en-CA"/>
        </w:rPr>
        <w:t>, IMDRF Chair</w:t>
      </w:r>
    </w:p>
    <w:p w14:paraId="3B8B8C3B" w14:textId="77777777" w:rsidR="00CD519C" w:rsidRDefault="00CD519C" w:rsidP="00CD519C">
      <w:pPr>
        <w:pBdr>
          <w:top w:val="single" w:sz="6" w:space="0" w:color="000000"/>
          <w:left w:val="single" w:sz="6" w:space="0" w:color="000000"/>
          <w:bottom w:val="single" w:sz="6" w:space="0" w:color="000000"/>
          <w:right w:val="single" w:sz="6" w:space="0" w:color="000000"/>
        </w:pBdr>
        <w:rPr>
          <w:sz w:val="28"/>
        </w:rPr>
      </w:pPr>
    </w:p>
    <w:p w14:paraId="738F7A50"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t xml:space="preserve">This document was produced by the International Medical Device Regulators Forum. </w:t>
      </w:r>
      <w:r>
        <w:rPr>
          <w:szCs w:val="24"/>
          <w:lang w:val="en-CA"/>
        </w:rPr>
        <w:br/>
      </w:r>
      <w:r>
        <w:rPr>
          <w:szCs w:val="24"/>
          <w:lang w:val="en-CA"/>
        </w:rPr>
        <w:tab/>
        <w:t xml:space="preserve">There are no restrictions on the reproduction or use of this document; however, </w:t>
      </w:r>
      <w:r>
        <w:rPr>
          <w:szCs w:val="24"/>
          <w:lang w:val="en-CA"/>
        </w:rPr>
        <w:br/>
      </w:r>
      <w:r>
        <w:rPr>
          <w:szCs w:val="24"/>
          <w:lang w:val="en-CA"/>
        </w:rPr>
        <w:tab/>
        <w:t xml:space="preserve">incorporation of this document, in part or in whole, into another document, or its </w:t>
      </w:r>
      <w:r>
        <w:rPr>
          <w:szCs w:val="24"/>
          <w:lang w:val="en-CA"/>
        </w:rPr>
        <w:br/>
      </w:r>
      <w:r>
        <w:rPr>
          <w:szCs w:val="24"/>
          <w:lang w:val="en-CA"/>
        </w:rPr>
        <w:tab/>
        <w:t xml:space="preserve">translation into languages other than English, does not convey or represent an </w:t>
      </w:r>
      <w:r>
        <w:rPr>
          <w:szCs w:val="24"/>
          <w:lang w:val="en-CA"/>
        </w:rPr>
        <w:br/>
      </w:r>
      <w:r>
        <w:rPr>
          <w:szCs w:val="24"/>
          <w:lang w:val="en-CA"/>
        </w:rPr>
        <w:tab/>
        <w:t>endorsement of any kind by the International Medical Device Regulators Forum.</w:t>
      </w:r>
    </w:p>
    <w:p w14:paraId="625448D2"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993"/>
        </w:tabs>
        <w:rPr>
          <w:szCs w:val="24"/>
          <w:lang w:val="en-CA"/>
        </w:rPr>
      </w:pPr>
    </w:p>
    <w:p w14:paraId="567A8092"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eastAsia="en-AU"/>
        </w:rPr>
      </w:pPr>
      <w:r>
        <w:rPr>
          <w:szCs w:val="24"/>
          <w:lang w:eastAsia="en-AU"/>
        </w:rPr>
        <w:tab/>
      </w:r>
      <w:proofErr w:type="gramStart"/>
      <w:r>
        <w:rPr>
          <w:szCs w:val="24"/>
          <w:lang w:eastAsia="en-AU"/>
        </w:rPr>
        <w:t xml:space="preserve">Copyright </w:t>
      </w:r>
      <w:r w:rsidR="00631083">
        <w:rPr>
          <w:szCs w:val="24"/>
          <w:lang w:eastAsia="en-AU"/>
        </w:rPr>
        <w:t>© 201</w:t>
      </w:r>
      <w:r w:rsidR="00631083">
        <w:rPr>
          <w:rFonts w:hint="eastAsia"/>
          <w:szCs w:val="24"/>
          <w:lang w:eastAsia="ja-JP"/>
        </w:rPr>
        <w:t>5</w:t>
      </w:r>
      <w:r>
        <w:rPr>
          <w:szCs w:val="24"/>
          <w:lang w:eastAsia="en-AU"/>
        </w:rPr>
        <w:t xml:space="preserve"> by the International Medical Device Regulators Forum.</w:t>
      </w:r>
      <w:proofErr w:type="gramEnd"/>
    </w:p>
    <w:p w14:paraId="34A34A8A" w14:textId="77777777" w:rsidR="005219B9" w:rsidRDefault="005219B9">
      <w:pPr>
        <w:pBdr>
          <w:top w:val="single" w:sz="6" w:space="0" w:color="000000"/>
          <w:left w:val="single" w:sz="6" w:space="0" w:color="000000"/>
          <w:bottom w:val="single" w:sz="6" w:space="0" w:color="000000"/>
          <w:right w:val="single" w:sz="6" w:space="0" w:color="000000"/>
        </w:pBdr>
        <w:rPr>
          <w:sz w:val="22"/>
        </w:rPr>
      </w:pPr>
    </w:p>
    <w:p w14:paraId="776F6061" w14:textId="77777777" w:rsidR="005219B9" w:rsidRDefault="005219B9">
      <w:pPr>
        <w:sectPr w:rsidR="005219B9">
          <w:headerReference w:type="default" r:id="rId10"/>
          <w:pgSz w:w="12240" w:h="15840" w:code="1"/>
          <w:pgMar w:top="1134" w:right="1440" w:bottom="1440" w:left="1440" w:header="720" w:footer="720" w:gutter="0"/>
          <w:cols w:space="720"/>
        </w:sectPr>
      </w:pPr>
    </w:p>
    <w:p w14:paraId="06D157B0" w14:textId="77777777" w:rsidR="0088051F" w:rsidRPr="0088051F" w:rsidRDefault="0088051F" w:rsidP="0088051F">
      <w:pPr>
        <w:pStyle w:val="ListParagraph"/>
        <w:keepNext/>
        <w:numPr>
          <w:ilvl w:val="0"/>
          <w:numId w:val="8"/>
        </w:numPr>
        <w:spacing w:line="360" w:lineRule="auto"/>
        <w:ind w:leftChars="0"/>
        <w:rPr>
          <w:b/>
          <w:bCs/>
          <w:lang w:eastAsia="ja-JP"/>
        </w:rPr>
      </w:pPr>
      <w:r w:rsidRPr="0088051F">
        <w:rPr>
          <w:b/>
          <w:bCs/>
          <w:lang w:eastAsia="ja-JP"/>
        </w:rPr>
        <w:lastRenderedPageBreak/>
        <w:t>Introduction</w:t>
      </w:r>
    </w:p>
    <w:p w14:paraId="281DA486" w14:textId="77777777" w:rsidR="0088051F" w:rsidRPr="0088051F" w:rsidRDefault="0088051F" w:rsidP="00B81007">
      <w:pPr>
        <w:keepNext/>
        <w:spacing w:line="360" w:lineRule="auto"/>
        <w:ind w:firstLineChars="100" w:firstLine="240"/>
        <w:rPr>
          <w:bCs/>
          <w:lang w:eastAsia="ja-JP"/>
        </w:rPr>
      </w:pPr>
      <w:r w:rsidRPr="0088051F">
        <w:rPr>
          <w:bCs/>
          <w:lang w:eastAsia="ja-JP"/>
        </w:rPr>
        <w:t xml:space="preserve">Three years have passed since the </w:t>
      </w:r>
      <w:r w:rsidR="00BE479B">
        <w:rPr>
          <w:rFonts w:hint="eastAsia"/>
          <w:bCs/>
          <w:lang w:eastAsia="ja-JP"/>
        </w:rPr>
        <w:t>launch</w:t>
      </w:r>
      <w:r w:rsidRPr="0088051F">
        <w:rPr>
          <w:bCs/>
          <w:lang w:eastAsia="ja-JP"/>
        </w:rPr>
        <w:t xml:space="preserve"> of IMDRF in 2012. In this early </w:t>
      </w:r>
      <w:r w:rsidR="00D93BB7">
        <w:rPr>
          <w:rFonts w:hint="eastAsia"/>
          <w:bCs/>
          <w:lang w:eastAsia="ja-JP"/>
        </w:rPr>
        <w:t>period</w:t>
      </w:r>
      <w:r w:rsidRPr="0088051F">
        <w:rPr>
          <w:bCs/>
          <w:lang w:eastAsia="ja-JP"/>
        </w:rPr>
        <w:t xml:space="preserve">, IMDRF </w:t>
      </w:r>
      <w:r w:rsidR="00D93BB7" w:rsidRPr="00D93BB7">
        <w:rPr>
          <w:bCs/>
          <w:lang w:eastAsia="ja-JP"/>
        </w:rPr>
        <w:t xml:space="preserve">developed sound foundational procedures and governance arrangements.  Also in this period IMDRF has delivered a number of significant work products some of which are a continuation of </w:t>
      </w:r>
      <w:r w:rsidRPr="0088051F">
        <w:rPr>
          <w:bCs/>
          <w:lang w:eastAsia="ja-JP"/>
        </w:rPr>
        <w:t xml:space="preserve">the </w:t>
      </w:r>
      <w:r w:rsidR="004E4E0A" w:rsidRPr="004E4E0A">
        <w:rPr>
          <w:bCs/>
          <w:lang w:eastAsia="ja-JP"/>
        </w:rPr>
        <w:t xml:space="preserve">Global Harmonization Task Force </w:t>
      </w:r>
      <w:r w:rsidR="004E4E0A">
        <w:rPr>
          <w:rFonts w:hint="eastAsia"/>
          <w:bCs/>
          <w:lang w:eastAsia="ja-JP"/>
        </w:rPr>
        <w:t>(</w:t>
      </w:r>
      <w:r w:rsidRPr="0088051F">
        <w:rPr>
          <w:bCs/>
          <w:lang w:eastAsia="ja-JP"/>
        </w:rPr>
        <w:t>GHTF</w:t>
      </w:r>
      <w:r w:rsidR="004E4E0A">
        <w:rPr>
          <w:rFonts w:hint="eastAsia"/>
          <w:bCs/>
          <w:lang w:eastAsia="ja-JP"/>
        </w:rPr>
        <w:t>)</w:t>
      </w:r>
      <w:r w:rsidRPr="0088051F">
        <w:rPr>
          <w:bCs/>
          <w:lang w:eastAsia="ja-JP"/>
        </w:rPr>
        <w:t>.</w:t>
      </w:r>
    </w:p>
    <w:p w14:paraId="143D7B41" w14:textId="77777777" w:rsidR="0088051F" w:rsidRPr="0088051F" w:rsidRDefault="0088051F" w:rsidP="00B81007">
      <w:pPr>
        <w:keepNext/>
        <w:spacing w:line="360" w:lineRule="auto"/>
        <w:ind w:firstLineChars="100" w:firstLine="240"/>
        <w:rPr>
          <w:bCs/>
          <w:lang w:eastAsia="ja-JP"/>
        </w:rPr>
      </w:pPr>
      <w:r w:rsidRPr="0088051F">
        <w:rPr>
          <w:bCs/>
          <w:lang w:eastAsia="ja-JP"/>
        </w:rPr>
        <w:t xml:space="preserve">IMDRF has </w:t>
      </w:r>
      <w:r w:rsidR="00BE479B">
        <w:rPr>
          <w:rFonts w:hint="eastAsia"/>
          <w:bCs/>
          <w:lang w:eastAsia="ja-JP"/>
        </w:rPr>
        <w:t xml:space="preserve">now </w:t>
      </w:r>
      <w:r w:rsidRPr="0088051F">
        <w:rPr>
          <w:bCs/>
          <w:lang w:eastAsia="ja-JP"/>
        </w:rPr>
        <w:t xml:space="preserve">reached a juncture where it should define its strategic direction for the coming years to better coordinate its activities and allocate its </w:t>
      </w:r>
      <w:r w:rsidR="00B81007">
        <w:rPr>
          <w:bCs/>
          <w:lang w:eastAsia="ja-JP"/>
        </w:rPr>
        <w:t xml:space="preserve">limited </w:t>
      </w:r>
      <w:r w:rsidRPr="0088051F">
        <w:rPr>
          <w:bCs/>
          <w:lang w:eastAsia="ja-JP"/>
        </w:rPr>
        <w:t xml:space="preserve">resources. The IMDRF Strategic Plan 2020 </w:t>
      </w:r>
      <w:r w:rsidR="00EF2898">
        <w:rPr>
          <w:bCs/>
          <w:lang w:eastAsia="ja-JP"/>
        </w:rPr>
        <w:t xml:space="preserve">sets out </w:t>
      </w:r>
      <w:r w:rsidR="00B81007">
        <w:rPr>
          <w:bCs/>
          <w:lang w:eastAsia="ja-JP"/>
        </w:rPr>
        <w:t xml:space="preserve">the </w:t>
      </w:r>
      <w:r w:rsidR="00712275">
        <w:rPr>
          <w:bCs/>
          <w:lang w:eastAsia="ja-JP"/>
        </w:rPr>
        <w:t>strategic priorit</w:t>
      </w:r>
      <w:r w:rsidR="00B81007">
        <w:rPr>
          <w:bCs/>
          <w:lang w:eastAsia="ja-JP"/>
        </w:rPr>
        <w:t>i</w:t>
      </w:r>
      <w:r w:rsidR="00712275">
        <w:rPr>
          <w:bCs/>
          <w:lang w:eastAsia="ja-JP"/>
        </w:rPr>
        <w:t>es</w:t>
      </w:r>
      <w:r w:rsidR="00EF2898">
        <w:rPr>
          <w:bCs/>
          <w:lang w:eastAsia="ja-JP"/>
        </w:rPr>
        <w:t xml:space="preserve"> of the forum f</w:t>
      </w:r>
      <w:r w:rsidR="00B81007">
        <w:rPr>
          <w:bCs/>
          <w:lang w:eastAsia="ja-JP"/>
        </w:rPr>
        <w:t>rom</w:t>
      </w:r>
      <w:r w:rsidR="00EF2898">
        <w:rPr>
          <w:bCs/>
          <w:lang w:eastAsia="ja-JP"/>
        </w:rPr>
        <w:t xml:space="preserve"> 2016</w:t>
      </w:r>
      <w:r w:rsidR="00B81007">
        <w:rPr>
          <w:bCs/>
          <w:lang w:eastAsia="ja-JP"/>
        </w:rPr>
        <w:t xml:space="preserve"> to </w:t>
      </w:r>
      <w:r w:rsidR="00EF2898">
        <w:rPr>
          <w:bCs/>
          <w:lang w:eastAsia="ja-JP"/>
        </w:rPr>
        <w:t>2020</w:t>
      </w:r>
      <w:r w:rsidR="00674A00">
        <w:rPr>
          <w:bCs/>
          <w:lang w:eastAsia="ja-JP"/>
        </w:rPr>
        <w:t xml:space="preserve">. </w:t>
      </w:r>
      <w:r w:rsidRPr="0088051F">
        <w:rPr>
          <w:bCs/>
          <w:lang w:eastAsia="ja-JP"/>
        </w:rPr>
        <w:t xml:space="preserve"> </w:t>
      </w:r>
    </w:p>
    <w:p w14:paraId="15AE2689" w14:textId="77777777" w:rsidR="006C5AC0" w:rsidRPr="0088051F" w:rsidRDefault="006C5AC0" w:rsidP="0088051F">
      <w:pPr>
        <w:keepNext/>
        <w:spacing w:line="360" w:lineRule="auto"/>
        <w:rPr>
          <w:b/>
          <w:bCs/>
          <w:lang w:eastAsia="ja-JP"/>
        </w:rPr>
      </w:pPr>
    </w:p>
    <w:p w14:paraId="550918E8" w14:textId="77777777" w:rsidR="0088051F" w:rsidRPr="0088051F" w:rsidRDefault="0088051F" w:rsidP="0088051F">
      <w:pPr>
        <w:pStyle w:val="ListParagraph"/>
        <w:keepNext/>
        <w:numPr>
          <w:ilvl w:val="0"/>
          <w:numId w:val="8"/>
        </w:numPr>
        <w:spacing w:line="360" w:lineRule="auto"/>
        <w:ind w:leftChars="0"/>
        <w:rPr>
          <w:b/>
          <w:bCs/>
          <w:lang w:eastAsia="ja-JP"/>
        </w:rPr>
      </w:pPr>
      <w:r>
        <w:rPr>
          <w:rFonts w:hint="eastAsia"/>
          <w:b/>
          <w:bCs/>
          <w:lang w:eastAsia="ja-JP"/>
        </w:rPr>
        <w:t xml:space="preserve">IMDRF </w:t>
      </w:r>
      <w:r w:rsidRPr="0088051F">
        <w:rPr>
          <w:b/>
          <w:bCs/>
          <w:lang w:eastAsia="ja-JP"/>
        </w:rPr>
        <w:t>Strategic Plan 2020</w:t>
      </w:r>
    </w:p>
    <w:p w14:paraId="590D4C87" w14:textId="77777777" w:rsidR="0088051F" w:rsidRPr="0088051F" w:rsidRDefault="00843AF8" w:rsidP="0088051F">
      <w:pPr>
        <w:pStyle w:val="ListParagraph"/>
        <w:keepNext/>
        <w:numPr>
          <w:ilvl w:val="0"/>
          <w:numId w:val="7"/>
        </w:numPr>
        <w:spacing w:line="360" w:lineRule="auto"/>
        <w:ind w:leftChars="0"/>
        <w:rPr>
          <w:b/>
          <w:bCs/>
          <w:lang w:eastAsia="ja-JP"/>
        </w:rPr>
      </w:pPr>
      <w:r>
        <w:rPr>
          <w:rFonts w:hint="eastAsia"/>
          <w:b/>
          <w:bCs/>
          <w:lang w:eastAsia="ja-JP"/>
        </w:rPr>
        <w:t>M</w:t>
      </w:r>
      <w:r w:rsidR="0088051F" w:rsidRPr="0088051F">
        <w:rPr>
          <w:b/>
          <w:bCs/>
          <w:lang w:eastAsia="ja-JP"/>
        </w:rPr>
        <w:t>ission of IMDRF</w:t>
      </w:r>
    </w:p>
    <w:p w14:paraId="6E3DC57C" w14:textId="7F842070" w:rsidR="0088051F" w:rsidRPr="0088051F" w:rsidRDefault="0088051F" w:rsidP="00EF2898">
      <w:pPr>
        <w:keepNext/>
        <w:spacing w:line="360" w:lineRule="auto"/>
        <w:ind w:firstLineChars="100" w:firstLine="240"/>
        <w:jc w:val="both"/>
        <w:rPr>
          <w:bCs/>
          <w:lang w:eastAsia="ja-JP"/>
        </w:rPr>
      </w:pPr>
      <w:r w:rsidRPr="0088051F">
        <w:rPr>
          <w:bCs/>
          <w:lang w:eastAsia="ja-JP"/>
        </w:rPr>
        <w:t xml:space="preserve">The </w:t>
      </w:r>
      <w:r w:rsidR="00B80989">
        <w:rPr>
          <w:rFonts w:hint="eastAsia"/>
          <w:bCs/>
          <w:lang w:eastAsia="ja-JP"/>
        </w:rPr>
        <w:t xml:space="preserve">IMDRF </w:t>
      </w:r>
      <w:r w:rsidRPr="0088051F">
        <w:rPr>
          <w:bCs/>
          <w:lang w:eastAsia="ja-JP"/>
        </w:rPr>
        <w:t>Strategic Plan 2020 aligns with the following mission defined in IMDRF Terms of Reference (IMDRF/MC/N1FINAL:</w:t>
      </w:r>
      <w:r w:rsidR="00043568">
        <w:rPr>
          <w:bCs/>
          <w:lang w:eastAsia="ja-JP"/>
        </w:rPr>
        <w:t xml:space="preserve"> </w:t>
      </w:r>
      <w:r w:rsidRPr="0088051F">
        <w:rPr>
          <w:bCs/>
          <w:lang w:eastAsia="ja-JP"/>
        </w:rPr>
        <w:t>2014) (</w:t>
      </w:r>
      <w:proofErr w:type="spellStart"/>
      <w:r w:rsidRPr="0088051F">
        <w:rPr>
          <w:bCs/>
          <w:lang w:eastAsia="ja-JP"/>
        </w:rPr>
        <w:t>ToR</w:t>
      </w:r>
      <w:proofErr w:type="spellEnd"/>
      <w:r w:rsidRPr="0088051F">
        <w:rPr>
          <w:bCs/>
          <w:lang w:eastAsia="ja-JP"/>
        </w:rPr>
        <w:t>);</w:t>
      </w:r>
    </w:p>
    <w:p w14:paraId="52CE1C35" w14:textId="77777777" w:rsidR="0088051F" w:rsidRPr="0088051F" w:rsidRDefault="0088051F" w:rsidP="00B81007">
      <w:pPr>
        <w:keepNext/>
        <w:spacing w:line="360" w:lineRule="auto"/>
        <w:rPr>
          <w:bCs/>
          <w:lang w:eastAsia="ja-JP"/>
        </w:rPr>
      </w:pPr>
      <w:r w:rsidRPr="0088051F">
        <w:rPr>
          <w:rFonts w:hint="eastAsia"/>
          <w:bCs/>
          <w:lang w:eastAsia="ja-JP"/>
        </w:rPr>
        <w:t>“</w:t>
      </w:r>
      <w:r w:rsidRPr="0088051F">
        <w:rPr>
          <w:bCs/>
          <w:lang w:eastAsia="ja-JP"/>
        </w:rPr>
        <w:t>The mission of the IMDRF is to strategically accelerate international medical device regulatory convergence to promote an efficient and effective regulatory model for medical devices that is responsive to emerging challenges in the sector while protecting and maximizing public health and safety.”</w:t>
      </w:r>
    </w:p>
    <w:p w14:paraId="481D0854" w14:textId="77777777" w:rsidR="0088051F" w:rsidRPr="0088051F" w:rsidRDefault="0088051F" w:rsidP="00B81007">
      <w:pPr>
        <w:keepNext/>
        <w:spacing w:line="360" w:lineRule="auto"/>
        <w:ind w:firstLineChars="100" w:firstLine="240"/>
        <w:rPr>
          <w:bCs/>
          <w:lang w:eastAsia="ja-JP"/>
        </w:rPr>
      </w:pPr>
      <w:r w:rsidRPr="0088051F">
        <w:rPr>
          <w:bCs/>
          <w:lang w:eastAsia="ja-JP"/>
        </w:rPr>
        <w:t xml:space="preserve">Under “D. Scope of Activities,” the </w:t>
      </w:r>
      <w:proofErr w:type="spellStart"/>
      <w:r w:rsidRPr="0088051F">
        <w:rPr>
          <w:bCs/>
          <w:lang w:eastAsia="ja-JP"/>
        </w:rPr>
        <w:t>ToR</w:t>
      </w:r>
      <w:proofErr w:type="spellEnd"/>
      <w:r w:rsidRPr="0088051F">
        <w:rPr>
          <w:bCs/>
          <w:lang w:eastAsia="ja-JP"/>
        </w:rPr>
        <w:t xml:space="preserve"> stipulates that “IMDRF will pursue its goals by defining, implementing and evaluating strategic priorities so that objectives are met in an efficient and effective manner.” The </w:t>
      </w:r>
      <w:r w:rsidR="00B80989">
        <w:rPr>
          <w:rFonts w:hint="eastAsia"/>
          <w:bCs/>
          <w:lang w:eastAsia="ja-JP"/>
        </w:rPr>
        <w:t xml:space="preserve">IMDRF </w:t>
      </w:r>
      <w:r w:rsidRPr="0088051F">
        <w:rPr>
          <w:bCs/>
          <w:lang w:eastAsia="ja-JP"/>
        </w:rPr>
        <w:t xml:space="preserve">Strategic Plan 2020 is a part of this activity and </w:t>
      </w:r>
      <w:r w:rsidRPr="00F22D27">
        <w:rPr>
          <w:bCs/>
          <w:lang w:eastAsia="ja-JP"/>
        </w:rPr>
        <w:t>help</w:t>
      </w:r>
      <w:r w:rsidR="00B80989" w:rsidRPr="00F22D27">
        <w:rPr>
          <w:rFonts w:hint="eastAsia"/>
          <w:bCs/>
          <w:lang w:eastAsia="ja-JP"/>
        </w:rPr>
        <w:t>s</w:t>
      </w:r>
      <w:r w:rsidRPr="00F22D27">
        <w:rPr>
          <w:bCs/>
          <w:lang w:eastAsia="ja-JP"/>
        </w:rPr>
        <w:t xml:space="preserve"> develop</w:t>
      </w:r>
      <w:r w:rsidR="00BE479B" w:rsidRPr="00F22D27">
        <w:rPr>
          <w:rFonts w:hint="eastAsia"/>
          <w:bCs/>
          <w:lang w:eastAsia="ja-JP"/>
        </w:rPr>
        <w:t>ing</w:t>
      </w:r>
      <w:r w:rsidRPr="00F22D27">
        <w:rPr>
          <w:bCs/>
          <w:lang w:eastAsia="ja-JP"/>
        </w:rPr>
        <w:t xml:space="preserve"> prioritized work plan</w:t>
      </w:r>
      <w:r w:rsidR="00BE479B" w:rsidRPr="00F22D27">
        <w:rPr>
          <w:rFonts w:hint="eastAsia"/>
          <w:bCs/>
          <w:lang w:eastAsia="ja-JP"/>
        </w:rPr>
        <w:t>s</w:t>
      </w:r>
      <w:r w:rsidRPr="00F22D27">
        <w:rPr>
          <w:bCs/>
          <w:lang w:eastAsia="ja-JP"/>
        </w:rPr>
        <w:t xml:space="preserve"> of activities</w:t>
      </w:r>
      <w:r w:rsidRPr="0088051F">
        <w:rPr>
          <w:bCs/>
          <w:lang w:eastAsia="ja-JP"/>
        </w:rPr>
        <w:t xml:space="preserve"> from 2016 to 2020. </w:t>
      </w:r>
    </w:p>
    <w:p w14:paraId="1CD547A6" w14:textId="77777777" w:rsidR="0088051F" w:rsidRPr="0088051F" w:rsidRDefault="0088051F" w:rsidP="0088051F">
      <w:pPr>
        <w:keepNext/>
        <w:spacing w:line="360" w:lineRule="auto"/>
        <w:rPr>
          <w:b/>
          <w:bCs/>
          <w:lang w:eastAsia="ja-JP"/>
        </w:rPr>
      </w:pPr>
    </w:p>
    <w:p w14:paraId="3D2A6992" w14:textId="77777777" w:rsidR="00D81096" w:rsidRPr="00645F91" w:rsidRDefault="00712275" w:rsidP="00645F91">
      <w:pPr>
        <w:pStyle w:val="ListParagraph"/>
        <w:keepNext/>
        <w:numPr>
          <w:ilvl w:val="0"/>
          <w:numId w:val="7"/>
        </w:numPr>
        <w:spacing w:line="360" w:lineRule="auto"/>
        <w:ind w:leftChars="0"/>
        <w:rPr>
          <w:b/>
          <w:bCs/>
          <w:lang w:eastAsia="ja-JP"/>
        </w:rPr>
      </w:pPr>
      <w:r>
        <w:rPr>
          <w:b/>
          <w:bCs/>
          <w:lang w:eastAsia="ja-JP"/>
        </w:rPr>
        <w:t>Strategic Priorit</w:t>
      </w:r>
      <w:r w:rsidR="002B0925">
        <w:rPr>
          <w:b/>
          <w:bCs/>
          <w:lang w:eastAsia="ja-JP"/>
        </w:rPr>
        <w:t>i</w:t>
      </w:r>
      <w:r>
        <w:rPr>
          <w:b/>
          <w:bCs/>
          <w:lang w:eastAsia="ja-JP"/>
        </w:rPr>
        <w:t>es</w:t>
      </w:r>
    </w:p>
    <w:p w14:paraId="1F20DDB5" w14:textId="6120A4F3" w:rsidR="00645F91" w:rsidRDefault="002B0925" w:rsidP="00F22D27">
      <w:pPr>
        <w:keepNext/>
        <w:spacing w:line="360" w:lineRule="auto"/>
        <w:ind w:firstLine="180"/>
        <w:rPr>
          <w:bCs/>
          <w:lang w:eastAsia="ja-JP"/>
        </w:rPr>
      </w:pPr>
      <w:r>
        <w:rPr>
          <w:bCs/>
          <w:lang w:eastAsia="ja-JP"/>
        </w:rPr>
        <w:t>T</w:t>
      </w:r>
      <w:r w:rsidR="00645F91" w:rsidRPr="00D81096">
        <w:rPr>
          <w:bCs/>
          <w:lang w:eastAsia="ja-JP"/>
        </w:rPr>
        <w:t xml:space="preserve">he IMDRF </w:t>
      </w:r>
      <w:proofErr w:type="spellStart"/>
      <w:r w:rsidR="00645F91" w:rsidRPr="00D81096">
        <w:rPr>
          <w:bCs/>
          <w:lang w:eastAsia="ja-JP"/>
        </w:rPr>
        <w:t>ToR</w:t>
      </w:r>
      <w:proofErr w:type="spellEnd"/>
      <w:r w:rsidR="00645F91" w:rsidRPr="00D81096">
        <w:rPr>
          <w:bCs/>
          <w:lang w:eastAsia="ja-JP"/>
        </w:rPr>
        <w:t xml:space="preserve"> lists eight objectives to achieve our mission.  While all objectives r</w:t>
      </w:r>
      <w:r w:rsidR="00645F91">
        <w:rPr>
          <w:bCs/>
          <w:lang w:eastAsia="ja-JP"/>
        </w:rPr>
        <w:t xml:space="preserve">emain important, </w:t>
      </w:r>
      <w:r>
        <w:rPr>
          <w:bCs/>
          <w:lang w:eastAsia="ja-JP"/>
        </w:rPr>
        <w:t>the Management Committee (MC)</w:t>
      </w:r>
      <w:r w:rsidR="00645F91">
        <w:rPr>
          <w:bCs/>
          <w:lang w:eastAsia="ja-JP"/>
        </w:rPr>
        <w:t xml:space="preserve"> </w:t>
      </w:r>
      <w:r>
        <w:rPr>
          <w:bCs/>
          <w:lang w:eastAsia="ja-JP"/>
        </w:rPr>
        <w:t>intends</w:t>
      </w:r>
      <w:r w:rsidR="00645F91">
        <w:rPr>
          <w:bCs/>
          <w:lang w:eastAsia="ja-JP"/>
        </w:rPr>
        <w:t xml:space="preserve"> to </w:t>
      </w:r>
      <w:r w:rsidR="00645F91" w:rsidRPr="00D81096">
        <w:rPr>
          <w:bCs/>
          <w:lang w:eastAsia="ja-JP"/>
        </w:rPr>
        <w:t>put particular focus on the objective, “Support innovation and timely access to saf</w:t>
      </w:r>
      <w:r w:rsidR="00645F91">
        <w:rPr>
          <w:bCs/>
          <w:lang w:eastAsia="ja-JP"/>
        </w:rPr>
        <w:t>e and effective medical devices</w:t>
      </w:r>
      <w:r w:rsidR="00645F91" w:rsidRPr="00D81096">
        <w:rPr>
          <w:bCs/>
          <w:lang w:eastAsia="ja-JP"/>
        </w:rPr>
        <w:t>”</w:t>
      </w:r>
      <w:r>
        <w:rPr>
          <w:bCs/>
          <w:lang w:eastAsia="ja-JP"/>
        </w:rPr>
        <w:t xml:space="preserve"> from 2016 to 2020</w:t>
      </w:r>
      <w:r w:rsidR="00645F91">
        <w:rPr>
          <w:bCs/>
          <w:lang w:eastAsia="ja-JP"/>
        </w:rPr>
        <w:t>.</w:t>
      </w:r>
      <w:r w:rsidR="00645F91" w:rsidRPr="00D81096">
        <w:rPr>
          <w:bCs/>
          <w:lang w:eastAsia="ja-JP"/>
        </w:rPr>
        <w:t xml:space="preserve"> The focus is in areas where the lack of common regulatory requirements and practice may delay the </w:t>
      </w:r>
      <w:r w:rsidR="0045286D" w:rsidRPr="00D81096">
        <w:rPr>
          <w:bCs/>
          <w:lang w:eastAsia="ja-JP"/>
        </w:rPr>
        <w:t>deliver</w:t>
      </w:r>
      <w:r w:rsidR="0045286D">
        <w:rPr>
          <w:bCs/>
          <w:lang w:eastAsia="ja-JP"/>
        </w:rPr>
        <w:t>y</w:t>
      </w:r>
      <w:r w:rsidR="0045286D" w:rsidRPr="00D81096">
        <w:rPr>
          <w:bCs/>
          <w:lang w:eastAsia="ja-JP"/>
        </w:rPr>
        <w:t xml:space="preserve"> </w:t>
      </w:r>
      <w:r w:rsidR="00645F91" w:rsidRPr="00D81096">
        <w:rPr>
          <w:bCs/>
          <w:lang w:eastAsia="ja-JP"/>
        </w:rPr>
        <w:t xml:space="preserve">of medical devices </w:t>
      </w:r>
      <w:r>
        <w:rPr>
          <w:bCs/>
          <w:lang w:eastAsia="ja-JP"/>
        </w:rPr>
        <w:t xml:space="preserve">of public health importance </w:t>
      </w:r>
      <w:r w:rsidR="00645F91" w:rsidRPr="00D81096">
        <w:rPr>
          <w:bCs/>
          <w:lang w:eastAsia="ja-JP"/>
        </w:rPr>
        <w:t xml:space="preserve">already available </w:t>
      </w:r>
      <w:r w:rsidR="0045286D">
        <w:rPr>
          <w:bCs/>
          <w:lang w:eastAsia="ja-JP"/>
        </w:rPr>
        <w:t xml:space="preserve">in </w:t>
      </w:r>
      <w:r w:rsidR="00645F91" w:rsidRPr="00D81096">
        <w:rPr>
          <w:bCs/>
          <w:lang w:eastAsia="ja-JP"/>
        </w:rPr>
        <w:t>one jurisdiction to the patients in other jurisdictions.</w:t>
      </w:r>
      <w:r w:rsidR="00645F91">
        <w:rPr>
          <w:bCs/>
          <w:lang w:eastAsia="ja-JP"/>
        </w:rPr>
        <w:t xml:space="preserve"> </w:t>
      </w:r>
      <w:r w:rsidR="00FA2398">
        <w:rPr>
          <w:bCs/>
          <w:lang w:eastAsia="ja-JP"/>
        </w:rPr>
        <w:t>The IMDRF strategic plan</w:t>
      </w:r>
      <w:r w:rsidR="00645F91">
        <w:rPr>
          <w:bCs/>
          <w:lang w:eastAsia="ja-JP"/>
        </w:rPr>
        <w:t xml:space="preserve"> is expected to </w:t>
      </w:r>
      <w:r w:rsidR="00645F91">
        <w:rPr>
          <w:rFonts w:hint="eastAsia"/>
          <w:bCs/>
          <w:lang w:eastAsia="ja-JP"/>
        </w:rPr>
        <w:t xml:space="preserve">promote </w:t>
      </w:r>
      <w:r w:rsidR="0045286D">
        <w:rPr>
          <w:bCs/>
          <w:lang w:eastAsia="ja-JP"/>
        </w:rPr>
        <w:t xml:space="preserve">further </w:t>
      </w:r>
      <w:r w:rsidR="00645F91">
        <w:rPr>
          <w:bCs/>
          <w:lang w:eastAsia="ja-JP"/>
        </w:rPr>
        <w:t xml:space="preserve">regulatory convergence among IMDRF </w:t>
      </w:r>
      <w:r>
        <w:rPr>
          <w:bCs/>
          <w:lang w:eastAsia="ja-JP"/>
        </w:rPr>
        <w:t>members</w:t>
      </w:r>
      <w:r w:rsidR="00645F91">
        <w:rPr>
          <w:bCs/>
          <w:lang w:eastAsia="ja-JP"/>
        </w:rPr>
        <w:t xml:space="preserve"> </w:t>
      </w:r>
      <w:r w:rsidR="00EB3375">
        <w:rPr>
          <w:bCs/>
          <w:lang w:eastAsia="ja-JP"/>
        </w:rPr>
        <w:t>resulting in benefits for patients, healthcare professionals and industry</w:t>
      </w:r>
      <w:r w:rsidR="00645F91">
        <w:rPr>
          <w:bCs/>
          <w:lang w:eastAsia="ja-JP"/>
        </w:rPr>
        <w:t xml:space="preserve"> stakeholders</w:t>
      </w:r>
      <w:r w:rsidR="00D8054A">
        <w:rPr>
          <w:bCs/>
          <w:lang w:eastAsia="ja-JP"/>
        </w:rPr>
        <w:t>.</w:t>
      </w:r>
      <w:r w:rsidR="00645F91">
        <w:rPr>
          <w:bCs/>
          <w:lang w:eastAsia="ja-JP"/>
        </w:rPr>
        <w:t xml:space="preserve"> </w:t>
      </w:r>
      <w:r w:rsidR="0003534A">
        <w:rPr>
          <w:bCs/>
          <w:lang w:eastAsia="ja-JP"/>
        </w:rPr>
        <w:t xml:space="preserve">To assure that this objective is met in an efficient and </w:t>
      </w:r>
      <w:r w:rsidR="0003534A">
        <w:rPr>
          <w:bCs/>
          <w:lang w:eastAsia="ja-JP"/>
        </w:rPr>
        <w:lastRenderedPageBreak/>
        <w:t>effective manner, the MC has identified the following strategic priorities for which it will develop N</w:t>
      </w:r>
      <w:r w:rsidR="007C2FD4">
        <w:rPr>
          <w:bCs/>
          <w:lang w:eastAsia="ja-JP"/>
        </w:rPr>
        <w:t>ew Work Items</w:t>
      </w:r>
      <w:r w:rsidR="0003534A">
        <w:rPr>
          <w:bCs/>
          <w:lang w:eastAsia="ja-JP"/>
        </w:rPr>
        <w:t xml:space="preserve"> and work plans:</w:t>
      </w:r>
    </w:p>
    <w:p w14:paraId="4AE63029" w14:textId="77777777" w:rsidR="0003534A" w:rsidRDefault="0003534A" w:rsidP="00F22D27">
      <w:pPr>
        <w:keepNext/>
        <w:spacing w:line="360" w:lineRule="auto"/>
        <w:jc w:val="both"/>
        <w:rPr>
          <w:bCs/>
          <w:lang w:eastAsia="ja-JP"/>
        </w:rPr>
      </w:pPr>
    </w:p>
    <w:p w14:paraId="7BD272B4" w14:textId="77777777" w:rsidR="0003534A" w:rsidRPr="0003534A" w:rsidRDefault="0003534A" w:rsidP="00F22D27">
      <w:pPr>
        <w:pStyle w:val="ListParagraph"/>
        <w:keepNext/>
        <w:numPr>
          <w:ilvl w:val="0"/>
          <w:numId w:val="47"/>
        </w:numPr>
        <w:spacing w:line="360" w:lineRule="auto"/>
        <w:ind w:leftChars="0"/>
        <w:jc w:val="both"/>
        <w:rPr>
          <w:bCs/>
          <w:lang w:eastAsia="ja-JP"/>
        </w:rPr>
      </w:pPr>
      <w:r w:rsidRPr="0003534A">
        <w:rPr>
          <w:bCs/>
          <w:lang w:eastAsia="ja-JP"/>
        </w:rPr>
        <w:t>Enhance Post-Market Surveillance; and</w:t>
      </w:r>
    </w:p>
    <w:p w14:paraId="53874D1D" w14:textId="77777777" w:rsidR="0003534A" w:rsidRPr="0003534A" w:rsidRDefault="00AE2020" w:rsidP="00F22D27">
      <w:pPr>
        <w:pStyle w:val="ListParagraph"/>
        <w:keepNext/>
        <w:numPr>
          <w:ilvl w:val="0"/>
          <w:numId w:val="47"/>
        </w:numPr>
        <w:spacing w:line="360" w:lineRule="auto"/>
        <w:ind w:leftChars="0"/>
        <w:jc w:val="both"/>
        <w:rPr>
          <w:bCs/>
          <w:lang w:eastAsia="ja-JP"/>
        </w:rPr>
      </w:pPr>
      <w:r>
        <w:rPr>
          <w:bCs/>
          <w:lang w:eastAsia="ja-JP"/>
        </w:rPr>
        <w:t xml:space="preserve">Improve the Effectiveness and Efficiency of </w:t>
      </w:r>
      <w:r w:rsidR="0003534A">
        <w:rPr>
          <w:bCs/>
          <w:lang w:eastAsia="ja-JP"/>
        </w:rPr>
        <w:t>Pre-Market Review.</w:t>
      </w:r>
    </w:p>
    <w:p w14:paraId="08A636C4" w14:textId="77777777" w:rsidR="002B0925" w:rsidRDefault="002B0925" w:rsidP="00F22D27">
      <w:pPr>
        <w:keepNext/>
        <w:spacing w:line="360" w:lineRule="auto"/>
        <w:jc w:val="both"/>
        <w:rPr>
          <w:bCs/>
          <w:lang w:eastAsia="ja-JP"/>
        </w:rPr>
      </w:pPr>
    </w:p>
    <w:p w14:paraId="6B8FBFE3" w14:textId="076FBE49" w:rsidR="007C2FD4" w:rsidRPr="007C2FD4" w:rsidRDefault="007C2FD4" w:rsidP="00EC2A63">
      <w:pPr>
        <w:keepNext/>
        <w:spacing w:line="360" w:lineRule="auto"/>
        <w:ind w:firstLine="360"/>
        <w:rPr>
          <w:bCs/>
          <w:lang w:eastAsia="ja-JP"/>
        </w:rPr>
      </w:pPr>
      <w:r w:rsidRPr="00F22D27">
        <w:rPr>
          <w:bCs/>
          <w:lang w:eastAsia="ja-JP"/>
        </w:rPr>
        <w:t>In pursuing these strategic priorities, IMDRF would seek to assure an appropriate balance between pre-market and post-market requirements as part of a total product lifecycle regulatory approach to medical devices</w:t>
      </w:r>
      <w:r w:rsidRPr="007C2FD4">
        <w:rPr>
          <w:bCs/>
          <w:lang w:eastAsia="ja-JP"/>
        </w:rPr>
        <w:t>.</w:t>
      </w:r>
      <w:r w:rsidR="009920E2" w:rsidRPr="007C2FD4">
        <w:rPr>
          <w:bCs/>
          <w:lang w:eastAsia="ja-JP"/>
        </w:rPr>
        <w:t xml:space="preserve"> </w:t>
      </w:r>
      <w:r w:rsidR="00024052">
        <w:rPr>
          <w:bCs/>
          <w:lang w:eastAsia="ja-JP"/>
        </w:rPr>
        <w:t xml:space="preserve">Striking the right balance between pre-market and post-market requirements, such as </w:t>
      </w:r>
      <w:r w:rsidR="002753BB">
        <w:rPr>
          <w:bCs/>
          <w:lang w:eastAsia="ja-JP"/>
        </w:rPr>
        <w:t xml:space="preserve">pre-market and post-market </w:t>
      </w:r>
      <w:r w:rsidR="00024052">
        <w:rPr>
          <w:bCs/>
          <w:lang w:eastAsia="ja-JP"/>
        </w:rPr>
        <w:t xml:space="preserve">data </w:t>
      </w:r>
      <w:proofErr w:type="gramStart"/>
      <w:r w:rsidR="00024052">
        <w:rPr>
          <w:bCs/>
          <w:lang w:eastAsia="ja-JP"/>
        </w:rPr>
        <w:t>collection,</w:t>
      </w:r>
      <w:proofErr w:type="gramEnd"/>
      <w:r w:rsidR="00024052">
        <w:rPr>
          <w:bCs/>
          <w:lang w:eastAsia="ja-JP"/>
        </w:rPr>
        <w:t xml:space="preserve"> can facilitate timely patient access to safe and effective devices</w:t>
      </w:r>
      <w:r w:rsidR="002753BB">
        <w:rPr>
          <w:bCs/>
          <w:lang w:eastAsia="ja-JP"/>
        </w:rPr>
        <w:t xml:space="preserve"> by minimizing pre-market requirements to the extent appropriate while assuring that patients receive safe and effective devices</w:t>
      </w:r>
      <w:r w:rsidR="00024052">
        <w:rPr>
          <w:bCs/>
          <w:lang w:eastAsia="ja-JP"/>
        </w:rPr>
        <w:t>.</w:t>
      </w:r>
      <w:r w:rsidR="009920E2" w:rsidRPr="009920E2">
        <w:rPr>
          <w:bCs/>
          <w:lang w:eastAsia="ja-JP"/>
        </w:rPr>
        <w:t xml:space="preserve"> </w:t>
      </w:r>
      <w:r w:rsidR="009920E2" w:rsidRPr="007C2FD4">
        <w:rPr>
          <w:bCs/>
          <w:lang w:eastAsia="ja-JP"/>
        </w:rPr>
        <w:t xml:space="preserve">This approach is reflected in IMDRF's work item </w:t>
      </w:r>
      <w:r w:rsidR="009920E2">
        <w:rPr>
          <w:bCs/>
          <w:lang w:eastAsia="ja-JP"/>
        </w:rPr>
        <w:t>on Software as a Medical Device for which the framework under development would foster the optimal use of applicable post-market controls to narrowly tailor premarket requirements, as appropriate.</w:t>
      </w:r>
      <w:r w:rsidR="00DB5B29" w:rsidRPr="00DB5B29">
        <w:rPr>
          <w:bCs/>
          <w:lang w:eastAsia="ja-JP"/>
        </w:rPr>
        <w:t xml:space="preserve"> </w:t>
      </w:r>
      <w:r w:rsidR="00DB5B29">
        <w:rPr>
          <w:bCs/>
          <w:lang w:eastAsia="ja-JP"/>
        </w:rPr>
        <w:t>IMDRF continues supporting the current work items.</w:t>
      </w:r>
    </w:p>
    <w:p w14:paraId="04C15AA2" w14:textId="77777777" w:rsidR="007C2FD4" w:rsidRDefault="007C2FD4" w:rsidP="00F22D27">
      <w:pPr>
        <w:keepNext/>
        <w:spacing w:line="360" w:lineRule="auto"/>
        <w:rPr>
          <w:bCs/>
          <w:lang w:eastAsia="ja-JP"/>
        </w:rPr>
      </w:pPr>
    </w:p>
    <w:p w14:paraId="7A7A50A0" w14:textId="7FCBB064" w:rsidR="00291B46" w:rsidRPr="00291B46" w:rsidRDefault="00291B46" w:rsidP="000F5023">
      <w:pPr>
        <w:keepNext/>
        <w:spacing w:line="360" w:lineRule="auto"/>
        <w:ind w:firstLineChars="100" w:firstLine="240"/>
        <w:rPr>
          <w:bCs/>
          <w:lang w:eastAsia="ja-JP"/>
        </w:rPr>
      </w:pPr>
      <w:r w:rsidRPr="007C5769">
        <w:rPr>
          <w:bCs/>
          <w:lang w:eastAsia="ja-JP"/>
        </w:rPr>
        <w:t>The M</w:t>
      </w:r>
      <w:r>
        <w:rPr>
          <w:bCs/>
          <w:lang w:eastAsia="ja-JP"/>
        </w:rPr>
        <w:t xml:space="preserve">C encourages all the stakeholders to recommend NWIs or to submit New Work Item Proposals </w:t>
      </w:r>
      <w:r w:rsidRPr="007C5769">
        <w:rPr>
          <w:bCs/>
          <w:lang w:eastAsia="ja-JP"/>
        </w:rPr>
        <w:t xml:space="preserve">that are critical for </w:t>
      </w:r>
      <w:r>
        <w:rPr>
          <w:bCs/>
          <w:lang w:eastAsia="ja-JP"/>
        </w:rPr>
        <w:t>achieving these strategic priorities</w:t>
      </w:r>
      <w:r w:rsidRPr="007C5769">
        <w:rPr>
          <w:bCs/>
          <w:lang w:eastAsia="ja-JP"/>
        </w:rPr>
        <w:t>. IMDRF will undertake NWIs depending on the extent to which the NWI will advance the strategic priority, the feasibility of the NWI, and the availability of adequate resources</w:t>
      </w:r>
      <w:r>
        <w:rPr>
          <w:bCs/>
          <w:lang w:eastAsia="ja-JP"/>
        </w:rPr>
        <w:t xml:space="preserve"> to develop the proposed outputs</w:t>
      </w:r>
      <w:r w:rsidRPr="007C5769">
        <w:rPr>
          <w:bCs/>
          <w:lang w:eastAsia="ja-JP"/>
        </w:rPr>
        <w:t xml:space="preserve">. IMDRF will </w:t>
      </w:r>
      <w:r>
        <w:rPr>
          <w:bCs/>
          <w:lang w:eastAsia="ja-JP"/>
        </w:rPr>
        <w:t xml:space="preserve">still </w:t>
      </w:r>
      <w:r w:rsidRPr="007C5769">
        <w:rPr>
          <w:bCs/>
          <w:lang w:eastAsia="ja-JP"/>
        </w:rPr>
        <w:t xml:space="preserve">consider other NWIPs for other topic areas but </w:t>
      </w:r>
      <w:r>
        <w:rPr>
          <w:bCs/>
          <w:lang w:eastAsia="ja-JP"/>
        </w:rPr>
        <w:t>is not likely to accept those proposals unless there is a sufficiently compelling reason to do so</w:t>
      </w:r>
      <w:r w:rsidRPr="007C5769">
        <w:rPr>
          <w:bCs/>
          <w:lang w:eastAsia="ja-JP"/>
        </w:rPr>
        <w:t>.</w:t>
      </w:r>
    </w:p>
    <w:p w14:paraId="4173F353" w14:textId="77777777" w:rsidR="00291B46" w:rsidRDefault="00291B46" w:rsidP="00F22D27">
      <w:pPr>
        <w:keepNext/>
        <w:spacing w:line="360" w:lineRule="auto"/>
        <w:rPr>
          <w:bCs/>
          <w:lang w:eastAsia="ja-JP"/>
        </w:rPr>
      </w:pPr>
    </w:p>
    <w:p w14:paraId="08BEB360" w14:textId="77777777" w:rsidR="00982125" w:rsidRPr="00982125" w:rsidRDefault="00AE2020" w:rsidP="00F22D27">
      <w:pPr>
        <w:keepNext/>
        <w:spacing w:line="360" w:lineRule="auto"/>
        <w:rPr>
          <w:bCs/>
          <w:lang w:eastAsia="ja-JP"/>
        </w:rPr>
      </w:pPr>
      <w:r>
        <w:rPr>
          <w:bCs/>
          <w:i/>
          <w:u w:val="single"/>
          <w:lang w:eastAsia="ja-JP"/>
        </w:rPr>
        <w:t xml:space="preserve">Enhance </w:t>
      </w:r>
      <w:r w:rsidR="00982125">
        <w:rPr>
          <w:bCs/>
          <w:i/>
          <w:u w:val="single"/>
          <w:lang w:eastAsia="ja-JP"/>
        </w:rPr>
        <w:t>Post-Market Surveillance</w:t>
      </w:r>
    </w:p>
    <w:p w14:paraId="16F41809" w14:textId="77777777" w:rsidR="002B0925" w:rsidRDefault="002B0925" w:rsidP="00F22D27">
      <w:pPr>
        <w:keepNext/>
        <w:spacing w:line="360" w:lineRule="auto"/>
        <w:rPr>
          <w:bCs/>
          <w:lang w:eastAsia="ja-JP"/>
        </w:rPr>
      </w:pPr>
      <w:r w:rsidRPr="0003534A">
        <w:rPr>
          <w:bCs/>
          <w:lang w:eastAsia="ja-JP"/>
        </w:rPr>
        <w:t xml:space="preserve">Since the inception of IMDRF, the </w:t>
      </w:r>
      <w:r w:rsidR="0003534A">
        <w:rPr>
          <w:bCs/>
          <w:lang w:eastAsia="ja-JP"/>
        </w:rPr>
        <w:t>forum has undertaken several work items</w:t>
      </w:r>
      <w:r w:rsidRPr="0003534A">
        <w:rPr>
          <w:bCs/>
          <w:lang w:eastAsia="ja-JP"/>
        </w:rPr>
        <w:t xml:space="preserve"> </w:t>
      </w:r>
      <w:r w:rsidR="0003534A" w:rsidRPr="0003534A">
        <w:rPr>
          <w:bCs/>
          <w:lang w:eastAsia="ja-JP"/>
        </w:rPr>
        <w:t>to enhance post-market surveillance</w:t>
      </w:r>
      <w:r w:rsidR="0003534A">
        <w:rPr>
          <w:bCs/>
          <w:lang w:eastAsia="ja-JP"/>
        </w:rPr>
        <w:t>. These work items include:</w:t>
      </w:r>
    </w:p>
    <w:p w14:paraId="2D4AC08D" w14:textId="77777777" w:rsidR="0003534A" w:rsidRPr="0003534A" w:rsidRDefault="0003534A" w:rsidP="00F22D27">
      <w:pPr>
        <w:pStyle w:val="ListParagraph"/>
        <w:keepNext/>
        <w:numPr>
          <w:ilvl w:val="0"/>
          <w:numId w:val="49"/>
        </w:numPr>
        <w:spacing w:line="360" w:lineRule="auto"/>
        <w:ind w:leftChars="0"/>
        <w:rPr>
          <w:bCs/>
          <w:lang w:eastAsia="ja-JP"/>
        </w:rPr>
      </w:pPr>
      <w:r>
        <w:rPr>
          <w:bCs/>
          <w:lang w:eastAsia="ja-JP"/>
        </w:rPr>
        <w:t>Effective e</w:t>
      </w:r>
      <w:r w:rsidRPr="0003534A">
        <w:rPr>
          <w:bCs/>
          <w:lang w:eastAsia="ja-JP"/>
        </w:rPr>
        <w:t>xchange o</w:t>
      </w:r>
      <w:r>
        <w:rPr>
          <w:bCs/>
          <w:lang w:eastAsia="ja-JP"/>
        </w:rPr>
        <w:t xml:space="preserve">f post-market data by improving </w:t>
      </w:r>
      <w:r w:rsidRPr="0003534A">
        <w:rPr>
          <w:bCs/>
          <w:lang w:eastAsia="ja-JP"/>
        </w:rPr>
        <w:t>the former GHTF NCAR  (</w:t>
      </w:r>
      <w:r w:rsidR="00AE2020">
        <w:rPr>
          <w:bCs/>
          <w:lang w:eastAsia="ja-JP"/>
        </w:rPr>
        <w:t xml:space="preserve">National </w:t>
      </w:r>
      <w:r w:rsidRPr="0003534A">
        <w:rPr>
          <w:bCs/>
          <w:lang w:eastAsia="ja-JP"/>
        </w:rPr>
        <w:t>Competent Authorities Reports) Exchange Program</w:t>
      </w:r>
      <w:r>
        <w:rPr>
          <w:bCs/>
          <w:lang w:eastAsia="ja-JP"/>
        </w:rPr>
        <w:t>;</w:t>
      </w:r>
      <w:r w:rsidRPr="0003534A">
        <w:rPr>
          <w:bCs/>
          <w:lang w:eastAsia="ja-JP"/>
        </w:rPr>
        <w:t xml:space="preserve"> </w:t>
      </w:r>
    </w:p>
    <w:p w14:paraId="27C9AC4D" w14:textId="77777777" w:rsidR="0003534A" w:rsidRPr="0003534A" w:rsidRDefault="0003534A" w:rsidP="00F22D27">
      <w:pPr>
        <w:pStyle w:val="ListParagraph"/>
        <w:keepNext/>
        <w:numPr>
          <w:ilvl w:val="0"/>
          <w:numId w:val="49"/>
        </w:numPr>
        <w:spacing w:line="360" w:lineRule="auto"/>
        <w:ind w:leftChars="0"/>
        <w:rPr>
          <w:bCs/>
          <w:lang w:eastAsia="ja-JP"/>
        </w:rPr>
      </w:pPr>
      <w:r w:rsidRPr="0003534A">
        <w:rPr>
          <w:bCs/>
          <w:lang w:eastAsia="ja-JP"/>
        </w:rPr>
        <w:t>Establishment of common principles on registries</w:t>
      </w:r>
      <w:r>
        <w:rPr>
          <w:bCs/>
          <w:lang w:eastAsia="ja-JP"/>
        </w:rPr>
        <w:t>;</w:t>
      </w:r>
    </w:p>
    <w:p w14:paraId="7EE3DFF5" w14:textId="64E3A4AC" w:rsidR="0003534A" w:rsidRPr="0003534A" w:rsidRDefault="0003534A" w:rsidP="00F22D27">
      <w:pPr>
        <w:pStyle w:val="ListParagraph"/>
        <w:keepNext/>
        <w:numPr>
          <w:ilvl w:val="0"/>
          <w:numId w:val="49"/>
        </w:numPr>
        <w:spacing w:line="360" w:lineRule="auto"/>
        <w:ind w:leftChars="0"/>
        <w:rPr>
          <w:bCs/>
          <w:lang w:eastAsia="ja-JP"/>
        </w:rPr>
      </w:pPr>
      <w:r w:rsidRPr="0003534A">
        <w:rPr>
          <w:bCs/>
          <w:lang w:eastAsia="ja-JP"/>
        </w:rPr>
        <w:lastRenderedPageBreak/>
        <w:t>Harmoni</w:t>
      </w:r>
      <w:r w:rsidR="00DB5B29">
        <w:rPr>
          <w:bCs/>
          <w:lang w:eastAsia="ja-JP"/>
        </w:rPr>
        <w:t>z</w:t>
      </w:r>
      <w:r w:rsidRPr="0003534A">
        <w:rPr>
          <w:bCs/>
          <w:lang w:eastAsia="ja-JP"/>
        </w:rPr>
        <w:t>ation of adverse event terminology to expand the terminology and systems being used to code information relating to medical device adverse events</w:t>
      </w:r>
      <w:r>
        <w:rPr>
          <w:bCs/>
          <w:lang w:eastAsia="ja-JP"/>
        </w:rPr>
        <w:t>;</w:t>
      </w:r>
    </w:p>
    <w:p w14:paraId="0713BFFB" w14:textId="77777777" w:rsidR="0003534A" w:rsidRDefault="00982125" w:rsidP="00F22D27">
      <w:pPr>
        <w:pStyle w:val="ListParagraph"/>
        <w:keepNext/>
        <w:numPr>
          <w:ilvl w:val="0"/>
          <w:numId w:val="49"/>
        </w:numPr>
        <w:spacing w:line="360" w:lineRule="auto"/>
        <w:ind w:leftChars="0"/>
        <w:rPr>
          <w:bCs/>
          <w:lang w:eastAsia="ja-JP"/>
        </w:rPr>
      </w:pPr>
      <w:r>
        <w:rPr>
          <w:bCs/>
          <w:lang w:eastAsia="ja-JP"/>
        </w:rPr>
        <w:t>Establishment of a Medical Device Single Audit Program; and</w:t>
      </w:r>
    </w:p>
    <w:p w14:paraId="1BB8AAF8" w14:textId="77777777" w:rsidR="00982125" w:rsidRPr="0003534A" w:rsidRDefault="00982125" w:rsidP="00F22D27">
      <w:pPr>
        <w:pStyle w:val="ListParagraph"/>
        <w:keepNext/>
        <w:numPr>
          <w:ilvl w:val="0"/>
          <w:numId w:val="49"/>
        </w:numPr>
        <w:spacing w:line="360" w:lineRule="auto"/>
        <w:ind w:leftChars="0"/>
        <w:rPr>
          <w:bCs/>
          <w:lang w:eastAsia="ja-JP"/>
        </w:rPr>
      </w:pPr>
      <w:r>
        <w:rPr>
          <w:bCs/>
          <w:lang w:eastAsia="ja-JP"/>
        </w:rPr>
        <w:t>Development of non-binding rules for creating, using, and maintaining unique device identifiers and related activities.</w:t>
      </w:r>
    </w:p>
    <w:p w14:paraId="1683BB12" w14:textId="77777777" w:rsidR="00982125" w:rsidRDefault="00982125" w:rsidP="00F22D27">
      <w:pPr>
        <w:keepNext/>
        <w:spacing w:line="360" w:lineRule="auto"/>
        <w:rPr>
          <w:bCs/>
          <w:lang w:eastAsia="ja-JP"/>
        </w:rPr>
      </w:pPr>
    </w:p>
    <w:p w14:paraId="56AC663F" w14:textId="5F817102" w:rsidR="0003534A" w:rsidRPr="0003534A" w:rsidRDefault="00AE2020" w:rsidP="00F22D27">
      <w:pPr>
        <w:keepNext/>
        <w:spacing w:line="360" w:lineRule="auto"/>
        <w:rPr>
          <w:bCs/>
          <w:lang w:eastAsia="ja-JP"/>
        </w:rPr>
      </w:pPr>
      <w:r>
        <w:rPr>
          <w:bCs/>
          <w:lang w:eastAsia="ja-JP"/>
        </w:rPr>
        <w:t>From 2016 to 2020, t</w:t>
      </w:r>
      <w:r w:rsidR="00982125">
        <w:rPr>
          <w:bCs/>
          <w:lang w:eastAsia="ja-JP"/>
        </w:rPr>
        <w:t>he MC intends to build on the work already started or completed</w:t>
      </w:r>
      <w:r w:rsidR="00DB5B29">
        <w:rPr>
          <w:bCs/>
          <w:lang w:eastAsia="ja-JP"/>
        </w:rPr>
        <w:t xml:space="preserve"> as well as consider New Work Items in line with identified objectives</w:t>
      </w:r>
      <w:r w:rsidR="00982125">
        <w:rPr>
          <w:bCs/>
          <w:lang w:eastAsia="ja-JP"/>
        </w:rPr>
        <w:t>.</w:t>
      </w:r>
      <w:r w:rsidR="00024052">
        <w:rPr>
          <w:bCs/>
          <w:lang w:eastAsia="ja-JP"/>
        </w:rPr>
        <w:t xml:space="preserve"> </w:t>
      </w:r>
    </w:p>
    <w:p w14:paraId="2EDB6E62" w14:textId="77777777" w:rsidR="00FA2398" w:rsidRDefault="00FA2398" w:rsidP="00F22D27">
      <w:pPr>
        <w:keepNext/>
        <w:spacing w:line="360" w:lineRule="auto"/>
        <w:rPr>
          <w:bCs/>
          <w:lang w:eastAsia="ja-JP"/>
        </w:rPr>
      </w:pPr>
    </w:p>
    <w:p w14:paraId="332663DE" w14:textId="77777777" w:rsidR="00AE2020" w:rsidRDefault="00AE2020" w:rsidP="00AE2020">
      <w:pPr>
        <w:keepNext/>
        <w:spacing w:line="360" w:lineRule="auto"/>
        <w:rPr>
          <w:bCs/>
          <w:lang w:eastAsia="ja-JP"/>
        </w:rPr>
      </w:pPr>
      <w:r>
        <w:rPr>
          <w:bCs/>
          <w:i/>
          <w:u w:val="single"/>
          <w:lang w:eastAsia="ja-JP"/>
        </w:rPr>
        <w:t xml:space="preserve">Improve the Efficiency and Effectiveness of </w:t>
      </w:r>
      <w:r w:rsidR="00BF40A8" w:rsidRPr="00F22D27">
        <w:rPr>
          <w:bCs/>
          <w:i/>
          <w:u w:val="single"/>
          <w:lang w:eastAsia="ja-JP"/>
        </w:rPr>
        <w:t>Pre-Market Review</w:t>
      </w:r>
    </w:p>
    <w:p w14:paraId="303BD1D5" w14:textId="0F14C257" w:rsidR="007C5769" w:rsidRPr="000F5023" w:rsidRDefault="00BF40A8" w:rsidP="00AE2020">
      <w:pPr>
        <w:keepNext/>
        <w:spacing w:line="360" w:lineRule="auto"/>
        <w:rPr>
          <w:bCs/>
          <w:lang w:eastAsia="ja-JP"/>
        </w:rPr>
      </w:pPr>
      <w:r>
        <w:rPr>
          <w:bCs/>
          <w:lang w:eastAsia="ja-JP"/>
        </w:rPr>
        <w:t xml:space="preserve"> </w:t>
      </w:r>
      <w:r w:rsidR="00024052">
        <w:rPr>
          <w:bCs/>
          <w:lang w:eastAsia="ja-JP"/>
        </w:rPr>
        <w:t>Promoting regulatory convergence of pre-market review while striking the right balance between pre-market and post-market requirements supports innovation by promoting the least burdensome approach to assure devices are safe and effective</w:t>
      </w:r>
      <w:r w:rsidR="00E41BD2">
        <w:rPr>
          <w:bCs/>
          <w:lang w:eastAsia="ja-JP"/>
        </w:rPr>
        <w:t>. Regulatory convergence also supports</w:t>
      </w:r>
      <w:r w:rsidR="00E35470">
        <w:rPr>
          <w:bCs/>
          <w:lang w:eastAsia="ja-JP"/>
        </w:rPr>
        <w:t xml:space="preserve"> </w:t>
      </w:r>
      <w:r w:rsidR="00024052">
        <w:rPr>
          <w:bCs/>
          <w:lang w:eastAsia="ja-JP"/>
        </w:rPr>
        <w:t xml:space="preserve">more timely market entry of safe and effective devices across member jurisdictions by facilitating reliance on data developed for and/or decisions made by one or more jurisdictions to support market approval in other jurisdictions. The MC </w:t>
      </w:r>
      <w:r w:rsidR="00DA55F4">
        <w:rPr>
          <w:bCs/>
          <w:lang w:eastAsia="ja-JP"/>
        </w:rPr>
        <w:t xml:space="preserve">already has taken </w:t>
      </w:r>
      <w:r w:rsidR="00024052">
        <w:rPr>
          <w:bCs/>
          <w:lang w:eastAsia="ja-JP"/>
        </w:rPr>
        <w:t xml:space="preserve">an initial step forward </w:t>
      </w:r>
      <w:r w:rsidR="00DA55F4">
        <w:rPr>
          <w:bCs/>
          <w:lang w:eastAsia="ja-JP"/>
        </w:rPr>
        <w:t>to</w:t>
      </w:r>
      <w:r w:rsidR="007613C6">
        <w:rPr>
          <w:bCs/>
          <w:lang w:eastAsia="ja-JP"/>
        </w:rPr>
        <w:t xml:space="preserve"> </w:t>
      </w:r>
      <w:r w:rsidR="00DA55F4">
        <w:rPr>
          <w:bCs/>
          <w:lang w:eastAsia="ja-JP"/>
        </w:rPr>
        <w:t xml:space="preserve">achieve this strategic priority </w:t>
      </w:r>
      <w:r w:rsidR="00024052">
        <w:rPr>
          <w:bCs/>
          <w:lang w:eastAsia="ja-JP"/>
        </w:rPr>
        <w:t>through the early</w:t>
      </w:r>
      <w:r w:rsidR="00DA55F4">
        <w:rPr>
          <w:bCs/>
          <w:lang w:eastAsia="ja-JP"/>
        </w:rPr>
        <w:t>-stage</w:t>
      </w:r>
      <w:r w:rsidR="00024052">
        <w:rPr>
          <w:bCs/>
          <w:lang w:eastAsia="ja-JP"/>
        </w:rPr>
        <w:t xml:space="preserve"> development of Regulatory Product Submissions</w:t>
      </w:r>
      <w:r w:rsidR="00E35470">
        <w:rPr>
          <w:bCs/>
          <w:lang w:eastAsia="ja-JP"/>
        </w:rPr>
        <w:t>, including establishment of comprehensive Table of Contents (</w:t>
      </w:r>
      <w:proofErr w:type="spellStart"/>
      <w:r w:rsidR="00E35470">
        <w:rPr>
          <w:bCs/>
          <w:lang w:eastAsia="ja-JP"/>
        </w:rPr>
        <w:t>ToC</w:t>
      </w:r>
      <w:proofErr w:type="spellEnd"/>
      <w:r w:rsidR="00E35470">
        <w:rPr>
          <w:bCs/>
          <w:lang w:eastAsia="ja-JP"/>
        </w:rPr>
        <w:t>) for non-IVD market authorization and IVD market authorization</w:t>
      </w:r>
      <w:r w:rsidR="00024052">
        <w:rPr>
          <w:rFonts w:hint="eastAsia"/>
          <w:bCs/>
          <w:lang w:eastAsia="ja-JP"/>
        </w:rPr>
        <w:t>.</w:t>
      </w:r>
      <w:r w:rsidR="00024052">
        <w:rPr>
          <w:bCs/>
          <w:lang w:eastAsia="ja-JP"/>
        </w:rPr>
        <w:t xml:space="preserve"> </w:t>
      </w:r>
      <w:r w:rsidR="00DA55F4">
        <w:rPr>
          <w:bCs/>
          <w:lang w:eastAsia="ja-JP"/>
        </w:rPr>
        <w:t xml:space="preserve">IMDRF will continue this activity. </w:t>
      </w:r>
      <w:r w:rsidR="009E4CCA">
        <w:rPr>
          <w:bCs/>
          <w:lang w:eastAsia="ja-JP"/>
        </w:rPr>
        <w:t>T</w:t>
      </w:r>
      <w:r w:rsidR="00DA55F4">
        <w:rPr>
          <w:bCs/>
          <w:lang w:eastAsia="ja-JP"/>
        </w:rPr>
        <w:t xml:space="preserve">he MC will select </w:t>
      </w:r>
      <w:r w:rsidR="009E4CCA">
        <w:rPr>
          <w:bCs/>
          <w:lang w:eastAsia="ja-JP"/>
        </w:rPr>
        <w:t xml:space="preserve">further </w:t>
      </w:r>
      <w:r w:rsidR="00DA55F4">
        <w:rPr>
          <w:bCs/>
          <w:lang w:eastAsia="ja-JP"/>
        </w:rPr>
        <w:t xml:space="preserve">New Work Items (NWIs) to improve the effectiveness and efficiency of pre-market review. </w:t>
      </w:r>
      <w:r w:rsidR="005F63E5">
        <w:rPr>
          <w:bCs/>
          <w:lang w:eastAsia="ja-JP"/>
        </w:rPr>
        <w:t>These</w:t>
      </w:r>
      <w:r w:rsidR="00DA55F4" w:rsidRPr="005F63E5">
        <w:rPr>
          <w:bCs/>
          <w:lang w:eastAsia="ja-JP"/>
        </w:rPr>
        <w:t xml:space="preserve"> may include assuring the reliability of data submitted to regulatory bodies</w:t>
      </w:r>
      <w:r w:rsidR="005F63E5">
        <w:rPr>
          <w:bCs/>
          <w:lang w:eastAsia="ja-JP"/>
        </w:rPr>
        <w:t>,</w:t>
      </w:r>
      <w:r w:rsidR="003D163A" w:rsidRPr="003D163A">
        <w:rPr>
          <w:bCs/>
          <w:lang w:eastAsia="ja-JP"/>
        </w:rPr>
        <w:t xml:space="preserve"> improv</w:t>
      </w:r>
      <w:r w:rsidR="00DB5B29" w:rsidRPr="000F5023">
        <w:rPr>
          <w:bCs/>
          <w:lang w:eastAsia="ja-JP"/>
        </w:rPr>
        <w:t>ing quantity and quality of clinical data</w:t>
      </w:r>
      <w:r w:rsidR="00DA55F4" w:rsidRPr="005F63E5">
        <w:rPr>
          <w:bCs/>
          <w:lang w:eastAsia="ja-JP"/>
        </w:rPr>
        <w:t>, de</w:t>
      </w:r>
      <w:r w:rsidR="00402815" w:rsidRPr="005F63E5">
        <w:rPr>
          <w:bCs/>
          <w:lang w:eastAsia="ja-JP"/>
        </w:rPr>
        <w:t xml:space="preserve">veloping </w:t>
      </w:r>
      <w:r w:rsidR="00402815" w:rsidRPr="00E35470">
        <w:rPr>
          <w:bCs/>
          <w:lang w:eastAsia="ja-JP"/>
        </w:rPr>
        <w:t>Good Review Practices for pre-market reviews/evaluations</w:t>
      </w:r>
      <w:r w:rsidR="00E35470">
        <w:rPr>
          <w:bCs/>
          <w:lang w:eastAsia="ja-JP"/>
        </w:rPr>
        <w:t xml:space="preserve"> which includes </w:t>
      </w:r>
      <w:r w:rsidR="00E35470" w:rsidRPr="000F5023">
        <w:rPr>
          <w:bCs/>
          <w:lang w:eastAsia="ja-JP"/>
        </w:rPr>
        <w:t>competenc</w:t>
      </w:r>
      <w:r w:rsidR="005F63E5" w:rsidRPr="005F63E5">
        <w:rPr>
          <w:bCs/>
          <w:lang w:eastAsia="ja-JP"/>
        </w:rPr>
        <w:t>e</w:t>
      </w:r>
      <w:r w:rsidR="00E35470" w:rsidRPr="00E35470">
        <w:rPr>
          <w:bCs/>
          <w:lang w:eastAsia="ja-JP"/>
        </w:rPr>
        <w:t xml:space="preserve"> and </w:t>
      </w:r>
      <w:r w:rsidR="005F63E5">
        <w:rPr>
          <w:bCs/>
          <w:lang w:eastAsia="ja-JP"/>
        </w:rPr>
        <w:t xml:space="preserve">training </w:t>
      </w:r>
      <w:r w:rsidR="005F63E5" w:rsidRPr="005F63E5">
        <w:rPr>
          <w:bCs/>
          <w:lang w:eastAsia="ja-JP"/>
        </w:rPr>
        <w:t>for</w:t>
      </w:r>
      <w:r w:rsidR="00E35470" w:rsidRPr="000F5023">
        <w:rPr>
          <w:bCs/>
          <w:lang w:eastAsia="ja-JP"/>
        </w:rPr>
        <w:t xml:space="preserve"> pre-market reviewers</w:t>
      </w:r>
      <w:r w:rsidR="00402815" w:rsidRPr="00E35470">
        <w:rPr>
          <w:bCs/>
          <w:lang w:eastAsia="ja-JP"/>
        </w:rPr>
        <w:t>,</w:t>
      </w:r>
      <w:r w:rsidR="00402815" w:rsidRPr="005F63E5">
        <w:rPr>
          <w:bCs/>
          <w:lang w:eastAsia="ja-JP"/>
        </w:rPr>
        <w:t xml:space="preserve"> developing guidance on benefit-risk determinations, and improving the suitability of international standards for regulatory authorities and effective regulatory authority involvement at each stage in standards development.</w:t>
      </w:r>
    </w:p>
    <w:p w14:paraId="1773392A" w14:textId="77777777" w:rsidR="000B1A50" w:rsidRDefault="000B1A50" w:rsidP="00AE2020">
      <w:pPr>
        <w:keepNext/>
        <w:spacing w:line="360" w:lineRule="auto"/>
        <w:rPr>
          <w:bCs/>
          <w:lang w:eastAsia="ja-JP"/>
        </w:rPr>
      </w:pPr>
    </w:p>
    <w:p w14:paraId="3A64BF0D" w14:textId="77777777" w:rsidR="0088051F" w:rsidRPr="00F22D27" w:rsidRDefault="00402815" w:rsidP="00F22D27">
      <w:pPr>
        <w:pStyle w:val="ListParagraph"/>
        <w:keepNext/>
        <w:numPr>
          <w:ilvl w:val="0"/>
          <w:numId w:val="7"/>
        </w:numPr>
        <w:spacing w:line="360" w:lineRule="auto"/>
        <w:ind w:leftChars="0"/>
        <w:rPr>
          <w:b/>
          <w:bCs/>
          <w:lang w:eastAsia="ja-JP"/>
        </w:rPr>
      </w:pPr>
      <w:r w:rsidRPr="00F22D27">
        <w:rPr>
          <w:b/>
          <w:bCs/>
          <w:lang w:eastAsia="ja-JP"/>
        </w:rPr>
        <w:t xml:space="preserve">Development and </w:t>
      </w:r>
      <w:r w:rsidR="0088051F" w:rsidRPr="00F22D27">
        <w:rPr>
          <w:b/>
          <w:bCs/>
          <w:lang w:eastAsia="ja-JP"/>
        </w:rPr>
        <w:t xml:space="preserve">Utilization of IMDRF </w:t>
      </w:r>
      <w:r w:rsidRPr="00F22D27">
        <w:rPr>
          <w:b/>
          <w:bCs/>
          <w:lang w:eastAsia="ja-JP"/>
        </w:rPr>
        <w:t>O</w:t>
      </w:r>
      <w:r w:rsidR="0073499E" w:rsidRPr="00F22D27">
        <w:rPr>
          <w:b/>
          <w:bCs/>
          <w:lang w:eastAsia="ja-JP"/>
        </w:rPr>
        <w:t>utputs</w:t>
      </w:r>
    </w:p>
    <w:p w14:paraId="46022872" w14:textId="77777777" w:rsidR="0088051F" w:rsidRPr="0088051F" w:rsidRDefault="0088051F">
      <w:pPr>
        <w:keepNext/>
        <w:spacing w:line="360" w:lineRule="auto"/>
        <w:ind w:firstLineChars="118" w:firstLine="283"/>
        <w:rPr>
          <w:bCs/>
          <w:lang w:eastAsia="ja-JP"/>
        </w:rPr>
      </w:pPr>
      <w:r w:rsidRPr="0088051F">
        <w:rPr>
          <w:bCs/>
          <w:lang w:eastAsia="ja-JP"/>
        </w:rPr>
        <w:t xml:space="preserve">In order to enhance the utilization of IMDRF </w:t>
      </w:r>
      <w:r w:rsidR="00402815">
        <w:rPr>
          <w:bCs/>
          <w:lang w:eastAsia="ja-JP"/>
        </w:rPr>
        <w:t>o</w:t>
      </w:r>
      <w:r w:rsidR="0073499E">
        <w:rPr>
          <w:bCs/>
          <w:lang w:eastAsia="ja-JP"/>
        </w:rPr>
        <w:t>utputs</w:t>
      </w:r>
      <w:r w:rsidRPr="0088051F">
        <w:rPr>
          <w:bCs/>
          <w:lang w:eastAsia="ja-JP"/>
        </w:rPr>
        <w:t xml:space="preserve">, </w:t>
      </w:r>
      <w:r w:rsidR="00402815">
        <w:rPr>
          <w:bCs/>
          <w:lang w:eastAsia="ja-JP"/>
        </w:rPr>
        <w:t>MC</w:t>
      </w:r>
      <w:r w:rsidR="00090CD3">
        <w:rPr>
          <w:rFonts w:hint="eastAsia"/>
          <w:bCs/>
          <w:lang w:eastAsia="ja-JP"/>
        </w:rPr>
        <w:t xml:space="preserve"> members will</w:t>
      </w:r>
      <w:r w:rsidR="00402815">
        <w:rPr>
          <w:bCs/>
          <w:lang w:eastAsia="ja-JP"/>
        </w:rPr>
        <w:t>:</w:t>
      </w:r>
    </w:p>
    <w:p w14:paraId="5BD66545" w14:textId="77777777" w:rsidR="0088051F" w:rsidRPr="00A470BE" w:rsidRDefault="00090CD3">
      <w:pPr>
        <w:pStyle w:val="ListParagraph"/>
        <w:keepNext/>
        <w:numPr>
          <w:ilvl w:val="1"/>
          <w:numId w:val="36"/>
        </w:numPr>
        <w:spacing w:line="360" w:lineRule="auto"/>
        <w:ind w:leftChars="0"/>
        <w:rPr>
          <w:bCs/>
          <w:lang w:eastAsia="ja-JP"/>
        </w:rPr>
      </w:pPr>
      <w:r w:rsidRPr="00A470BE">
        <w:rPr>
          <w:rFonts w:hint="eastAsia"/>
          <w:bCs/>
          <w:lang w:eastAsia="ja-JP"/>
        </w:rPr>
        <w:t>S</w:t>
      </w:r>
      <w:r w:rsidR="0088051F" w:rsidRPr="00A470BE">
        <w:rPr>
          <w:bCs/>
          <w:lang w:eastAsia="ja-JP"/>
        </w:rPr>
        <w:t xml:space="preserve">hare information </w:t>
      </w:r>
      <w:r w:rsidR="00B51964" w:rsidRPr="00A470BE">
        <w:rPr>
          <w:rFonts w:hint="eastAsia"/>
          <w:bCs/>
          <w:lang w:eastAsia="ja-JP"/>
        </w:rPr>
        <w:t xml:space="preserve">with stakeholders </w:t>
      </w:r>
      <w:r w:rsidR="0088051F" w:rsidRPr="00A470BE">
        <w:rPr>
          <w:bCs/>
          <w:lang w:eastAsia="ja-JP"/>
        </w:rPr>
        <w:t xml:space="preserve">regarding </w:t>
      </w:r>
      <w:r w:rsidR="00402815">
        <w:rPr>
          <w:bCs/>
          <w:lang w:eastAsia="ja-JP"/>
        </w:rPr>
        <w:t>the implementation of and/or challenges to implementation of IMDRF outputs</w:t>
      </w:r>
      <w:r w:rsidR="00D13CDF">
        <w:rPr>
          <w:bCs/>
          <w:lang w:eastAsia="ja-JP"/>
        </w:rPr>
        <w:t xml:space="preserve"> in their respective jurisdictions</w:t>
      </w:r>
      <w:r w:rsidR="007C5769">
        <w:rPr>
          <w:bCs/>
          <w:lang w:eastAsia="ja-JP"/>
        </w:rPr>
        <w:t>; and</w:t>
      </w:r>
    </w:p>
    <w:p w14:paraId="4AF7E953" w14:textId="77777777" w:rsidR="0088051F" w:rsidRPr="00EC4964" w:rsidRDefault="00402815">
      <w:pPr>
        <w:pStyle w:val="ListParagraph"/>
        <w:keepNext/>
        <w:numPr>
          <w:ilvl w:val="1"/>
          <w:numId w:val="36"/>
        </w:numPr>
        <w:spacing w:line="360" w:lineRule="auto"/>
        <w:ind w:leftChars="0"/>
        <w:rPr>
          <w:bCs/>
          <w:lang w:eastAsia="ja-JP"/>
        </w:rPr>
      </w:pPr>
      <w:r>
        <w:rPr>
          <w:bCs/>
          <w:lang w:eastAsia="ja-JP"/>
        </w:rPr>
        <w:lastRenderedPageBreak/>
        <w:t>To the extent feasible and appropriate, s</w:t>
      </w:r>
      <w:r w:rsidR="00090CD3" w:rsidRPr="00EC4964">
        <w:rPr>
          <w:bCs/>
          <w:lang w:eastAsia="ja-JP"/>
        </w:rPr>
        <w:t xml:space="preserve">upport training activities on IMDRF </w:t>
      </w:r>
      <w:r w:rsidR="0073499E">
        <w:rPr>
          <w:bCs/>
          <w:lang w:eastAsia="ja-JP"/>
        </w:rPr>
        <w:t>output</w:t>
      </w:r>
      <w:r w:rsidR="000B1A50">
        <w:rPr>
          <w:bCs/>
          <w:lang w:eastAsia="ja-JP"/>
        </w:rPr>
        <w:t xml:space="preserve">s </w:t>
      </w:r>
      <w:r w:rsidR="00090CD3" w:rsidRPr="00EC4964">
        <w:rPr>
          <w:bCs/>
          <w:lang w:eastAsia="ja-JP"/>
        </w:rPr>
        <w:t xml:space="preserve">conducted by other organizations. </w:t>
      </w:r>
      <w:r w:rsidR="0088051F" w:rsidRPr="00EC4964">
        <w:rPr>
          <w:bCs/>
          <w:lang w:eastAsia="ja-JP"/>
        </w:rPr>
        <w:t xml:space="preserve"> </w:t>
      </w:r>
    </w:p>
    <w:p w14:paraId="23BEE627" w14:textId="77777777" w:rsidR="00D13CDF" w:rsidRDefault="00D13CDF">
      <w:pPr>
        <w:keepNext/>
        <w:spacing w:line="360" w:lineRule="auto"/>
        <w:rPr>
          <w:bCs/>
          <w:lang w:eastAsia="ja-JP"/>
        </w:rPr>
      </w:pPr>
    </w:p>
    <w:p w14:paraId="6D902734" w14:textId="77777777" w:rsidR="009C7FF9" w:rsidRDefault="00D13CDF" w:rsidP="00EC2A63">
      <w:pPr>
        <w:keepNext/>
        <w:spacing w:line="360" w:lineRule="auto"/>
        <w:ind w:firstLine="360"/>
        <w:rPr>
          <w:bCs/>
          <w:lang w:eastAsia="ja-JP"/>
        </w:rPr>
      </w:pPr>
      <w:r>
        <w:rPr>
          <w:bCs/>
          <w:lang w:eastAsia="ja-JP"/>
        </w:rPr>
        <w:t>In addition, in the future w</w:t>
      </w:r>
      <w:r w:rsidR="00EC2A63">
        <w:rPr>
          <w:bCs/>
          <w:lang w:eastAsia="ja-JP"/>
        </w:rPr>
        <w:t xml:space="preserve">hen </w:t>
      </w:r>
      <w:r w:rsidRPr="00D13CDF">
        <w:rPr>
          <w:bCs/>
          <w:lang w:eastAsia="ja-JP"/>
        </w:rPr>
        <w:t>accepting NWIs</w:t>
      </w:r>
      <w:r>
        <w:rPr>
          <w:bCs/>
          <w:lang w:eastAsia="ja-JP"/>
        </w:rPr>
        <w:t xml:space="preserve"> or New Work Item Extensions</w:t>
      </w:r>
      <w:r w:rsidRPr="00D13CDF">
        <w:rPr>
          <w:bCs/>
          <w:lang w:eastAsia="ja-JP"/>
        </w:rPr>
        <w:t>, the MC will develop work plans with timetables for completion of deliverables and make them available to the public.</w:t>
      </w:r>
    </w:p>
    <w:p w14:paraId="4E3CE934" w14:textId="77777777" w:rsidR="00D13CDF" w:rsidRDefault="00D13CDF">
      <w:pPr>
        <w:keepNext/>
        <w:spacing w:line="360" w:lineRule="auto"/>
        <w:rPr>
          <w:bCs/>
          <w:lang w:eastAsia="ja-JP"/>
        </w:rPr>
      </w:pPr>
    </w:p>
    <w:p w14:paraId="11CB5EB6" w14:textId="77777777" w:rsidR="009C7FF9" w:rsidRPr="005E7BC8" w:rsidRDefault="009C7FF9">
      <w:pPr>
        <w:pStyle w:val="ListParagraph"/>
        <w:keepNext/>
        <w:numPr>
          <w:ilvl w:val="0"/>
          <w:numId w:val="7"/>
        </w:numPr>
        <w:spacing w:line="360" w:lineRule="auto"/>
        <w:ind w:leftChars="0"/>
        <w:rPr>
          <w:b/>
          <w:bCs/>
          <w:lang w:eastAsia="ja-JP"/>
        </w:rPr>
      </w:pPr>
      <w:r>
        <w:rPr>
          <w:b/>
          <w:bCs/>
          <w:lang w:eastAsia="ja-JP"/>
        </w:rPr>
        <w:t>Relation</w:t>
      </w:r>
      <w:r w:rsidR="007C5769">
        <w:rPr>
          <w:b/>
          <w:bCs/>
          <w:lang w:eastAsia="ja-JP"/>
        </w:rPr>
        <w:t>ships</w:t>
      </w:r>
      <w:r>
        <w:rPr>
          <w:b/>
          <w:bCs/>
          <w:lang w:eastAsia="ja-JP"/>
        </w:rPr>
        <w:t xml:space="preserve"> </w:t>
      </w:r>
      <w:r w:rsidRPr="005E7BC8">
        <w:rPr>
          <w:b/>
          <w:bCs/>
          <w:lang w:eastAsia="ja-JP"/>
        </w:rPr>
        <w:t xml:space="preserve">with </w:t>
      </w:r>
      <w:r w:rsidR="007C5769">
        <w:rPr>
          <w:b/>
          <w:bCs/>
          <w:lang w:eastAsia="ja-JP"/>
        </w:rPr>
        <w:t>S</w:t>
      </w:r>
      <w:r w:rsidRPr="005E7BC8">
        <w:rPr>
          <w:b/>
          <w:bCs/>
          <w:lang w:eastAsia="ja-JP"/>
        </w:rPr>
        <w:t>takeholders</w:t>
      </w:r>
    </w:p>
    <w:p w14:paraId="41FD3865" w14:textId="77777777" w:rsidR="000B1A50" w:rsidRDefault="007C5769">
      <w:pPr>
        <w:pStyle w:val="ListParagraph"/>
        <w:keepNext/>
        <w:spacing w:line="360" w:lineRule="auto"/>
        <w:ind w:leftChars="0" w:left="0" w:firstLineChars="118" w:firstLine="283"/>
        <w:rPr>
          <w:lang w:eastAsia="ja-JP"/>
        </w:rPr>
      </w:pPr>
      <w:r>
        <w:rPr>
          <w:lang w:eastAsia="ja-JP"/>
        </w:rPr>
        <w:t xml:space="preserve">IMDRF values transparency and inclusiveness. </w:t>
      </w:r>
      <w:r w:rsidR="00090CD3">
        <w:rPr>
          <w:lang w:eastAsia="ja-JP"/>
        </w:rPr>
        <w:t xml:space="preserve">IMDRF will continue to promote close communication </w:t>
      </w:r>
      <w:r>
        <w:rPr>
          <w:lang w:eastAsia="ja-JP"/>
        </w:rPr>
        <w:t xml:space="preserve">about IMDRF activities and outputs </w:t>
      </w:r>
      <w:r w:rsidR="00090CD3">
        <w:rPr>
          <w:lang w:eastAsia="ja-JP"/>
        </w:rPr>
        <w:t xml:space="preserve">with </w:t>
      </w:r>
      <w:r>
        <w:rPr>
          <w:lang w:eastAsia="ja-JP"/>
        </w:rPr>
        <w:t xml:space="preserve">as well as inclusion of </w:t>
      </w:r>
      <w:r w:rsidR="00090CD3">
        <w:rPr>
          <w:lang w:eastAsia="ja-JP"/>
        </w:rPr>
        <w:t>stakeholders</w:t>
      </w:r>
      <w:r>
        <w:rPr>
          <w:lang w:eastAsia="ja-JP"/>
        </w:rPr>
        <w:t>,</w:t>
      </w:r>
      <w:r w:rsidR="00090CD3">
        <w:rPr>
          <w:lang w:eastAsia="ja-JP"/>
        </w:rPr>
        <w:t xml:space="preserve"> such as medical devices industries, other regulators, international organizations, standards </w:t>
      </w:r>
      <w:r>
        <w:rPr>
          <w:lang w:eastAsia="ja-JP"/>
        </w:rPr>
        <w:t xml:space="preserve">development </w:t>
      </w:r>
      <w:r w:rsidR="00090CD3">
        <w:rPr>
          <w:lang w:eastAsia="ja-JP"/>
        </w:rPr>
        <w:t>organizations, patient and professional associations</w:t>
      </w:r>
      <w:r>
        <w:rPr>
          <w:lang w:eastAsia="ja-JP"/>
        </w:rPr>
        <w:t>,</w:t>
      </w:r>
      <w:r w:rsidR="00090CD3">
        <w:rPr>
          <w:lang w:eastAsia="ja-JP"/>
        </w:rPr>
        <w:t xml:space="preserve"> and academia</w:t>
      </w:r>
      <w:r>
        <w:rPr>
          <w:lang w:eastAsia="ja-JP"/>
        </w:rPr>
        <w:t>, in IMDRF working groups, as appropriate</w:t>
      </w:r>
      <w:r w:rsidR="00090CD3">
        <w:rPr>
          <w:lang w:eastAsia="ja-JP"/>
        </w:rPr>
        <w:t>.</w:t>
      </w:r>
      <w:r w:rsidR="00C947B3">
        <w:rPr>
          <w:lang w:eastAsia="ja-JP"/>
        </w:rPr>
        <w:t xml:space="preserve"> </w:t>
      </w:r>
    </w:p>
    <w:p w14:paraId="2A695116" w14:textId="03518291" w:rsidR="00090CD3" w:rsidRDefault="003B5BC0" w:rsidP="007C5769">
      <w:pPr>
        <w:pStyle w:val="ListParagraph"/>
        <w:keepNext/>
        <w:spacing w:line="360" w:lineRule="auto"/>
        <w:ind w:leftChars="0" w:left="0" w:firstLineChars="118" w:firstLine="283"/>
        <w:rPr>
          <w:lang w:eastAsia="ja-JP"/>
        </w:rPr>
      </w:pPr>
      <w:r>
        <w:rPr>
          <w:rFonts w:hint="eastAsia"/>
          <w:lang w:eastAsia="ja-JP"/>
        </w:rPr>
        <w:t>IMDRF</w:t>
      </w:r>
      <w:r>
        <w:rPr>
          <w:lang w:eastAsia="ja-JP"/>
        </w:rPr>
        <w:t xml:space="preserve"> </w:t>
      </w:r>
      <w:r w:rsidR="007C5769">
        <w:rPr>
          <w:lang w:eastAsia="ja-JP"/>
        </w:rPr>
        <w:t xml:space="preserve">will </w:t>
      </w:r>
      <w:r>
        <w:rPr>
          <w:lang w:eastAsia="ja-JP"/>
        </w:rPr>
        <w:t xml:space="preserve">continue to encourage collaboration and outreach with Affiliate Organizations and other interested regulatory authorities. </w:t>
      </w:r>
      <w:r w:rsidR="007C5769" w:rsidRPr="007C5769">
        <w:rPr>
          <w:lang w:eastAsia="ja-JP"/>
        </w:rPr>
        <w:t xml:space="preserve">IMDRF will seek opportunities to develop stronger relationships with organizations that can help advance our mission, such as standards development organizations. </w:t>
      </w:r>
      <w:r w:rsidR="007C5769">
        <w:rPr>
          <w:lang w:eastAsia="ja-JP"/>
        </w:rPr>
        <w:t xml:space="preserve">In addition, </w:t>
      </w:r>
      <w:r w:rsidR="00C947B3">
        <w:rPr>
          <w:lang w:eastAsia="ja-JP"/>
        </w:rPr>
        <w:t xml:space="preserve">IMDRF </w:t>
      </w:r>
      <w:r w:rsidR="000B1A50">
        <w:rPr>
          <w:lang w:eastAsia="ja-JP"/>
        </w:rPr>
        <w:t xml:space="preserve">will </w:t>
      </w:r>
      <w:r w:rsidR="00C947B3">
        <w:rPr>
          <w:lang w:eastAsia="ja-JP"/>
        </w:rPr>
        <w:t>consider new membership request</w:t>
      </w:r>
      <w:r w:rsidR="000B1A50">
        <w:rPr>
          <w:lang w:eastAsia="ja-JP"/>
        </w:rPr>
        <w:t>s</w:t>
      </w:r>
      <w:r w:rsidR="00C947B3">
        <w:rPr>
          <w:lang w:eastAsia="ja-JP"/>
        </w:rPr>
        <w:t xml:space="preserve"> based on the </w:t>
      </w:r>
      <w:r w:rsidR="000B1A50">
        <w:rPr>
          <w:lang w:eastAsia="ja-JP"/>
        </w:rPr>
        <w:t xml:space="preserve">established </w:t>
      </w:r>
      <w:r w:rsidR="007C5769">
        <w:rPr>
          <w:lang w:eastAsia="ja-JP"/>
        </w:rPr>
        <w:t xml:space="preserve">IMDRF </w:t>
      </w:r>
      <w:proofErr w:type="spellStart"/>
      <w:r w:rsidR="00E35470">
        <w:rPr>
          <w:lang w:eastAsia="ja-JP"/>
        </w:rPr>
        <w:t>ToR</w:t>
      </w:r>
      <w:proofErr w:type="spellEnd"/>
      <w:r w:rsidR="00E35470">
        <w:rPr>
          <w:lang w:eastAsia="ja-JP"/>
        </w:rPr>
        <w:t xml:space="preserve"> and </w:t>
      </w:r>
      <w:r w:rsidR="00C947B3">
        <w:rPr>
          <w:lang w:eastAsia="ja-JP"/>
        </w:rPr>
        <w:t>S</w:t>
      </w:r>
      <w:r w:rsidR="007C5769">
        <w:rPr>
          <w:lang w:eastAsia="ja-JP"/>
        </w:rPr>
        <w:t>tandard Operating Procedures</w:t>
      </w:r>
      <w:r w:rsidR="00C947B3">
        <w:rPr>
          <w:lang w:eastAsia="ja-JP"/>
        </w:rPr>
        <w:t>.</w:t>
      </w:r>
    </w:p>
    <w:p w14:paraId="25587D07" w14:textId="77777777" w:rsidR="0088051F" w:rsidRPr="0088051F" w:rsidRDefault="0088051F">
      <w:pPr>
        <w:keepNext/>
        <w:spacing w:line="360" w:lineRule="auto"/>
        <w:rPr>
          <w:b/>
          <w:bCs/>
          <w:lang w:eastAsia="ja-JP"/>
        </w:rPr>
      </w:pPr>
    </w:p>
    <w:p w14:paraId="4EC14CAF" w14:textId="77777777" w:rsidR="0088051F" w:rsidRPr="0088051F" w:rsidRDefault="00E41BD2" w:rsidP="00E35470">
      <w:pPr>
        <w:pStyle w:val="ListParagraph"/>
        <w:keepNext/>
        <w:spacing w:line="360" w:lineRule="auto"/>
        <w:ind w:leftChars="0" w:left="1440"/>
        <w:rPr>
          <w:b/>
          <w:bCs/>
          <w:lang w:eastAsia="ja-JP"/>
        </w:rPr>
      </w:pPr>
      <w:r>
        <w:rPr>
          <w:b/>
          <w:bCs/>
          <w:lang w:eastAsia="ja-JP"/>
        </w:rPr>
        <w:t>5.</w:t>
      </w:r>
      <w:r>
        <w:rPr>
          <w:b/>
          <w:bCs/>
          <w:lang w:eastAsia="ja-JP"/>
        </w:rPr>
        <w:tab/>
      </w:r>
      <w:r w:rsidR="0088051F" w:rsidRPr="0088051F">
        <w:rPr>
          <w:b/>
          <w:bCs/>
          <w:lang w:eastAsia="ja-JP"/>
        </w:rPr>
        <w:t xml:space="preserve">Review of Progress of </w:t>
      </w:r>
      <w:r w:rsidR="0088051F">
        <w:rPr>
          <w:rFonts w:hint="eastAsia"/>
          <w:b/>
          <w:bCs/>
          <w:lang w:eastAsia="ja-JP"/>
        </w:rPr>
        <w:t xml:space="preserve">IMDRF </w:t>
      </w:r>
      <w:r w:rsidR="0088051F" w:rsidRPr="0088051F">
        <w:rPr>
          <w:b/>
          <w:bCs/>
          <w:lang w:eastAsia="ja-JP"/>
        </w:rPr>
        <w:t>Strategic Plan 2020</w:t>
      </w:r>
    </w:p>
    <w:p w14:paraId="056E56C2" w14:textId="572705C2" w:rsidR="000B1A50" w:rsidRPr="00284407" w:rsidRDefault="0088051F" w:rsidP="000F5023">
      <w:pPr>
        <w:keepNext/>
        <w:spacing w:line="360" w:lineRule="auto"/>
        <w:ind w:firstLineChars="118" w:firstLine="283"/>
        <w:rPr>
          <w:lang w:eastAsia="ja-JP"/>
        </w:rPr>
      </w:pPr>
      <w:r w:rsidRPr="0088051F">
        <w:rPr>
          <w:bCs/>
          <w:lang w:eastAsia="ja-JP"/>
        </w:rPr>
        <w:t xml:space="preserve">The progress of </w:t>
      </w:r>
      <w:r w:rsidR="005D7E46">
        <w:rPr>
          <w:rFonts w:hint="eastAsia"/>
          <w:bCs/>
          <w:lang w:eastAsia="ja-JP"/>
        </w:rPr>
        <w:t xml:space="preserve">IMDRF </w:t>
      </w:r>
      <w:r w:rsidRPr="0088051F">
        <w:rPr>
          <w:bCs/>
          <w:lang w:eastAsia="ja-JP"/>
        </w:rPr>
        <w:t xml:space="preserve">Strategic Plan 2020 will be reviewed in </w:t>
      </w:r>
      <w:r w:rsidR="00A814EC">
        <w:rPr>
          <w:rFonts w:hint="eastAsia"/>
          <w:bCs/>
          <w:lang w:eastAsia="ja-JP"/>
        </w:rPr>
        <w:t xml:space="preserve">the </w:t>
      </w:r>
      <w:r w:rsidRPr="0088051F">
        <w:rPr>
          <w:bCs/>
          <w:lang w:eastAsia="ja-JP"/>
        </w:rPr>
        <w:t xml:space="preserve">IMDRF MC and revised as appropriate. </w:t>
      </w:r>
    </w:p>
    <w:sectPr w:rsidR="000B1A50" w:rsidRPr="00284407" w:rsidSect="000F5023">
      <w:headerReference w:type="default" r:id="rId11"/>
      <w:footerReference w:type="default" r:id="rId12"/>
      <w:pgSz w:w="12240" w:h="15840" w:code="1"/>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73C7C" w14:textId="77777777" w:rsidR="00B3168A" w:rsidRDefault="00B3168A">
      <w:r>
        <w:separator/>
      </w:r>
    </w:p>
  </w:endnote>
  <w:endnote w:type="continuationSeparator" w:id="0">
    <w:p w14:paraId="15699957" w14:textId="77777777" w:rsidR="00B3168A" w:rsidRDefault="00B3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46113A" w14:paraId="54E7368F" w14:textId="77777777">
      <w:tc>
        <w:tcPr>
          <w:tcW w:w="4788" w:type="dxa"/>
        </w:tcPr>
        <w:p w14:paraId="7F1429BC" w14:textId="6AD2F659" w:rsidR="0046113A" w:rsidRDefault="00E11BDF" w:rsidP="00E11BDF">
          <w:pPr>
            <w:pStyle w:val="Footer"/>
            <w:rPr>
              <w:sz w:val="20"/>
              <w:lang w:eastAsia="ja-JP"/>
            </w:rPr>
          </w:pPr>
          <w:r>
            <w:rPr>
              <w:rFonts w:hint="eastAsia"/>
              <w:sz w:val="20"/>
              <w:lang w:eastAsia="ja-JP"/>
            </w:rPr>
            <w:t>2</w:t>
          </w:r>
          <w:r w:rsidR="0046113A">
            <w:rPr>
              <w:sz w:val="20"/>
            </w:rPr>
            <w:t xml:space="preserve"> </w:t>
          </w:r>
          <w:r>
            <w:rPr>
              <w:sz w:val="20"/>
            </w:rPr>
            <w:t>October</w:t>
          </w:r>
          <w:r w:rsidR="0046113A">
            <w:rPr>
              <w:sz w:val="20"/>
            </w:rPr>
            <w:t xml:space="preserve"> 201</w:t>
          </w:r>
          <w:r w:rsidR="0046113A">
            <w:rPr>
              <w:rFonts w:hint="eastAsia"/>
              <w:sz w:val="20"/>
              <w:lang w:eastAsia="ja-JP"/>
            </w:rPr>
            <w:t>5</w:t>
          </w:r>
        </w:p>
      </w:tc>
      <w:tc>
        <w:tcPr>
          <w:tcW w:w="4788" w:type="dxa"/>
        </w:tcPr>
        <w:p w14:paraId="43920C1B" w14:textId="77777777" w:rsidR="0046113A" w:rsidRDefault="0046113A">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A029F5">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A029F5">
            <w:rPr>
              <w:noProof/>
              <w:snapToGrid w:val="0"/>
              <w:sz w:val="20"/>
            </w:rPr>
            <w:t>5</w:t>
          </w:r>
          <w:r>
            <w:rPr>
              <w:snapToGrid w:val="0"/>
              <w:sz w:val="20"/>
            </w:rPr>
            <w:fldChar w:fldCharType="end"/>
          </w:r>
        </w:p>
      </w:tc>
    </w:tr>
  </w:tbl>
  <w:p w14:paraId="4524E21E" w14:textId="77777777" w:rsidR="0046113A" w:rsidRDefault="00461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172B8" w14:textId="77777777" w:rsidR="00B3168A" w:rsidRDefault="00B3168A">
      <w:r>
        <w:separator/>
      </w:r>
    </w:p>
  </w:footnote>
  <w:footnote w:type="continuationSeparator" w:id="0">
    <w:p w14:paraId="543EF8E5" w14:textId="77777777" w:rsidR="00B3168A" w:rsidRDefault="00B31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033FF" w14:textId="77777777" w:rsidR="0046113A" w:rsidRPr="00865C12" w:rsidRDefault="0046113A" w:rsidP="00B42C7B">
    <w:pPr>
      <w:rPr>
        <w:b/>
      </w:rPr>
    </w:pPr>
  </w:p>
  <w:p w14:paraId="390792E8" w14:textId="77777777" w:rsidR="0046113A" w:rsidRDefault="004611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E5255" w14:textId="10DCBE7B" w:rsidR="0046113A" w:rsidRDefault="0046113A">
    <w:pPr>
      <w:pStyle w:val="Header"/>
      <w:jc w:val="center"/>
      <w:rPr>
        <w:sz w:val="20"/>
        <w:lang w:eastAsia="ja-JP"/>
      </w:rPr>
    </w:pPr>
    <w:r>
      <w:rPr>
        <w:sz w:val="20"/>
      </w:rPr>
      <w:t>IMDRF/</w:t>
    </w:r>
    <w:r>
      <w:rPr>
        <w:rFonts w:hint="eastAsia"/>
        <w:sz w:val="20"/>
        <w:lang w:eastAsia="ja-JP"/>
      </w:rPr>
      <w:t>MC/</w:t>
    </w:r>
    <w:r>
      <w:rPr>
        <w:sz w:val="20"/>
      </w:rPr>
      <w:t>N</w:t>
    </w:r>
    <w:r w:rsidR="00043568">
      <w:rPr>
        <w:rFonts w:hint="eastAsia"/>
        <w:sz w:val="20"/>
        <w:lang w:eastAsia="ja-JP"/>
      </w:rPr>
      <w:t xml:space="preserve">39 </w:t>
    </w:r>
    <w:r>
      <w:rPr>
        <w:sz w:val="20"/>
      </w:rPr>
      <w:t>FINAL:</w:t>
    </w:r>
    <w:r w:rsidR="00043568">
      <w:rPr>
        <w:sz w:val="20"/>
      </w:rPr>
      <w:t xml:space="preserve"> </w:t>
    </w:r>
    <w:r>
      <w:rPr>
        <w:sz w:val="20"/>
      </w:rPr>
      <w:t>201</w:t>
    </w:r>
    <w:r>
      <w:rPr>
        <w:rFonts w:hint="eastAsia"/>
        <w:sz w:val="20"/>
        <w:lang w:eastAsia="ja-JP"/>
      </w:rPr>
      <w:t>5</w:t>
    </w:r>
  </w:p>
  <w:p w14:paraId="2A09649E" w14:textId="77777777" w:rsidR="0046113A" w:rsidRPr="001732F8" w:rsidRDefault="0046113A">
    <w:pPr>
      <w:pStyle w:val="Header"/>
      <w:pBdr>
        <w:bottom w:val="single" w:sz="4" w:space="1" w:color="auto"/>
      </w:pBdr>
      <w:jc w:val="center"/>
      <w:rPr>
        <w:sz w:val="16"/>
        <w:szCs w:val="16"/>
      </w:rPr>
    </w:pPr>
  </w:p>
  <w:p w14:paraId="4565BDCA" w14:textId="77777777" w:rsidR="0046113A" w:rsidRDefault="0046113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2883840"/>
    <w:multiLevelType w:val="hybridMultilevel"/>
    <w:tmpl w:val="8620E294"/>
    <w:lvl w:ilvl="0" w:tplc="B428CF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4C47A66"/>
    <w:multiLevelType w:val="hybridMultilevel"/>
    <w:tmpl w:val="717E8D40"/>
    <w:lvl w:ilvl="0" w:tplc="4C583BF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C14504"/>
    <w:multiLevelType w:val="hybridMultilevel"/>
    <w:tmpl w:val="5E323178"/>
    <w:lvl w:ilvl="0" w:tplc="0AEEBE9E">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F4F6F54"/>
    <w:multiLevelType w:val="hybridMultilevel"/>
    <w:tmpl w:val="FDD21CF2"/>
    <w:lvl w:ilvl="0" w:tplc="DA68451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6A20B4C"/>
    <w:multiLevelType w:val="hybridMultilevel"/>
    <w:tmpl w:val="229C45E0"/>
    <w:lvl w:ilvl="0" w:tplc="C396E9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6AF5DDE"/>
    <w:multiLevelType w:val="hybridMultilevel"/>
    <w:tmpl w:val="BE9259DC"/>
    <w:lvl w:ilvl="0" w:tplc="05CCD7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A2B2AB4"/>
    <w:multiLevelType w:val="hybridMultilevel"/>
    <w:tmpl w:val="85242EB0"/>
    <w:lvl w:ilvl="0" w:tplc="A2EA7836">
      <w:start w:val="1"/>
      <w:numFmt w:val="lowerLetter"/>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58555D"/>
    <w:multiLevelType w:val="hybridMultilevel"/>
    <w:tmpl w:val="EFC4F962"/>
    <w:lvl w:ilvl="0" w:tplc="E28254BA">
      <w:start w:val="4"/>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BEB2B54"/>
    <w:multiLevelType w:val="hybridMultilevel"/>
    <w:tmpl w:val="EF4A8B9E"/>
    <w:lvl w:ilvl="0" w:tplc="42448E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4">
    <w:nsid w:val="25155976"/>
    <w:multiLevelType w:val="hybridMultilevel"/>
    <w:tmpl w:val="52F87CB8"/>
    <w:lvl w:ilvl="0" w:tplc="B9FA5F8E">
      <w:start w:val="1"/>
      <w:numFmt w:val="lowerRoma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26745BAF"/>
    <w:multiLevelType w:val="hybridMultilevel"/>
    <w:tmpl w:val="A4249E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29F43F45"/>
    <w:multiLevelType w:val="hybridMultilevel"/>
    <w:tmpl w:val="7BE6BBC2"/>
    <w:lvl w:ilvl="0" w:tplc="0BDEC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A3020BD"/>
    <w:multiLevelType w:val="hybridMultilevel"/>
    <w:tmpl w:val="5AE0B98E"/>
    <w:lvl w:ilvl="0" w:tplc="58843E16">
      <w:start w:val="1"/>
      <w:numFmt w:val="lowerRoma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2A8C01A0"/>
    <w:multiLevelType w:val="hybridMultilevel"/>
    <w:tmpl w:val="8FFE9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23712"/>
    <w:multiLevelType w:val="hybridMultilevel"/>
    <w:tmpl w:val="C0C25BFA"/>
    <w:lvl w:ilvl="0" w:tplc="F622225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FAC1A1F"/>
    <w:multiLevelType w:val="hybridMultilevel"/>
    <w:tmpl w:val="945C378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FBA3845"/>
    <w:multiLevelType w:val="hybridMultilevel"/>
    <w:tmpl w:val="27740B8A"/>
    <w:lvl w:ilvl="0" w:tplc="972CE58E">
      <w:start w:val="1"/>
      <w:numFmt w:val="lowerLetter"/>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nsid w:val="351D552E"/>
    <w:multiLevelType w:val="hybridMultilevel"/>
    <w:tmpl w:val="A3F69924"/>
    <w:lvl w:ilvl="0" w:tplc="5E0EDA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9D015DB"/>
    <w:multiLevelType w:val="hybridMultilevel"/>
    <w:tmpl w:val="12A6ADE6"/>
    <w:lvl w:ilvl="0" w:tplc="A890072A">
      <w:start w:val="2"/>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45410C9"/>
    <w:multiLevelType w:val="hybridMultilevel"/>
    <w:tmpl w:val="3836D6C0"/>
    <w:lvl w:ilvl="0" w:tplc="D506DE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4BB6FF4"/>
    <w:multiLevelType w:val="hybridMultilevel"/>
    <w:tmpl w:val="862832E6"/>
    <w:lvl w:ilvl="0" w:tplc="10D6693E">
      <w:start w:val="1"/>
      <w:numFmt w:val="decimal"/>
      <w:lvlText w:val="%1."/>
      <w:lvlJc w:val="left"/>
      <w:pPr>
        <w:ind w:left="360" w:hanging="360"/>
      </w:pPr>
      <w:rPr>
        <w:rFonts w:hint="default"/>
      </w:rPr>
    </w:lvl>
    <w:lvl w:ilvl="1" w:tplc="04F6C81E">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99F1913"/>
    <w:multiLevelType w:val="hybridMultilevel"/>
    <w:tmpl w:val="D5E2B8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19A579C"/>
    <w:multiLevelType w:val="hybridMultilevel"/>
    <w:tmpl w:val="AEF45866"/>
    <w:lvl w:ilvl="0" w:tplc="B78AC1F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36E5F"/>
    <w:multiLevelType w:val="hybridMultilevel"/>
    <w:tmpl w:val="F0823CD8"/>
    <w:lvl w:ilvl="0" w:tplc="10090017">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588F2B4E"/>
    <w:multiLevelType w:val="hybridMultilevel"/>
    <w:tmpl w:val="35BCE5EC"/>
    <w:lvl w:ilvl="0" w:tplc="10090017">
      <w:start w:val="1"/>
      <w:numFmt w:val="lowerLetter"/>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nsid w:val="5AD85E2E"/>
    <w:multiLevelType w:val="hybridMultilevel"/>
    <w:tmpl w:val="59EC129A"/>
    <w:lvl w:ilvl="0" w:tplc="1E96D3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B1629F9"/>
    <w:multiLevelType w:val="hybridMultilevel"/>
    <w:tmpl w:val="B450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D4287D"/>
    <w:multiLevelType w:val="hybridMultilevel"/>
    <w:tmpl w:val="A8F6909A"/>
    <w:lvl w:ilvl="0" w:tplc="27BA5C7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nsid w:val="6274370F"/>
    <w:multiLevelType w:val="hybridMultilevel"/>
    <w:tmpl w:val="FFA64C38"/>
    <w:lvl w:ilvl="0" w:tplc="10090017">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667852C9"/>
    <w:multiLevelType w:val="hybridMultilevel"/>
    <w:tmpl w:val="BDB8C150"/>
    <w:lvl w:ilvl="0" w:tplc="782C9C24">
      <w:start w:val="4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9215454"/>
    <w:multiLevelType w:val="hybridMultilevel"/>
    <w:tmpl w:val="7F1E2A76"/>
    <w:lvl w:ilvl="0" w:tplc="3676D90E">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nsid w:val="6A451639"/>
    <w:multiLevelType w:val="hybridMultilevel"/>
    <w:tmpl w:val="64544FBE"/>
    <w:lvl w:ilvl="0" w:tplc="93BE55A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A4B1A42"/>
    <w:multiLevelType w:val="hybridMultilevel"/>
    <w:tmpl w:val="1A965D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E75CCD"/>
    <w:multiLevelType w:val="hybridMultilevel"/>
    <w:tmpl w:val="D416C7A8"/>
    <w:lvl w:ilvl="0" w:tplc="58843E16">
      <w:start w:val="1"/>
      <w:numFmt w:val="lowerRoma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nsid w:val="6E521B8D"/>
    <w:multiLevelType w:val="hybridMultilevel"/>
    <w:tmpl w:val="AA1C8C60"/>
    <w:lvl w:ilvl="0" w:tplc="10090017">
      <w:start w:val="1"/>
      <w:numFmt w:val="lowerLetter"/>
      <w:lvlText w:val="%1)"/>
      <w:lvlJc w:val="left"/>
      <w:pPr>
        <w:ind w:left="703" w:hanging="420"/>
      </w:pPr>
      <w:rPr>
        <w:rFonts w:hint="default"/>
      </w:rPr>
    </w:lvl>
    <w:lvl w:ilvl="1" w:tplc="10090017">
      <w:start w:val="1"/>
      <w:numFmt w:val="lowerLetter"/>
      <w:lvlText w:val="%2)"/>
      <w:lvlJc w:val="left"/>
      <w:pPr>
        <w:ind w:left="1123" w:hanging="420"/>
      </w:pPr>
      <w:rPr>
        <w:rFonts w:hint="default"/>
      </w:rPr>
    </w:lvl>
    <w:lvl w:ilvl="2" w:tplc="AC98E5C0">
      <w:start w:val="1"/>
      <w:numFmt w:val="decimal"/>
      <w:lvlText w:val="%3."/>
      <w:lvlJc w:val="left"/>
      <w:pPr>
        <w:ind w:left="1483" w:hanging="360"/>
      </w:pPr>
      <w:rPr>
        <w:rFonts w:hint="default"/>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1">
    <w:nsid w:val="70873AC5"/>
    <w:multiLevelType w:val="hybridMultilevel"/>
    <w:tmpl w:val="B51A5120"/>
    <w:lvl w:ilvl="0" w:tplc="58843E16">
      <w:start w:val="1"/>
      <w:numFmt w:val="lowerRoma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nsid w:val="72B71B8B"/>
    <w:multiLevelType w:val="hybridMultilevel"/>
    <w:tmpl w:val="63762096"/>
    <w:lvl w:ilvl="0" w:tplc="F1C46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E1379B"/>
    <w:multiLevelType w:val="hybridMultilevel"/>
    <w:tmpl w:val="0F628314"/>
    <w:lvl w:ilvl="0" w:tplc="5E4877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nsid w:val="768D545F"/>
    <w:multiLevelType w:val="hybridMultilevel"/>
    <w:tmpl w:val="DBC22316"/>
    <w:lvl w:ilvl="0" w:tplc="2EF6DC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A154F7F"/>
    <w:multiLevelType w:val="hybridMultilevel"/>
    <w:tmpl w:val="A9D8381C"/>
    <w:lvl w:ilvl="0" w:tplc="C58888E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D0F74C0"/>
    <w:multiLevelType w:val="hybridMultilevel"/>
    <w:tmpl w:val="22C09EC8"/>
    <w:lvl w:ilvl="0" w:tplc="92B0FB6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2"/>
  </w:num>
  <w:num w:numId="3">
    <w:abstractNumId w:val="1"/>
  </w:num>
  <w:num w:numId="4">
    <w:abstractNumId w:val="13"/>
  </w:num>
  <w:num w:numId="5">
    <w:abstractNumId w:val="35"/>
  </w:num>
  <w:num w:numId="6">
    <w:abstractNumId w:val="0"/>
  </w:num>
  <w:num w:numId="7">
    <w:abstractNumId w:val="25"/>
  </w:num>
  <w:num w:numId="8">
    <w:abstractNumId w:val="19"/>
  </w:num>
  <w:num w:numId="9">
    <w:abstractNumId w:val="11"/>
  </w:num>
  <w:num w:numId="10">
    <w:abstractNumId w:val="16"/>
  </w:num>
  <w:num w:numId="11">
    <w:abstractNumId w:val="8"/>
  </w:num>
  <w:num w:numId="12">
    <w:abstractNumId w:val="44"/>
  </w:num>
  <w:num w:numId="13">
    <w:abstractNumId w:val="4"/>
  </w:num>
  <w:num w:numId="14">
    <w:abstractNumId w:val="5"/>
  </w:num>
  <w:num w:numId="15">
    <w:abstractNumId w:val="9"/>
  </w:num>
  <w:num w:numId="16">
    <w:abstractNumId w:val="7"/>
  </w:num>
  <w:num w:numId="17">
    <w:abstractNumId w:val="45"/>
  </w:num>
  <w:num w:numId="18">
    <w:abstractNumId w:val="26"/>
  </w:num>
  <w:num w:numId="19">
    <w:abstractNumId w:val="3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0"/>
  </w:num>
  <w:num w:numId="26">
    <w:abstractNumId w:val="23"/>
  </w:num>
  <w:num w:numId="27">
    <w:abstractNumId w:val="46"/>
  </w:num>
  <w:num w:numId="28">
    <w:abstractNumId w:val="24"/>
  </w:num>
  <w:num w:numId="29">
    <w:abstractNumId w:val="36"/>
  </w:num>
  <w:num w:numId="30">
    <w:abstractNumId w:val="12"/>
  </w:num>
  <w:num w:numId="31">
    <w:abstractNumId w:val="6"/>
  </w:num>
  <w:num w:numId="32">
    <w:abstractNumId w:val="33"/>
  </w:num>
  <w:num w:numId="33">
    <w:abstractNumId w:val="22"/>
  </w:num>
  <w:num w:numId="34">
    <w:abstractNumId w:val="28"/>
  </w:num>
  <w:num w:numId="35">
    <w:abstractNumId w:val="29"/>
  </w:num>
  <w:num w:numId="36">
    <w:abstractNumId w:val="40"/>
  </w:num>
  <w:num w:numId="37">
    <w:abstractNumId w:val="43"/>
  </w:num>
  <w:num w:numId="38">
    <w:abstractNumId w:val="21"/>
  </w:num>
  <w:num w:numId="39">
    <w:abstractNumId w:val="14"/>
  </w:num>
  <w:num w:numId="40">
    <w:abstractNumId w:val="41"/>
  </w:num>
  <w:num w:numId="41">
    <w:abstractNumId w:val="17"/>
  </w:num>
  <w:num w:numId="42">
    <w:abstractNumId w:val="39"/>
  </w:num>
  <w:num w:numId="43">
    <w:abstractNumId w:val="32"/>
  </w:num>
  <w:num w:numId="44">
    <w:abstractNumId w:val="18"/>
  </w:num>
  <w:num w:numId="45">
    <w:abstractNumId w:val="37"/>
  </w:num>
  <w:num w:numId="46">
    <w:abstractNumId w:val="38"/>
  </w:num>
  <w:num w:numId="47">
    <w:abstractNumId w:val="27"/>
  </w:num>
  <w:num w:numId="48">
    <w:abstractNumId w:val="31"/>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GHTF DOCUMENT TEMPLATE"/>
  </w:docVars>
  <w:rsids>
    <w:rsidRoot w:val="00BC61A2"/>
    <w:rsid w:val="00024052"/>
    <w:rsid w:val="000304DC"/>
    <w:rsid w:val="000344AE"/>
    <w:rsid w:val="0003534A"/>
    <w:rsid w:val="00043397"/>
    <w:rsid w:val="00043568"/>
    <w:rsid w:val="000617E2"/>
    <w:rsid w:val="000770E1"/>
    <w:rsid w:val="00085957"/>
    <w:rsid w:val="00090CD3"/>
    <w:rsid w:val="00093677"/>
    <w:rsid w:val="00096D1B"/>
    <w:rsid w:val="000B1A50"/>
    <w:rsid w:val="000F16FC"/>
    <w:rsid w:val="000F3225"/>
    <w:rsid w:val="000F5023"/>
    <w:rsid w:val="00101BC2"/>
    <w:rsid w:val="00104193"/>
    <w:rsid w:val="001100BF"/>
    <w:rsid w:val="00137834"/>
    <w:rsid w:val="001732F8"/>
    <w:rsid w:val="00176E0B"/>
    <w:rsid w:val="0018003D"/>
    <w:rsid w:val="00190534"/>
    <w:rsid w:val="001A6533"/>
    <w:rsid w:val="001B4852"/>
    <w:rsid w:val="001F3FC4"/>
    <w:rsid w:val="00236992"/>
    <w:rsid w:val="00241329"/>
    <w:rsid w:val="002753BB"/>
    <w:rsid w:val="00284407"/>
    <w:rsid w:val="00291B46"/>
    <w:rsid w:val="00292A26"/>
    <w:rsid w:val="002B0925"/>
    <w:rsid w:val="00327080"/>
    <w:rsid w:val="00342871"/>
    <w:rsid w:val="003515E5"/>
    <w:rsid w:val="00354199"/>
    <w:rsid w:val="00391DB8"/>
    <w:rsid w:val="003A3F2C"/>
    <w:rsid w:val="003B3E4F"/>
    <w:rsid w:val="003B5BC0"/>
    <w:rsid w:val="003D163A"/>
    <w:rsid w:val="003E41AE"/>
    <w:rsid w:val="00402815"/>
    <w:rsid w:val="00417D27"/>
    <w:rsid w:val="004340BF"/>
    <w:rsid w:val="0045286D"/>
    <w:rsid w:val="00457076"/>
    <w:rsid w:val="00457197"/>
    <w:rsid w:val="0046113A"/>
    <w:rsid w:val="004617AC"/>
    <w:rsid w:val="004679BA"/>
    <w:rsid w:val="00470E93"/>
    <w:rsid w:val="004916A8"/>
    <w:rsid w:val="004A689A"/>
    <w:rsid w:val="004B626A"/>
    <w:rsid w:val="004D1A26"/>
    <w:rsid w:val="004D2146"/>
    <w:rsid w:val="004E28FB"/>
    <w:rsid w:val="004E4E0A"/>
    <w:rsid w:val="004F11DE"/>
    <w:rsid w:val="004F410B"/>
    <w:rsid w:val="005219B9"/>
    <w:rsid w:val="005249A1"/>
    <w:rsid w:val="00557BBA"/>
    <w:rsid w:val="005659C2"/>
    <w:rsid w:val="005727D2"/>
    <w:rsid w:val="005C2DD0"/>
    <w:rsid w:val="005D7E46"/>
    <w:rsid w:val="005E287D"/>
    <w:rsid w:val="005E7BC8"/>
    <w:rsid w:val="005F0560"/>
    <w:rsid w:val="005F63E5"/>
    <w:rsid w:val="00601571"/>
    <w:rsid w:val="00601604"/>
    <w:rsid w:val="00605696"/>
    <w:rsid w:val="00621BB0"/>
    <w:rsid w:val="00625AAA"/>
    <w:rsid w:val="00631083"/>
    <w:rsid w:val="00641029"/>
    <w:rsid w:val="00643A49"/>
    <w:rsid w:val="00645F91"/>
    <w:rsid w:val="0064610C"/>
    <w:rsid w:val="00672D03"/>
    <w:rsid w:val="00674A00"/>
    <w:rsid w:val="006B4723"/>
    <w:rsid w:val="006B610C"/>
    <w:rsid w:val="006B6142"/>
    <w:rsid w:val="006B7571"/>
    <w:rsid w:val="006C2571"/>
    <w:rsid w:val="006C5AC0"/>
    <w:rsid w:val="006E24E5"/>
    <w:rsid w:val="006F4EDB"/>
    <w:rsid w:val="0070163B"/>
    <w:rsid w:val="00705D7E"/>
    <w:rsid w:val="00712275"/>
    <w:rsid w:val="00713320"/>
    <w:rsid w:val="007325B5"/>
    <w:rsid w:val="0073499E"/>
    <w:rsid w:val="00741841"/>
    <w:rsid w:val="00752DF5"/>
    <w:rsid w:val="00754D29"/>
    <w:rsid w:val="007613C6"/>
    <w:rsid w:val="0077708B"/>
    <w:rsid w:val="007A661E"/>
    <w:rsid w:val="007C2FD4"/>
    <w:rsid w:val="007C5769"/>
    <w:rsid w:val="007D2D73"/>
    <w:rsid w:val="00825ACA"/>
    <w:rsid w:val="00832FAA"/>
    <w:rsid w:val="0083586F"/>
    <w:rsid w:val="00843AF8"/>
    <w:rsid w:val="00856307"/>
    <w:rsid w:val="00865C12"/>
    <w:rsid w:val="0088051F"/>
    <w:rsid w:val="008826CD"/>
    <w:rsid w:val="008C5D3B"/>
    <w:rsid w:val="008D097B"/>
    <w:rsid w:val="008E3E1A"/>
    <w:rsid w:val="00903A11"/>
    <w:rsid w:val="00933580"/>
    <w:rsid w:val="009357CA"/>
    <w:rsid w:val="009526C3"/>
    <w:rsid w:val="00955884"/>
    <w:rsid w:val="009637A5"/>
    <w:rsid w:val="00982125"/>
    <w:rsid w:val="009920E2"/>
    <w:rsid w:val="009935C1"/>
    <w:rsid w:val="00996776"/>
    <w:rsid w:val="009A70E1"/>
    <w:rsid w:val="009C7FF9"/>
    <w:rsid w:val="009D2AB6"/>
    <w:rsid w:val="009E4CCA"/>
    <w:rsid w:val="00A029F5"/>
    <w:rsid w:val="00A15F32"/>
    <w:rsid w:val="00A22B31"/>
    <w:rsid w:val="00A251DC"/>
    <w:rsid w:val="00A43F42"/>
    <w:rsid w:val="00A470BE"/>
    <w:rsid w:val="00A51946"/>
    <w:rsid w:val="00A8126B"/>
    <w:rsid w:val="00A814EC"/>
    <w:rsid w:val="00AC5924"/>
    <w:rsid w:val="00AD07A3"/>
    <w:rsid w:val="00AD3291"/>
    <w:rsid w:val="00AE2020"/>
    <w:rsid w:val="00B0154B"/>
    <w:rsid w:val="00B10B9E"/>
    <w:rsid w:val="00B3168A"/>
    <w:rsid w:val="00B31FB7"/>
    <w:rsid w:val="00B31FE2"/>
    <w:rsid w:val="00B42C7B"/>
    <w:rsid w:val="00B51964"/>
    <w:rsid w:val="00B55257"/>
    <w:rsid w:val="00B64DFE"/>
    <w:rsid w:val="00B65343"/>
    <w:rsid w:val="00B753BE"/>
    <w:rsid w:val="00B80989"/>
    <w:rsid w:val="00B81007"/>
    <w:rsid w:val="00BA1E3E"/>
    <w:rsid w:val="00BA351B"/>
    <w:rsid w:val="00BC61A2"/>
    <w:rsid w:val="00BD7C18"/>
    <w:rsid w:val="00BE05E3"/>
    <w:rsid w:val="00BE479B"/>
    <w:rsid w:val="00BF14BD"/>
    <w:rsid w:val="00BF40A8"/>
    <w:rsid w:val="00C21657"/>
    <w:rsid w:val="00C46D3F"/>
    <w:rsid w:val="00C649EB"/>
    <w:rsid w:val="00C76FFC"/>
    <w:rsid w:val="00C947B3"/>
    <w:rsid w:val="00CB3585"/>
    <w:rsid w:val="00CB3F62"/>
    <w:rsid w:val="00CB7B36"/>
    <w:rsid w:val="00CD519C"/>
    <w:rsid w:val="00D13CDF"/>
    <w:rsid w:val="00D42F98"/>
    <w:rsid w:val="00D64CF6"/>
    <w:rsid w:val="00D65FAF"/>
    <w:rsid w:val="00D67A4D"/>
    <w:rsid w:val="00D7538D"/>
    <w:rsid w:val="00D8054A"/>
    <w:rsid w:val="00D8068B"/>
    <w:rsid w:val="00D81096"/>
    <w:rsid w:val="00D93BB7"/>
    <w:rsid w:val="00D96D36"/>
    <w:rsid w:val="00DA55F4"/>
    <w:rsid w:val="00DB5B29"/>
    <w:rsid w:val="00DD5211"/>
    <w:rsid w:val="00DE63F0"/>
    <w:rsid w:val="00DF2F9D"/>
    <w:rsid w:val="00E10EAF"/>
    <w:rsid w:val="00E11BDF"/>
    <w:rsid w:val="00E35470"/>
    <w:rsid w:val="00E41BD2"/>
    <w:rsid w:val="00E72602"/>
    <w:rsid w:val="00EB18AE"/>
    <w:rsid w:val="00EB3375"/>
    <w:rsid w:val="00EC28C4"/>
    <w:rsid w:val="00EC2A63"/>
    <w:rsid w:val="00EC4964"/>
    <w:rsid w:val="00EC4BFB"/>
    <w:rsid w:val="00ED1452"/>
    <w:rsid w:val="00EF2898"/>
    <w:rsid w:val="00F04D22"/>
    <w:rsid w:val="00F10568"/>
    <w:rsid w:val="00F22D27"/>
    <w:rsid w:val="00F24943"/>
    <w:rsid w:val="00F65B5E"/>
    <w:rsid w:val="00F70026"/>
    <w:rsid w:val="00F81E26"/>
    <w:rsid w:val="00F85209"/>
    <w:rsid w:val="00FA2398"/>
    <w:rsid w:val="00FC2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41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1A"/>
    <w:rPr>
      <w:sz w:val="24"/>
    </w:rPr>
  </w:style>
  <w:style w:type="paragraph" w:styleId="Heading1">
    <w:name w:val="heading 1"/>
    <w:basedOn w:val="Normal"/>
    <w:next w:val="Normal"/>
    <w:qFormat/>
    <w:rsid w:val="008E3E1A"/>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8E3E1A"/>
    <w:pPr>
      <w:keepNext/>
      <w:numPr>
        <w:ilvl w:val="1"/>
        <w:numId w:val="4"/>
      </w:numPr>
      <w:spacing w:before="240" w:after="240"/>
      <w:outlineLvl w:val="1"/>
    </w:pPr>
    <w:rPr>
      <w:b/>
    </w:rPr>
  </w:style>
  <w:style w:type="paragraph" w:styleId="Heading3">
    <w:name w:val="heading 3"/>
    <w:basedOn w:val="Heading2"/>
    <w:next w:val="Normal"/>
    <w:qFormat/>
    <w:rsid w:val="008E3E1A"/>
    <w:pPr>
      <w:numPr>
        <w:ilvl w:val="2"/>
      </w:numPr>
      <w:outlineLvl w:val="2"/>
    </w:pPr>
  </w:style>
  <w:style w:type="paragraph" w:styleId="Heading4">
    <w:name w:val="heading 4"/>
    <w:basedOn w:val="Normal"/>
    <w:next w:val="Normal"/>
    <w:qFormat/>
    <w:rsid w:val="008E3E1A"/>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3E1A"/>
    <w:pPr>
      <w:tabs>
        <w:tab w:val="center" w:pos="4320"/>
        <w:tab w:val="right" w:pos="8640"/>
      </w:tabs>
    </w:pPr>
  </w:style>
  <w:style w:type="paragraph" w:styleId="Footer">
    <w:name w:val="footer"/>
    <w:basedOn w:val="Normal"/>
    <w:semiHidden/>
    <w:rsid w:val="008E3E1A"/>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51F"/>
    <w:pPr>
      <w:ind w:leftChars="400" w:left="840"/>
    </w:pPr>
  </w:style>
  <w:style w:type="character" w:styleId="CommentReference">
    <w:name w:val="annotation reference"/>
    <w:basedOn w:val="DefaultParagraphFont"/>
    <w:uiPriority w:val="99"/>
    <w:semiHidden/>
    <w:unhideWhenUsed/>
    <w:rsid w:val="005D7E46"/>
    <w:rPr>
      <w:sz w:val="18"/>
      <w:szCs w:val="18"/>
    </w:rPr>
  </w:style>
  <w:style w:type="paragraph" w:styleId="CommentText">
    <w:name w:val="annotation text"/>
    <w:basedOn w:val="Normal"/>
    <w:link w:val="CommentTextChar"/>
    <w:uiPriority w:val="99"/>
    <w:unhideWhenUsed/>
    <w:rsid w:val="005D7E46"/>
  </w:style>
  <w:style w:type="character" w:customStyle="1" w:styleId="CommentTextChar">
    <w:name w:val="Comment Text Char"/>
    <w:basedOn w:val="DefaultParagraphFont"/>
    <w:link w:val="CommentText"/>
    <w:uiPriority w:val="99"/>
    <w:rsid w:val="005D7E46"/>
    <w:rPr>
      <w:sz w:val="24"/>
    </w:rPr>
  </w:style>
  <w:style w:type="paragraph" w:styleId="CommentSubject">
    <w:name w:val="annotation subject"/>
    <w:basedOn w:val="CommentText"/>
    <w:next w:val="CommentText"/>
    <w:link w:val="CommentSubjectChar"/>
    <w:uiPriority w:val="99"/>
    <w:semiHidden/>
    <w:unhideWhenUsed/>
    <w:rsid w:val="005D7E46"/>
    <w:rPr>
      <w:b/>
      <w:bCs/>
    </w:rPr>
  </w:style>
  <w:style w:type="character" w:customStyle="1" w:styleId="CommentSubjectChar">
    <w:name w:val="Comment Subject Char"/>
    <w:basedOn w:val="CommentTextChar"/>
    <w:link w:val="CommentSubject"/>
    <w:uiPriority w:val="99"/>
    <w:semiHidden/>
    <w:rsid w:val="005D7E46"/>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1A"/>
    <w:rPr>
      <w:sz w:val="24"/>
    </w:rPr>
  </w:style>
  <w:style w:type="paragraph" w:styleId="Heading1">
    <w:name w:val="heading 1"/>
    <w:basedOn w:val="Normal"/>
    <w:next w:val="Normal"/>
    <w:qFormat/>
    <w:rsid w:val="008E3E1A"/>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8E3E1A"/>
    <w:pPr>
      <w:keepNext/>
      <w:numPr>
        <w:ilvl w:val="1"/>
        <w:numId w:val="4"/>
      </w:numPr>
      <w:spacing w:before="240" w:after="240"/>
      <w:outlineLvl w:val="1"/>
    </w:pPr>
    <w:rPr>
      <w:b/>
    </w:rPr>
  </w:style>
  <w:style w:type="paragraph" w:styleId="Heading3">
    <w:name w:val="heading 3"/>
    <w:basedOn w:val="Heading2"/>
    <w:next w:val="Normal"/>
    <w:qFormat/>
    <w:rsid w:val="008E3E1A"/>
    <w:pPr>
      <w:numPr>
        <w:ilvl w:val="2"/>
      </w:numPr>
      <w:outlineLvl w:val="2"/>
    </w:pPr>
  </w:style>
  <w:style w:type="paragraph" w:styleId="Heading4">
    <w:name w:val="heading 4"/>
    <w:basedOn w:val="Normal"/>
    <w:next w:val="Normal"/>
    <w:qFormat/>
    <w:rsid w:val="008E3E1A"/>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3E1A"/>
    <w:pPr>
      <w:tabs>
        <w:tab w:val="center" w:pos="4320"/>
        <w:tab w:val="right" w:pos="8640"/>
      </w:tabs>
    </w:pPr>
  </w:style>
  <w:style w:type="paragraph" w:styleId="Footer">
    <w:name w:val="footer"/>
    <w:basedOn w:val="Normal"/>
    <w:semiHidden/>
    <w:rsid w:val="008E3E1A"/>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51F"/>
    <w:pPr>
      <w:ind w:leftChars="400" w:left="840"/>
    </w:pPr>
  </w:style>
  <w:style w:type="character" w:styleId="CommentReference">
    <w:name w:val="annotation reference"/>
    <w:basedOn w:val="DefaultParagraphFont"/>
    <w:uiPriority w:val="99"/>
    <w:semiHidden/>
    <w:unhideWhenUsed/>
    <w:rsid w:val="005D7E46"/>
    <w:rPr>
      <w:sz w:val="18"/>
      <w:szCs w:val="18"/>
    </w:rPr>
  </w:style>
  <w:style w:type="paragraph" w:styleId="CommentText">
    <w:name w:val="annotation text"/>
    <w:basedOn w:val="Normal"/>
    <w:link w:val="CommentTextChar"/>
    <w:uiPriority w:val="99"/>
    <w:unhideWhenUsed/>
    <w:rsid w:val="005D7E46"/>
  </w:style>
  <w:style w:type="character" w:customStyle="1" w:styleId="CommentTextChar">
    <w:name w:val="Comment Text Char"/>
    <w:basedOn w:val="DefaultParagraphFont"/>
    <w:link w:val="CommentText"/>
    <w:uiPriority w:val="99"/>
    <w:rsid w:val="005D7E46"/>
    <w:rPr>
      <w:sz w:val="24"/>
    </w:rPr>
  </w:style>
  <w:style w:type="paragraph" w:styleId="CommentSubject">
    <w:name w:val="annotation subject"/>
    <w:basedOn w:val="CommentText"/>
    <w:next w:val="CommentText"/>
    <w:link w:val="CommentSubjectChar"/>
    <w:uiPriority w:val="99"/>
    <w:semiHidden/>
    <w:unhideWhenUsed/>
    <w:rsid w:val="005D7E46"/>
    <w:rPr>
      <w:b/>
      <w:bCs/>
    </w:rPr>
  </w:style>
  <w:style w:type="character" w:customStyle="1" w:styleId="CommentSubjectChar">
    <w:name w:val="Comment Subject Char"/>
    <w:basedOn w:val="CommentTextChar"/>
    <w:link w:val="CommentSubject"/>
    <w:uiPriority w:val="99"/>
    <w:semiHidden/>
    <w:rsid w:val="005D7E4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7019">
      <w:bodyDiv w:val="1"/>
      <w:marLeft w:val="0"/>
      <w:marRight w:val="0"/>
      <w:marTop w:val="0"/>
      <w:marBottom w:val="0"/>
      <w:divBdr>
        <w:top w:val="none" w:sz="0" w:space="0" w:color="auto"/>
        <w:left w:val="none" w:sz="0" w:space="0" w:color="auto"/>
        <w:bottom w:val="none" w:sz="0" w:space="0" w:color="auto"/>
        <w:right w:val="none" w:sz="0" w:space="0" w:color="auto"/>
      </w:divBdr>
    </w:div>
    <w:div w:id="267081031">
      <w:bodyDiv w:val="1"/>
      <w:marLeft w:val="0"/>
      <w:marRight w:val="0"/>
      <w:marTop w:val="0"/>
      <w:marBottom w:val="0"/>
      <w:divBdr>
        <w:top w:val="none" w:sz="0" w:space="0" w:color="auto"/>
        <w:left w:val="none" w:sz="0" w:space="0" w:color="auto"/>
        <w:bottom w:val="none" w:sz="0" w:space="0" w:color="auto"/>
        <w:right w:val="none" w:sz="0" w:space="0" w:color="auto"/>
      </w:divBdr>
    </w:div>
    <w:div w:id="343168568">
      <w:bodyDiv w:val="1"/>
      <w:marLeft w:val="0"/>
      <w:marRight w:val="0"/>
      <w:marTop w:val="0"/>
      <w:marBottom w:val="0"/>
      <w:divBdr>
        <w:top w:val="none" w:sz="0" w:space="0" w:color="auto"/>
        <w:left w:val="none" w:sz="0" w:space="0" w:color="auto"/>
        <w:bottom w:val="none" w:sz="0" w:space="0" w:color="auto"/>
        <w:right w:val="none" w:sz="0" w:space="0" w:color="auto"/>
      </w:divBdr>
    </w:div>
    <w:div w:id="443815870">
      <w:bodyDiv w:val="1"/>
      <w:marLeft w:val="0"/>
      <w:marRight w:val="0"/>
      <w:marTop w:val="0"/>
      <w:marBottom w:val="0"/>
      <w:divBdr>
        <w:top w:val="none" w:sz="0" w:space="0" w:color="auto"/>
        <w:left w:val="none" w:sz="0" w:space="0" w:color="auto"/>
        <w:bottom w:val="none" w:sz="0" w:space="0" w:color="auto"/>
        <w:right w:val="none" w:sz="0" w:space="0" w:color="auto"/>
      </w:divBdr>
    </w:div>
    <w:div w:id="470247940">
      <w:bodyDiv w:val="1"/>
      <w:marLeft w:val="0"/>
      <w:marRight w:val="0"/>
      <w:marTop w:val="0"/>
      <w:marBottom w:val="0"/>
      <w:divBdr>
        <w:top w:val="none" w:sz="0" w:space="0" w:color="auto"/>
        <w:left w:val="none" w:sz="0" w:space="0" w:color="auto"/>
        <w:bottom w:val="none" w:sz="0" w:space="0" w:color="auto"/>
        <w:right w:val="none" w:sz="0" w:space="0" w:color="auto"/>
      </w:divBdr>
    </w:div>
    <w:div w:id="600994032">
      <w:bodyDiv w:val="1"/>
      <w:marLeft w:val="0"/>
      <w:marRight w:val="0"/>
      <w:marTop w:val="0"/>
      <w:marBottom w:val="0"/>
      <w:divBdr>
        <w:top w:val="none" w:sz="0" w:space="0" w:color="auto"/>
        <w:left w:val="none" w:sz="0" w:space="0" w:color="auto"/>
        <w:bottom w:val="none" w:sz="0" w:space="0" w:color="auto"/>
        <w:right w:val="none" w:sz="0" w:space="0" w:color="auto"/>
      </w:divBdr>
    </w:div>
    <w:div w:id="702294112">
      <w:bodyDiv w:val="1"/>
      <w:marLeft w:val="0"/>
      <w:marRight w:val="0"/>
      <w:marTop w:val="0"/>
      <w:marBottom w:val="0"/>
      <w:divBdr>
        <w:top w:val="none" w:sz="0" w:space="0" w:color="auto"/>
        <w:left w:val="none" w:sz="0" w:space="0" w:color="auto"/>
        <w:bottom w:val="none" w:sz="0" w:space="0" w:color="auto"/>
        <w:right w:val="none" w:sz="0" w:space="0" w:color="auto"/>
      </w:divBdr>
    </w:div>
    <w:div w:id="744230642">
      <w:bodyDiv w:val="1"/>
      <w:marLeft w:val="0"/>
      <w:marRight w:val="0"/>
      <w:marTop w:val="0"/>
      <w:marBottom w:val="0"/>
      <w:divBdr>
        <w:top w:val="none" w:sz="0" w:space="0" w:color="auto"/>
        <w:left w:val="none" w:sz="0" w:space="0" w:color="auto"/>
        <w:bottom w:val="none" w:sz="0" w:space="0" w:color="auto"/>
        <w:right w:val="none" w:sz="0" w:space="0" w:color="auto"/>
      </w:divBdr>
    </w:div>
    <w:div w:id="968776407">
      <w:bodyDiv w:val="1"/>
      <w:marLeft w:val="0"/>
      <w:marRight w:val="0"/>
      <w:marTop w:val="0"/>
      <w:marBottom w:val="0"/>
      <w:divBdr>
        <w:top w:val="none" w:sz="0" w:space="0" w:color="auto"/>
        <w:left w:val="none" w:sz="0" w:space="0" w:color="auto"/>
        <w:bottom w:val="none" w:sz="0" w:space="0" w:color="auto"/>
        <w:right w:val="none" w:sz="0" w:space="0" w:color="auto"/>
      </w:divBdr>
    </w:div>
    <w:div w:id="1046638208">
      <w:bodyDiv w:val="1"/>
      <w:marLeft w:val="0"/>
      <w:marRight w:val="0"/>
      <w:marTop w:val="0"/>
      <w:marBottom w:val="0"/>
      <w:divBdr>
        <w:top w:val="none" w:sz="0" w:space="0" w:color="auto"/>
        <w:left w:val="none" w:sz="0" w:space="0" w:color="auto"/>
        <w:bottom w:val="none" w:sz="0" w:space="0" w:color="auto"/>
        <w:right w:val="none" w:sz="0" w:space="0" w:color="auto"/>
      </w:divBdr>
    </w:div>
    <w:div w:id="1139304418">
      <w:bodyDiv w:val="1"/>
      <w:marLeft w:val="0"/>
      <w:marRight w:val="0"/>
      <w:marTop w:val="0"/>
      <w:marBottom w:val="0"/>
      <w:divBdr>
        <w:top w:val="none" w:sz="0" w:space="0" w:color="auto"/>
        <w:left w:val="none" w:sz="0" w:space="0" w:color="auto"/>
        <w:bottom w:val="none" w:sz="0" w:space="0" w:color="auto"/>
        <w:right w:val="none" w:sz="0" w:space="0" w:color="auto"/>
      </w:divBdr>
    </w:div>
    <w:div w:id="1157377846">
      <w:bodyDiv w:val="1"/>
      <w:marLeft w:val="0"/>
      <w:marRight w:val="0"/>
      <w:marTop w:val="0"/>
      <w:marBottom w:val="0"/>
      <w:divBdr>
        <w:top w:val="none" w:sz="0" w:space="0" w:color="auto"/>
        <w:left w:val="none" w:sz="0" w:space="0" w:color="auto"/>
        <w:bottom w:val="none" w:sz="0" w:space="0" w:color="auto"/>
        <w:right w:val="none" w:sz="0" w:space="0" w:color="auto"/>
      </w:divBdr>
    </w:div>
    <w:div w:id="1201552798">
      <w:bodyDiv w:val="1"/>
      <w:marLeft w:val="0"/>
      <w:marRight w:val="0"/>
      <w:marTop w:val="0"/>
      <w:marBottom w:val="0"/>
      <w:divBdr>
        <w:top w:val="none" w:sz="0" w:space="0" w:color="auto"/>
        <w:left w:val="none" w:sz="0" w:space="0" w:color="auto"/>
        <w:bottom w:val="none" w:sz="0" w:space="0" w:color="auto"/>
        <w:right w:val="none" w:sz="0" w:space="0" w:color="auto"/>
      </w:divBdr>
    </w:div>
    <w:div w:id="1934433671">
      <w:bodyDiv w:val="1"/>
      <w:marLeft w:val="0"/>
      <w:marRight w:val="0"/>
      <w:marTop w:val="0"/>
      <w:marBottom w:val="0"/>
      <w:divBdr>
        <w:top w:val="none" w:sz="0" w:space="0" w:color="auto"/>
        <w:left w:val="none" w:sz="0" w:space="0" w:color="auto"/>
        <w:bottom w:val="none" w:sz="0" w:space="0" w:color="auto"/>
        <w:right w:val="none" w:sz="0" w:space="0" w:color="auto"/>
      </w:divBdr>
    </w:div>
    <w:div w:id="2091192898">
      <w:bodyDiv w:val="1"/>
      <w:marLeft w:val="0"/>
      <w:marRight w:val="0"/>
      <w:marTop w:val="0"/>
      <w:marBottom w:val="0"/>
      <w:divBdr>
        <w:top w:val="none" w:sz="0" w:space="0" w:color="auto"/>
        <w:left w:val="none" w:sz="0" w:space="0" w:color="auto"/>
        <w:bottom w:val="none" w:sz="0" w:space="0" w:color="auto"/>
        <w:right w:val="none" w:sz="0" w:space="0" w:color="auto"/>
      </w:divBdr>
    </w:div>
    <w:div w:id="20980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FCD0-2DD5-4BFF-93EE-C6BF429F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7</TotalTime>
  <Pages>5</Pages>
  <Words>1211</Words>
  <Characters>7189</Characters>
  <Application>Microsoft Office Word</Application>
  <DocSecurity>0</DocSecurity>
  <Lines>59</Lines>
  <Paragraphs>16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IMDRF Strategic Plan 2020</vt:lpstr>
      <vt:lpstr>MDSAP: Overview of Auditing Organization Assessment and Recognition Decision Related Processes</vt:lpstr>
      <vt:lpstr>MDSAP: Overview of Auditing Organization Assessment and Recognition Decision Related Processes</vt:lpstr>
    </vt:vector>
  </TitlesOfParts>
  <Company>IMDRF</Company>
  <LinksUpToDate>false</LinksUpToDate>
  <CharactersWithSpaces>8384</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Strategic Plan 2020</dc:title>
  <dc:subject>procedural document</dc:subject>
  <dc:creator>IMDRF</dc:creator>
  <cp:keywords>medical device, regulation, imdrf</cp:keywords>
  <cp:lastModifiedBy>Sheppard, Fran</cp:lastModifiedBy>
  <cp:revision>8</cp:revision>
  <cp:lastPrinted>2015-09-15T08:25:00Z</cp:lastPrinted>
  <dcterms:created xsi:type="dcterms:W3CDTF">2015-09-17T04:09:00Z</dcterms:created>
  <dcterms:modified xsi:type="dcterms:W3CDTF">2015-10-14T06:35:00Z</dcterms:modified>
</cp:coreProperties>
</file>