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DAE" w14:textId="5CC8D09F" w:rsidR="005219B9" w:rsidRDefault="00641029" w:rsidP="00DC663B">
      <w:pPr>
        <w:pBdr>
          <w:top w:val="single" w:sz="6" w:space="0" w:color="000000"/>
          <w:left w:val="single" w:sz="6" w:space="0" w:color="000000"/>
          <w:bottom w:val="single" w:sz="6" w:space="0" w:color="000000"/>
          <w:right w:val="single" w:sz="6" w:space="0" w:color="000000"/>
        </w:pBdr>
        <w:tabs>
          <w:tab w:val="right" w:pos="9360"/>
        </w:tabs>
        <w:wordWrap w:val="0"/>
        <w:jc w:val="right"/>
        <w:rPr>
          <w:b/>
          <w:lang w:eastAsia="ja-JP"/>
        </w:rPr>
      </w:pPr>
      <w:r>
        <w:rPr>
          <w:b/>
        </w:rPr>
        <w:t>IMDRF/</w:t>
      </w:r>
      <w:r w:rsidR="00631083">
        <w:rPr>
          <w:rFonts w:hint="eastAsia"/>
          <w:b/>
          <w:lang w:eastAsia="ja-JP"/>
        </w:rPr>
        <w:t>MC/</w:t>
      </w:r>
      <w:r>
        <w:rPr>
          <w:b/>
        </w:rPr>
        <w:t>N</w:t>
      </w:r>
      <w:r w:rsidR="00DC663B">
        <w:rPr>
          <w:rFonts w:hint="eastAsia"/>
          <w:b/>
          <w:lang w:eastAsia="ja-JP"/>
        </w:rPr>
        <w:t xml:space="preserve">38 </w:t>
      </w:r>
      <w:r>
        <w:rPr>
          <w:b/>
        </w:rPr>
        <w:t>FINAL:</w:t>
      </w:r>
      <w:r w:rsidR="00DC663B">
        <w:rPr>
          <w:b/>
        </w:rPr>
        <w:t xml:space="preserve"> </w:t>
      </w:r>
      <w:r>
        <w:rPr>
          <w:b/>
        </w:rPr>
        <w:t>201</w:t>
      </w:r>
      <w:r>
        <w:rPr>
          <w:rFonts w:hint="eastAsia"/>
          <w:b/>
          <w:lang w:eastAsia="ja-JP"/>
        </w:rPr>
        <w:t>5</w:t>
      </w:r>
    </w:p>
    <w:p w14:paraId="392F0F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D7D6A5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F662B2E"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24B6FB8" wp14:editId="4309AD6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D9362C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41F2D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F0E0DED"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0939258D" w14:textId="77777777"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70624DCA" w14:textId="77777777"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14:paraId="064F27BC"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25B419C3"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4D05BD"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AE1EA77" w14:textId="53C0DE00"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Pr>
          <w:rFonts w:hint="eastAsia"/>
          <w:sz w:val="28"/>
          <w:lang w:eastAsia="ja-JP"/>
        </w:rPr>
        <w:t xml:space="preserve"> </w:t>
      </w:r>
      <w:r w:rsidR="00381514" w:rsidRPr="00381514">
        <w:rPr>
          <w:sz w:val="28"/>
          <w:lang w:eastAsia="ja-JP"/>
        </w:rPr>
        <w:t>ISO 11137-1:2006 “Sterilization of health care products -- Radiation -- Part 1: Requirements for development, validation and routine control of a sterilization process for medical devices”</w:t>
      </w:r>
      <w:bookmarkEnd w:id="0"/>
    </w:p>
    <w:p w14:paraId="77ECCA0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520F0625"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14:paraId="256B9BAD"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C3FF458" w14:textId="1339E900"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73455B">
        <w:rPr>
          <w:rFonts w:hint="eastAsia"/>
          <w:sz w:val="28"/>
          <w:lang w:eastAsia="ja-JP"/>
        </w:rPr>
        <w:t>2</w:t>
      </w:r>
      <w:r w:rsidR="00631083">
        <w:rPr>
          <w:sz w:val="28"/>
        </w:rPr>
        <w:t xml:space="preserve"> </w:t>
      </w:r>
      <w:r w:rsidR="00DC663B">
        <w:rPr>
          <w:sz w:val="28"/>
        </w:rPr>
        <w:t>October</w:t>
      </w:r>
      <w:r w:rsidR="00631083">
        <w:rPr>
          <w:sz w:val="28"/>
        </w:rPr>
        <w:t xml:space="preserve"> 201</w:t>
      </w:r>
      <w:r w:rsidR="00631083">
        <w:rPr>
          <w:rFonts w:hint="eastAsia"/>
          <w:sz w:val="28"/>
          <w:lang w:eastAsia="ja-JP"/>
        </w:rPr>
        <w:t>5</w:t>
      </w:r>
    </w:p>
    <w:p w14:paraId="2C8DAC2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1272B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8C7BDC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1C9742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87AFB93"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11221B4"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4FA3AE10"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55597414"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63C6FC0E"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3C0884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6C396B9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71E1E249"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01B307BB" w14:textId="77777777" w:rsidR="005219B9" w:rsidRDefault="005219B9">
      <w:pPr>
        <w:rPr>
          <w:lang w:eastAsia="ja-JP"/>
        </w:rPr>
        <w:sectPr w:rsidR="005219B9" w:rsidSect="00381514">
          <w:headerReference w:type="default" r:id="rId11"/>
          <w:headerReference w:type="first" r:id="rId12"/>
          <w:pgSz w:w="12240" w:h="15840" w:code="1"/>
          <w:pgMar w:top="993" w:right="1440" w:bottom="1440" w:left="1440" w:header="283" w:footer="720" w:gutter="0"/>
          <w:cols w:space="720"/>
          <w:titlePg/>
          <w:docGrid w:linePitch="326"/>
        </w:sectPr>
      </w:pPr>
    </w:p>
    <w:p w14:paraId="55952257" w14:textId="70A52EF9" w:rsidR="005F1108" w:rsidRPr="00381514" w:rsidRDefault="005F1108" w:rsidP="00381514">
      <w:pPr>
        <w:pStyle w:val="TOCHeading"/>
        <w:rPr>
          <w:rFonts w:ascii="Times New Roman" w:hAnsi="Times New Roman" w:cs="Times New Roman"/>
          <w:color w:val="000000" w:themeColor="text1"/>
        </w:rPr>
      </w:pPr>
      <w:bookmarkStart w:id="1" w:name="_Toc423451729"/>
      <w:r w:rsidRPr="00381514">
        <w:rPr>
          <w:rFonts w:ascii="Times New Roman" w:hAnsi="Times New Roman" w:cs="Times New Roman"/>
          <w:color w:val="000000" w:themeColor="text1"/>
        </w:rPr>
        <w:lastRenderedPageBreak/>
        <w:t xml:space="preserve">Use of </w:t>
      </w:r>
      <w:r w:rsidR="009C42C5" w:rsidRPr="00381514">
        <w:rPr>
          <w:rFonts w:ascii="Times New Roman" w:hAnsi="Times New Roman" w:cs="Times New Roman"/>
          <w:color w:val="000000" w:themeColor="text1"/>
        </w:rPr>
        <w:t>ISO 11137-1</w:t>
      </w:r>
      <w:r w:rsidRPr="00381514">
        <w:rPr>
          <w:rFonts w:ascii="Times New Roman" w:hAnsi="Times New Roman" w:cs="Times New Roman"/>
          <w:color w:val="000000" w:themeColor="text1"/>
        </w:rPr>
        <w:t>:20</w:t>
      </w:r>
      <w:r w:rsidR="009C42C5" w:rsidRPr="00381514">
        <w:rPr>
          <w:rFonts w:ascii="Times New Roman" w:hAnsi="Times New Roman" w:cs="Times New Roman"/>
          <w:color w:val="000000" w:themeColor="text1"/>
        </w:rPr>
        <w:t>06</w:t>
      </w:r>
      <w:r w:rsidRPr="00381514">
        <w:rPr>
          <w:rFonts w:ascii="Times New Roman" w:hAnsi="Times New Roman" w:cs="Times New Roman"/>
          <w:color w:val="000000" w:themeColor="text1"/>
        </w:rPr>
        <w:t xml:space="preserve"> “</w:t>
      </w:r>
      <w:r w:rsidR="009C42C5" w:rsidRPr="00381514">
        <w:rPr>
          <w:rFonts w:ascii="Times New Roman" w:hAnsi="Times New Roman" w:cs="Times New Roman"/>
          <w:color w:val="000000" w:themeColor="text1"/>
        </w:rPr>
        <w:t>Sterilization of health care products -- Radiation -- Part 1: Requirements for development, validation and routine control of a sterilization process for medical devices</w:t>
      </w:r>
      <w:r w:rsidRPr="00381514">
        <w:rPr>
          <w:rFonts w:ascii="Times New Roman" w:hAnsi="Times New Roman" w:cs="Times New Roman"/>
          <w:color w:val="000000" w:themeColor="text1"/>
        </w:rPr>
        <w:t>” in each jurisdiction</w:t>
      </w:r>
      <w:bookmarkEnd w:id="1"/>
    </w:p>
    <w:tbl>
      <w:tblPr>
        <w:tblStyle w:val="TableGrid"/>
        <w:tblW w:w="0" w:type="auto"/>
        <w:tblLook w:val="04A0" w:firstRow="1" w:lastRow="0" w:firstColumn="1" w:lastColumn="0" w:noHBand="0" w:noVBand="1"/>
      </w:tblPr>
      <w:tblGrid>
        <w:gridCol w:w="2547"/>
        <w:gridCol w:w="6803"/>
      </w:tblGrid>
      <w:tr w:rsidR="005F1108" w14:paraId="477115BD" w14:textId="77777777" w:rsidTr="00DD6CD3">
        <w:tc>
          <w:tcPr>
            <w:tcW w:w="2547" w:type="dxa"/>
          </w:tcPr>
          <w:p w14:paraId="555335F3" w14:textId="77777777" w:rsidR="005F1108" w:rsidRDefault="005F1108" w:rsidP="00DD6CD3">
            <w:pPr>
              <w:keepNext/>
              <w:rPr>
                <w:lang w:eastAsia="ja-JP"/>
              </w:rPr>
            </w:pPr>
            <w:r>
              <w:rPr>
                <w:rFonts w:hint="eastAsia"/>
                <w:lang w:eastAsia="ja-JP"/>
              </w:rPr>
              <w:t>Australia</w:t>
            </w:r>
          </w:p>
          <w:p w14:paraId="74499D04" w14:textId="77777777" w:rsidR="005F1108" w:rsidRDefault="005F1108" w:rsidP="00DD6CD3">
            <w:pPr>
              <w:keepNext/>
              <w:rPr>
                <w:lang w:eastAsia="ja-JP"/>
              </w:rPr>
            </w:pPr>
          </w:p>
          <w:p w14:paraId="47199851" w14:textId="77777777" w:rsidR="005F1108" w:rsidRDefault="005F1108" w:rsidP="00DD6CD3">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14:paraId="3BF52AA0" w14:textId="32844476" w:rsidR="005F1108" w:rsidRDefault="00B95477" w:rsidP="00DD6CD3">
            <w:pPr>
              <w:keepNext/>
              <w:rPr>
                <w:b/>
                <w:bCs/>
                <w:lang w:eastAsia="ja-JP"/>
              </w:rPr>
            </w:pPr>
            <w:r w:rsidRPr="00B222A7">
              <w:rPr>
                <w:bCs/>
                <w:i/>
                <w:szCs w:val="24"/>
                <w:lang w:eastAsia="ja-JP"/>
              </w:rPr>
              <w:t>Therapeutics Goods (Manufacturing Principles), Determination No. 1 of 2013, MP1/2013</w:t>
            </w:r>
            <w:r w:rsidRPr="00B222A7">
              <w:rPr>
                <w:bCs/>
                <w:szCs w:val="24"/>
                <w:lang w:eastAsia="ja-JP"/>
              </w:rPr>
              <w:t xml:space="preserve"> requires medical devices labelled ‘Sterile’ to be manufactured in accordance with EN 556.  For terminally sterilized medical devices, EN 556, Part 1 applies (i.e. an SAL of 10</w:t>
            </w:r>
            <w:r w:rsidRPr="00B222A7">
              <w:rPr>
                <w:bCs/>
                <w:szCs w:val="24"/>
                <w:vertAlign w:val="superscript"/>
                <w:lang w:eastAsia="ja-JP"/>
              </w:rPr>
              <w:t>-6</w:t>
            </w:r>
            <w:r w:rsidRPr="00B222A7">
              <w:rPr>
                <w:bCs/>
                <w:szCs w:val="24"/>
                <w:lang w:eastAsia="ja-JP"/>
              </w:rPr>
              <w:t xml:space="preserve"> is required).  The TGA’s non-mandatory </w:t>
            </w:r>
            <w:r w:rsidRPr="00B222A7">
              <w:rPr>
                <w:bCs/>
                <w:i/>
                <w:szCs w:val="24"/>
                <w:lang w:eastAsia="ja-JP"/>
              </w:rPr>
              <w:t>Medical Devices Standards Order</w:t>
            </w:r>
            <w:r w:rsidRPr="00B222A7">
              <w:rPr>
                <w:bCs/>
                <w:szCs w:val="24"/>
                <w:lang w:eastAsia="ja-JP"/>
              </w:rPr>
              <w:t xml:space="preserve"> </w:t>
            </w:r>
            <w:r w:rsidRPr="00B222A7">
              <w:rPr>
                <w:bCs/>
                <w:i/>
                <w:szCs w:val="24"/>
                <w:lang w:eastAsia="ja-JP"/>
              </w:rPr>
              <w:t>(Standards for medical devices required to be sterile)</w:t>
            </w:r>
            <w:r w:rsidRPr="00B222A7">
              <w:rPr>
                <w:bCs/>
                <w:szCs w:val="24"/>
                <w:lang w:eastAsia="ja-JP"/>
              </w:rPr>
              <w:t xml:space="preserve">, 2008 (MDSO) specifies ISO 11137-1:2006 as a standard for the purpose of deeming compliance with </w:t>
            </w:r>
            <w:r w:rsidRPr="00B222A7">
              <w:rPr>
                <w:bCs/>
                <w:i/>
                <w:szCs w:val="24"/>
                <w:lang w:eastAsia="ja-JP"/>
              </w:rPr>
              <w:t xml:space="preserve">Medical Devices Essential Principle Checklist, </w:t>
            </w:r>
            <w:r w:rsidRPr="00B222A7">
              <w:rPr>
                <w:bCs/>
                <w:szCs w:val="24"/>
                <w:lang w:eastAsia="ja-JP"/>
              </w:rPr>
              <w:t xml:space="preserve">sub clause 8.3(3) - </w:t>
            </w:r>
            <w:r w:rsidRPr="00B222A7">
              <w:rPr>
                <w:bCs/>
                <w:i/>
                <w:szCs w:val="24"/>
                <w:lang w:eastAsia="ja-JP"/>
              </w:rPr>
              <w:t>Medical devices to be supplied in a sterile state</w:t>
            </w:r>
            <w:r w:rsidRPr="00B222A7">
              <w:rPr>
                <w:bCs/>
                <w:szCs w:val="24"/>
                <w:lang w:eastAsia="ja-JP"/>
              </w:rPr>
              <w:t>.  The TGA can accept an alternative approach to a radiation sterilization process provided it is at least equivalent to ISO 11137-1.   The TGA adopts the same approach to ISO 11137-2 and ISO 11137-3 as the other applicable parts of the radiation sterilization suite of standards as listed in the MDSO.</w:t>
            </w:r>
          </w:p>
        </w:tc>
      </w:tr>
      <w:tr w:rsidR="005F1108" w14:paraId="58DDE5F4" w14:textId="77777777" w:rsidTr="00DD6CD3">
        <w:tc>
          <w:tcPr>
            <w:tcW w:w="2547" w:type="dxa"/>
          </w:tcPr>
          <w:p w14:paraId="585BD6CA" w14:textId="77777777" w:rsidR="005F1108" w:rsidRDefault="005F1108" w:rsidP="00DD6CD3">
            <w:pPr>
              <w:keepNext/>
              <w:rPr>
                <w:lang w:eastAsia="ja-JP"/>
              </w:rPr>
            </w:pPr>
            <w:r>
              <w:rPr>
                <w:rFonts w:hint="eastAsia"/>
                <w:lang w:eastAsia="ja-JP"/>
              </w:rPr>
              <w:t>Brazil</w:t>
            </w:r>
          </w:p>
          <w:p w14:paraId="564BE922" w14:textId="77777777" w:rsidR="005F1108" w:rsidRDefault="005F1108" w:rsidP="00DD6CD3">
            <w:pPr>
              <w:keepNext/>
              <w:rPr>
                <w:lang w:eastAsia="ja-JP"/>
              </w:rPr>
            </w:pPr>
          </w:p>
          <w:p w14:paraId="393BB0D1" w14:textId="77777777" w:rsidR="005F1108" w:rsidRDefault="005F1108" w:rsidP="00DD6CD3">
            <w:pPr>
              <w:keepNext/>
              <w:rPr>
                <w:b/>
                <w:bCs/>
                <w:lang w:eastAsia="ja-JP"/>
              </w:rPr>
            </w:pPr>
            <w:r w:rsidRPr="00C46D3F">
              <w:rPr>
                <w:lang w:eastAsia="ja-JP"/>
              </w:rPr>
              <w:t>National Health Surveillance Agency (ANVISA)</w:t>
            </w:r>
          </w:p>
        </w:tc>
        <w:tc>
          <w:tcPr>
            <w:tcW w:w="6803" w:type="dxa"/>
          </w:tcPr>
          <w:p w14:paraId="620C4BAB" w14:textId="77777777" w:rsidR="00B95477" w:rsidRPr="00B222A7" w:rsidRDefault="00B95477" w:rsidP="00B95477">
            <w:pPr>
              <w:keepNext/>
              <w:rPr>
                <w:bCs/>
                <w:szCs w:val="24"/>
                <w:lang w:eastAsia="ja-JP"/>
              </w:rPr>
            </w:pPr>
            <w:r w:rsidRPr="00B222A7">
              <w:rPr>
                <w:bCs/>
                <w:szCs w:val="24"/>
                <w:lang w:eastAsia="ja-JP"/>
              </w:rPr>
              <w:t xml:space="preserve">Special processes (e.g., sterilization) must be validated according to preset standards. Companies must periodically check their processes and establish the frequency of revalidation, when applicable, according to requirements 5.5.1 and 5.5.3 of </w:t>
            </w:r>
            <w:proofErr w:type="spellStart"/>
            <w:r w:rsidRPr="00B222A7">
              <w:rPr>
                <w:bCs/>
                <w:szCs w:val="24"/>
                <w:lang w:eastAsia="ja-JP"/>
              </w:rPr>
              <w:t>Anvisa</w:t>
            </w:r>
            <w:proofErr w:type="spellEnd"/>
            <w:r w:rsidRPr="00B222A7">
              <w:rPr>
                <w:bCs/>
                <w:szCs w:val="24"/>
                <w:lang w:eastAsia="ja-JP"/>
              </w:rPr>
              <w:t xml:space="preserve"> Resolution RDC 16/2013. ISO 13485:2003 has the same requirements for sterile products.</w:t>
            </w:r>
          </w:p>
          <w:p w14:paraId="0CBFDAFB" w14:textId="77777777" w:rsidR="00B95477" w:rsidRPr="00B222A7" w:rsidRDefault="00B95477" w:rsidP="00B95477">
            <w:pPr>
              <w:keepNext/>
              <w:rPr>
                <w:bCs/>
                <w:szCs w:val="24"/>
                <w:lang w:eastAsia="ja-JP"/>
              </w:rPr>
            </w:pPr>
            <w:r w:rsidRPr="00B222A7">
              <w:rPr>
                <w:bCs/>
                <w:szCs w:val="24"/>
                <w:lang w:eastAsia="ja-JP"/>
              </w:rPr>
              <w:t xml:space="preserve">The Brazilian pharmacopeia has established that, in case the process of sterilization is consistent and has been validated, it may provide precise information for the approval of products which undergo terminal sterilization. </w:t>
            </w:r>
          </w:p>
          <w:p w14:paraId="37408C53" w14:textId="77777777" w:rsidR="00B95477" w:rsidRPr="00B222A7" w:rsidRDefault="00B95477" w:rsidP="00B95477">
            <w:pPr>
              <w:keepNext/>
              <w:rPr>
                <w:bCs/>
                <w:szCs w:val="24"/>
                <w:lang w:eastAsia="ja-JP"/>
              </w:rPr>
            </w:pPr>
            <w:r w:rsidRPr="00B222A7">
              <w:rPr>
                <w:bCs/>
                <w:szCs w:val="24"/>
                <w:lang w:eastAsia="ja-JP"/>
              </w:rPr>
              <w:t xml:space="preserve">ISO 11137-1:2006 may be used as a technical guide for sterile medical devices. </w:t>
            </w:r>
          </w:p>
          <w:p w14:paraId="41FB183E" w14:textId="77777777" w:rsidR="005F1108" w:rsidRPr="00B95477" w:rsidRDefault="005F1108" w:rsidP="00DD6CD3">
            <w:pPr>
              <w:keepNext/>
              <w:rPr>
                <w:b/>
                <w:bCs/>
                <w:lang w:eastAsia="ja-JP"/>
              </w:rPr>
            </w:pPr>
          </w:p>
        </w:tc>
      </w:tr>
      <w:tr w:rsidR="005F1108" w14:paraId="27ECB721" w14:textId="77777777" w:rsidTr="00DD6CD3">
        <w:tc>
          <w:tcPr>
            <w:tcW w:w="2547" w:type="dxa"/>
          </w:tcPr>
          <w:p w14:paraId="53CB9CE7" w14:textId="77777777" w:rsidR="005F1108" w:rsidRDefault="005F1108" w:rsidP="00DD6CD3">
            <w:pPr>
              <w:keepNext/>
              <w:rPr>
                <w:lang w:eastAsia="ja-JP"/>
              </w:rPr>
            </w:pPr>
            <w:r>
              <w:rPr>
                <w:rFonts w:hint="eastAsia"/>
                <w:lang w:eastAsia="ja-JP"/>
              </w:rPr>
              <w:t>Canada</w:t>
            </w:r>
          </w:p>
          <w:p w14:paraId="454F2CE6" w14:textId="77777777" w:rsidR="005F1108" w:rsidRDefault="005F1108" w:rsidP="00DD6CD3">
            <w:pPr>
              <w:keepNext/>
              <w:rPr>
                <w:lang w:eastAsia="ja-JP"/>
              </w:rPr>
            </w:pPr>
          </w:p>
          <w:p w14:paraId="097A4B60" w14:textId="77777777" w:rsidR="005F1108" w:rsidRDefault="005F1108" w:rsidP="00DD6CD3">
            <w:pPr>
              <w:keepNext/>
              <w:rPr>
                <w:b/>
                <w:bCs/>
                <w:lang w:eastAsia="ja-JP"/>
              </w:rPr>
            </w:pPr>
            <w:r w:rsidRPr="00C46D3F">
              <w:rPr>
                <w:lang w:eastAsia="ja-JP"/>
              </w:rPr>
              <w:t>Health Canada</w:t>
            </w:r>
            <w:r>
              <w:rPr>
                <w:rFonts w:hint="eastAsia"/>
                <w:lang w:eastAsia="ja-JP"/>
              </w:rPr>
              <w:t xml:space="preserve"> (HC)</w:t>
            </w:r>
          </w:p>
        </w:tc>
        <w:tc>
          <w:tcPr>
            <w:tcW w:w="6803" w:type="dxa"/>
          </w:tcPr>
          <w:p w14:paraId="75521311"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In Canada, conformance to specific standards is not mandatory.  However, evidence of conformity to recognised standards can be submitted to demonstrate that specific requirements of the Medical Devices Regulations have been met.  HC publishes a list of recognised standards, and the level of evidence expected is “equivalent or better” to these recognised standards.</w:t>
            </w:r>
          </w:p>
          <w:p w14:paraId="68B27267" w14:textId="77777777" w:rsidR="00B95477" w:rsidRPr="00B222A7" w:rsidRDefault="00B95477" w:rsidP="00B95477">
            <w:pPr>
              <w:pStyle w:val="Default"/>
              <w:rPr>
                <w:rFonts w:ascii="Times New Roman" w:hAnsi="Times New Roman" w:cs="Times New Roman"/>
              </w:rPr>
            </w:pPr>
          </w:p>
          <w:p w14:paraId="20DBC3BE" w14:textId="77777777" w:rsidR="00B95477" w:rsidRPr="00B222A7" w:rsidRDefault="00B95477" w:rsidP="00B95477">
            <w:pPr>
              <w:keepNext/>
              <w:rPr>
                <w:szCs w:val="24"/>
              </w:rPr>
            </w:pPr>
            <w:r w:rsidRPr="00B222A7">
              <w:rPr>
                <w:bCs/>
                <w:szCs w:val="24"/>
                <w:lang w:eastAsia="ja-JP"/>
              </w:rPr>
              <w:t>ISO 11137-1:2006</w:t>
            </w:r>
            <w:r w:rsidRPr="00B222A7">
              <w:rPr>
                <w:b/>
                <w:bCs/>
                <w:szCs w:val="24"/>
                <w:lang w:eastAsia="ja-JP"/>
              </w:rPr>
              <w:t xml:space="preserve"> </w:t>
            </w:r>
            <w:r w:rsidRPr="00B222A7">
              <w:rPr>
                <w:szCs w:val="24"/>
              </w:rPr>
              <w:t xml:space="preserve">is currently a </w:t>
            </w:r>
            <w:proofErr w:type="spellStart"/>
            <w:r w:rsidRPr="00B222A7">
              <w:rPr>
                <w:szCs w:val="24"/>
              </w:rPr>
              <w:t>recognised</w:t>
            </w:r>
            <w:proofErr w:type="spellEnd"/>
            <w:r w:rsidRPr="00B222A7">
              <w:rPr>
                <w:szCs w:val="24"/>
              </w:rPr>
              <w:t xml:space="preserve"> standard. </w:t>
            </w:r>
          </w:p>
          <w:p w14:paraId="33AA50DB" w14:textId="29F12033" w:rsidR="005F1108" w:rsidRDefault="00B95477" w:rsidP="00B95477">
            <w:pPr>
              <w:keepNext/>
              <w:rPr>
                <w:b/>
                <w:bCs/>
                <w:lang w:eastAsia="ja-JP"/>
              </w:rPr>
            </w:pPr>
            <w:r w:rsidRPr="00B222A7">
              <w:rPr>
                <w:szCs w:val="24"/>
              </w:rPr>
              <w:t>Health Canada relies on this standard in the assessment of irradiation sterilization validations.</w:t>
            </w:r>
          </w:p>
        </w:tc>
      </w:tr>
      <w:tr w:rsidR="005F1108" w14:paraId="53B374C4" w14:textId="77777777" w:rsidTr="00DD6CD3">
        <w:tc>
          <w:tcPr>
            <w:tcW w:w="2547" w:type="dxa"/>
          </w:tcPr>
          <w:p w14:paraId="3F3A3119" w14:textId="77777777" w:rsidR="005F1108" w:rsidRDefault="005F1108" w:rsidP="00DD6CD3">
            <w:pPr>
              <w:keepNext/>
              <w:rPr>
                <w:lang w:eastAsia="ja-JP"/>
              </w:rPr>
            </w:pPr>
            <w:r>
              <w:rPr>
                <w:rFonts w:hint="eastAsia"/>
                <w:lang w:eastAsia="ja-JP"/>
              </w:rPr>
              <w:t>China</w:t>
            </w:r>
          </w:p>
          <w:p w14:paraId="367A6A31" w14:textId="77777777" w:rsidR="005F1108" w:rsidRDefault="005F1108" w:rsidP="00DD6CD3">
            <w:pPr>
              <w:keepNext/>
              <w:rPr>
                <w:lang w:eastAsia="ja-JP"/>
              </w:rPr>
            </w:pPr>
          </w:p>
          <w:p w14:paraId="1148B90A" w14:textId="77777777" w:rsidR="005F1108" w:rsidRDefault="005F1108" w:rsidP="00DD6CD3">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14:paraId="2DEF62F1" w14:textId="54AD6D24" w:rsidR="005F1108" w:rsidRDefault="00B95477" w:rsidP="00DD6CD3">
            <w:pPr>
              <w:keepNext/>
              <w:rPr>
                <w:b/>
                <w:bCs/>
                <w:lang w:eastAsia="ja-JP"/>
              </w:rPr>
            </w:pPr>
            <w:r w:rsidRPr="00B222A7">
              <w:rPr>
                <w:szCs w:val="24"/>
                <w:lang w:eastAsia="zh-CN"/>
              </w:rPr>
              <w:t xml:space="preserve">CFDA just translated the  </w:t>
            </w:r>
            <w:r w:rsidRPr="00B222A7">
              <w:rPr>
                <w:color w:val="000000" w:themeColor="text1"/>
                <w:szCs w:val="24"/>
                <w:lang w:eastAsia="zh-CN"/>
              </w:rPr>
              <w:t>ISO11137:1995 into china national standard</w:t>
            </w:r>
            <w:r w:rsidRPr="00B222A7">
              <w:rPr>
                <w:szCs w:val="24"/>
              </w:rPr>
              <w:t xml:space="preserve"> GB 18280-2000</w:t>
            </w:r>
            <w:r w:rsidRPr="00B222A7">
              <w:rPr>
                <w:szCs w:val="24"/>
                <w:lang w:eastAsia="zh-CN"/>
              </w:rPr>
              <w:t xml:space="preserve"> </w:t>
            </w:r>
            <w:r w:rsidRPr="00B222A7">
              <w:rPr>
                <w:szCs w:val="24"/>
              </w:rPr>
              <w:t>equally</w:t>
            </w:r>
            <w:r w:rsidRPr="00B222A7">
              <w:rPr>
                <w:szCs w:val="24"/>
                <w:lang w:eastAsia="zh-CN"/>
              </w:rPr>
              <w:t xml:space="preserve"> and the standard are waiting for the approval by Standardization Administration of the People’s Republic of China(SAC), So it isn’t implemented in china till it will </w:t>
            </w:r>
            <w:r w:rsidRPr="00B222A7">
              <w:rPr>
                <w:szCs w:val="24"/>
                <w:lang w:eastAsia="zh-CN"/>
              </w:rPr>
              <w:lastRenderedPageBreak/>
              <w:t>be approved by SAC.</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5F1108" w14:paraId="66BF33C9" w14:textId="77777777" w:rsidTr="00DD6CD3">
        <w:tc>
          <w:tcPr>
            <w:tcW w:w="2547" w:type="dxa"/>
          </w:tcPr>
          <w:p w14:paraId="26936C68" w14:textId="77777777" w:rsidR="005F1108" w:rsidRDefault="005F1108" w:rsidP="00DD6CD3">
            <w:pPr>
              <w:keepNext/>
              <w:rPr>
                <w:lang w:eastAsia="ja-JP"/>
              </w:rPr>
            </w:pPr>
            <w:r>
              <w:rPr>
                <w:rFonts w:hint="eastAsia"/>
                <w:lang w:eastAsia="ja-JP"/>
              </w:rPr>
              <w:lastRenderedPageBreak/>
              <w:t>Europe</w:t>
            </w:r>
          </w:p>
          <w:p w14:paraId="00B28629" w14:textId="77777777" w:rsidR="005F1108" w:rsidRDefault="005F1108" w:rsidP="00DD6CD3">
            <w:pPr>
              <w:keepNext/>
              <w:rPr>
                <w:lang w:eastAsia="ja-JP"/>
              </w:rPr>
            </w:pPr>
          </w:p>
          <w:p w14:paraId="5BD18518" w14:textId="77777777" w:rsidR="005F1108" w:rsidRDefault="005F1108" w:rsidP="00DD6CD3">
            <w:pPr>
              <w:keepNext/>
              <w:rPr>
                <w:b/>
                <w:bCs/>
                <w:lang w:eastAsia="ja-JP"/>
              </w:rPr>
            </w:pPr>
            <w:r w:rsidRPr="00C46D3F">
              <w:rPr>
                <w:lang w:eastAsia="ja-JP"/>
              </w:rPr>
              <w:t>European Commission</w:t>
            </w:r>
            <w:r>
              <w:rPr>
                <w:rFonts w:hint="eastAsia"/>
                <w:lang w:eastAsia="ja-JP"/>
              </w:rPr>
              <w:t xml:space="preserve"> (EC)</w:t>
            </w:r>
          </w:p>
        </w:tc>
        <w:tc>
          <w:tcPr>
            <w:tcW w:w="6803" w:type="dxa"/>
          </w:tcPr>
          <w:p w14:paraId="6F251CD2" w14:textId="77777777" w:rsidR="00B95477" w:rsidRDefault="00B95477" w:rsidP="00B95477">
            <w:r>
              <w:t xml:space="preserve">The corresponding European standard EN </w:t>
            </w:r>
            <w:r w:rsidRPr="004A14F1">
              <w:t>ISO 1</w:t>
            </w:r>
            <w:r w:rsidRPr="004A14F1">
              <w:rPr>
                <w:rFonts w:hint="eastAsia"/>
              </w:rPr>
              <w:t>1137-1</w:t>
            </w:r>
            <w:r w:rsidRPr="004A14F1">
              <w:t>:20</w:t>
            </w:r>
            <w:r w:rsidRPr="004A14F1">
              <w:rPr>
                <w:rFonts w:hint="eastAsia"/>
              </w:rPr>
              <w:t>06</w:t>
            </w:r>
            <w:r>
              <w:t xml:space="preserve">, is a harmonized standard which provides presumption of conformity with the legal requirements regarding appropriate design and manufacturing procedures and validated method for device sterilization.  </w:t>
            </w:r>
          </w:p>
          <w:p w14:paraId="0FEBDE63" w14:textId="7DCF9D98" w:rsidR="005F1108" w:rsidRDefault="00B95477" w:rsidP="00B95477">
            <w:pPr>
              <w:keepNext/>
              <w:rPr>
                <w:b/>
                <w:bCs/>
                <w:lang w:eastAsia="ja-JP"/>
              </w:rPr>
            </w:pPr>
            <w:r w:rsidRPr="00D829F4">
              <w:t xml:space="preserve">The use of this standard </w:t>
            </w:r>
            <w:r w:rsidRPr="00523B96">
              <w:t xml:space="preserve">(to the extent specified in its Annex ZZ) </w:t>
            </w:r>
            <w:r w:rsidRPr="00D829F4">
              <w:t>provides one s</w:t>
            </w:r>
            <w:r>
              <w:t>olution for compliance with the relevant</w:t>
            </w:r>
            <w:r w:rsidRPr="00D829F4">
              <w:t xml:space="preserve"> legal </w:t>
            </w:r>
            <w:r>
              <w:t>requirements</w:t>
            </w:r>
            <w:r w:rsidRPr="00D829F4">
              <w:t>. Compliance with the legal requirements can however be ensured also by other means.</w:t>
            </w:r>
          </w:p>
        </w:tc>
      </w:tr>
      <w:tr w:rsidR="005F1108" w14:paraId="1F73033E" w14:textId="77777777" w:rsidTr="00DD6CD3">
        <w:tc>
          <w:tcPr>
            <w:tcW w:w="2547" w:type="dxa"/>
          </w:tcPr>
          <w:p w14:paraId="50328C39" w14:textId="77777777" w:rsidR="005F1108" w:rsidRDefault="005F1108" w:rsidP="00DD6CD3">
            <w:pPr>
              <w:keepNext/>
              <w:rPr>
                <w:lang w:eastAsia="ja-JP"/>
              </w:rPr>
            </w:pPr>
            <w:r>
              <w:rPr>
                <w:rFonts w:hint="eastAsia"/>
                <w:lang w:eastAsia="ja-JP"/>
              </w:rPr>
              <w:t>Japan</w:t>
            </w:r>
          </w:p>
          <w:p w14:paraId="3E3A3741" w14:textId="77777777" w:rsidR="005F1108" w:rsidRDefault="005F1108" w:rsidP="00DD6CD3">
            <w:pPr>
              <w:keepNext/>
              <w:rPr>
                <w:lang w:eastAsia="ja-JP"/>
              </w:rPr>
            </w:pPr>
          </w:p>
          <w:p w14:paraId="5A669C91" w14:textId="77777777" w:rsidR="005F1108" w:rsidRDefault="005F1108" w:rsidP="00DD6CD3">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(MHLW)</w:t>
            </w:r>
          </w:p>
          <w:p w14:paraId="2D914C5B" w14:textId="77777777" w:rsidR="005F1108" w:rsidRDefault="005F1108" w:rsidP="00DD6CD3">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14:paraId="4FF869FD" w14:textId="2F14F523" w:rsidR="00FF4891" w:rsidRDefault="00FF4891" w:rsidP="00DD6CD3">
            <w:pPr>
              <w:keepNext/>
              <w:rPr>
                <w:bCs/>
                <w:lang w:eastAsia="ja-JP"/>
              </w:rPr>
            </w:pPr>
            <w:r>
              <w:rPr>
                <w:rFonts w:hint="eastAsia"/>
                <w:bCs/>
                <w:lang w:eastAsia="ja-JP"/>
              </w:rPr>
              <w:t xml:space="preserve">All medical devices are </w:t>
            </w:r>
            <w:r>
              <w:rPr>
                <w:bCs/>
                <w:lang w:eastAsia="ja-JP"/>
              </w:rPr>
              <w:t>required</w:t>
            </w:r>
            <w:r>
              <w:rPr>
                <w:rFonts w:hint="eastAsia"/>
                <w:bCs/>
                <w:lang w:eastAsia="ja-JP"/>
              </w:rPr>
              <w:t xml:space="preserve"> to satisfy the </w:t>
            </w:r>
            <w:r w:rsidR="003579BF">
              <w:rPr>
                <w:rFonts w:hint="eastAsia"/>
                <w:bCs/>
                <w:lang w:eastAsia="ja-JP"/>
              </w:rPr>
              <w:t>EPs</w:t>
            </w:r>
            <w:r>
              <w:rPr>
                <w:rFonts w:hint="eastAsia"/>
                <w:bCs/>
                <w:lang w:eastAsia="ja-JP"/>
              </w:rPr>
              <w:t xml:space="preserve"> that align with those defined in </w:t>
            </w:r>
            <w:r>
              <w:rPr>
                <w:bCs/>
                <w:lang w:eastAsia="ja-JP"/>
              </w:rPr>
              <w:t>GHTF/SG1/N68</w:t>
            </w:r>
            <w:r w:rsidRPr="00A034BC">
              <w:rPr>
                <w:bCs/>
                <w:lang w:eastAsia="ja-JP"/>
              </w:rPr>
              <w:t>:2012</w:t>
            </w:r>
            <w:r>
              <w:rPr>
                <w:rFonts w:hint="eastAsia"/>
                <w:bCs/>
                <w:lang w:eastAsia="ja-JP"/>
              </w:rPr>
              <w:t xml:space="preserve"> </w:t>
            </w:r>
            <w:r w:rsidRPr="00A034BC">
              <w:rPr>
                <w:bCs/>
                <w:i/>
                <w:lang w:eastAsia="ja-JP"/>
              </w:rPr>
              <w:t>Essential Principles of Safety and Performance of Medical Devices</w:t>
            </w:r>
            <w:r>
              <w:rPr>
                <w:rFonts w:hint="eastAsia"/>
                <w:bCs/>
                <w:lang w:eastAsia="ja-JP"/>
              </w:rPr>
              <w:t xml:space="preserve">. </w:t>
            </w:r>
            <w:r>
              <w:rPr>
                <w:rFonts w:hint="eastAsia"/>
                <w:lang w:eastAsia="ja-JP"/>
              </w:rPr>
              <w:t xml:space="preserve"> </w:t>
            </w:r>
            <w:r>
              <w:rPr>
                <w:lang w:eastAsia="ja-JP"/>
              </w:rPr>
              <w:t>ISO 1</w:t>
            </w:r>
            <w:r>
              <w:rPr>
                <w:rFonts w:hint="eastAsia"/>
                <w:lang w:eastAsia="ja-JP"/>
              </w:rPr>
              <w:t>1137-1</w:t>
            </w:r>
            <w:r>
              <w:rPr>
                <w:rFonts w:hint="eastAsia"/>
                <w:bCs/>
                <w:lang w:eastAsia="ja-JP"/>
              </w:rPr>
              <w:t xml:space="preserve"> can be used for its purpose, </w:t>
            </w:r>
            <w:r>
              <w:rPr>
                <w:bCs/>
                <w:lang w:eastAsia="ja-JP"/>
              </w:rPr>
              <w:t>especially</w:t>
            </w:r>
            <w:r>
              <w:rPr>
                <w:rFonts w:hint="eastAsia"/>
                <w:bCs/>
                <w:lang w:eastAsia="ja-JP"/>
              </w:rPr>
              <w:t xml:space="preserve"> in case of sterilized medical devices, which is clearly referred to in checklist of E</w:t>
            </w:r>
            <w:r>
              <w:rPr>
                <w:bCs/>
                <w:lang w:eastAsia="ja-JP"/>
              </w:rPr>
              <w:t>Ps</w:t>
            </w:r>
            <w:r>
              <w:rPr>
                <w:rFonts w:hint="eastAsia"/>
                <w:bCs/>
                <w:lang w:eastAsia="ja-JP"/>
              </w:rPr>
              <w:t xml:space="preserve"> or </w:t>
            </w:r>
            <w:r>
              <w:rPr>
                <w:bCs/>
                <w:lang w:eastAsia="ja-JP"/>
              </w:rPr>
              <w:t>certification</w:t>
            </w:r>
            <w:r>
              <w:rPr>
                <w:rFonts w:hint="eastAsia"/>
                <w:bCs/>
                <w:lang w:eastAsia="ja-JP"/>
              </w:rPr>
              <w:t xml:space="preserve">/approval standards for each </w:t>
            </w:r>
            <w:r>
              <w:rPr>
                <w:bCs/>
                <w:lang w:eastAsia="ja-JP"/>
              </w:rPr>
              <w:t>medical</w:t>
            </w:r>
            <w:r>
              <w:rPr>
                <w:rFonts w:hint="eastAsia"/>
                <w:bCs/>
                <w:lang w:eastAsia="ja-JP"/>
              </w:rPr>
              <w:t xml:space="preserve"> device.</w:t>
            </w:r>
          </w:p>
          <w:p w14:paraId="0806FFAE" w14:textId="77777777" w:rsidR="00FF4891" w:rsidRDefault="00FF4891" w:rsidP="00DD6CD3">
            <w:pPr>
              <w:keepNext/>
              <w:rPr>
                <w:bCs/>
                <w:lang w:eastAsia="ja-JP"/>
              </w:rPr>
            </w:pPr>
          </w:p>
          <w:p w14:paraId="3A2B0531" w14:textId="0535B482" w:rsidR="005F1108" w:rsidRPr="00A034BC" w:rsidRDefault="00FF4891" w:rsidP="00DD6CD3">
            <w:pPr>
              <w:keepNext/>
              <w:rPr>
                <w:bCs/>
                <w:lang w:eastAsia="ja-JP"/>
              </w:rPr>
            </w:pPr>
            <w:r>
              <w:rPr>
                <w:bCs/>
                <w:lang w:eastAsia="ja-JP"/>
              </w:rPr>
              <w:t>And v</w:t>
            </w:r>
            <w:r w:rsidR="005E20AB">
              <w:rPr>
                <w:rFonts w:hint="eastAsia"/>
                <w:bCs/>
                <w:lang w:eastAsia="ja-JP"/>
              </w:rPr>
              <w:t xml:space="preserve">alidation of </w:t>
            </w:r>
            <w:r w:rsidR="005E20AB" w:rsidRPr="005E20AB">
              <w:rPr>
                <w:bCs/>
                <w:lang w:eastAsia="ja-JP"/>
              </w:rPr>
              <w:t>sterilization</w:t>
            </w:r>
            <w:r w:rsidR="005E20AB">
              <w:rPr>
                <w:rFonts w:hint="eastAsia"/>
                <w:bCs/>
                <w:lang w:eastAsia="ja-JP"/>
              </w:rPr>
              <w:t xml:space="preserve"> </w:t>
            </w:r>
            <w:r w:rsidR="005E20AB">
              <w:rPr>
                <w:bCs/>
                <w:lang w:eastAsia="ja-JP"/>
              </w:rPr>
              <w:t>process</w:t>
            </w:r>
            <w:r w:rsidR="005E20AB">
              <w:rPr>
                <w:rFonts w:hint="eastAsia"/>
                <w:bCs/>
                <w:lang w:eastAsia="ja-JP"/>
              </w:rPr>
              <w:t xml:space="preserve"> is required </w:t>
            </w:r>
            <w:r w:rsidR="00221F01">
              <w:rPr>
                <w:bCs/>
                <w:lang w:eastAsia="ja-JP"/>
              </w:rPr>
              <w:t xml:space="preserve">as particular requirements for sterile medical device </w:t>
            </w:r>
            <w:r w:rsidR="005E20AB">
              <w:rPr>
                <w:rFonts w:hint="eastAsia"/>
                <w:bCs/>
                <w:lang w:eastAsia="ja-JP"/>
              </w:rPr>
              <w:t xml:space="preserve">in the QMS ordinance in Japan, as is </w:t>
            </w:r>
            <w:r w:rsidR="00221F01">
              <w:rPr>
                <w:bCs/>
                <w:lang w:eastAsia="ja-JP"/>
              </w:rPr>
              <w:t xml:space="preserve">the </w:t>
            </w:r>
            <w:r w:rsidR="005E20AB">
              <w:rPr>
                <w:rFonts w:hint="eastAsia"/>
                <w:bCs/>
                <w:lang w:eastAsia="ja-JP"/>
              </w:rPr>
              <w:t xml:space="preserve">same as ISO13485. The guidance on the </w:t>
            </w:r>
            <w:r w:rsidR="00830B00">
              <w:rPr>
                <w:rFonts w:hint="eastAsia"/>
                <w:bCs/>
                <w:lang w:eastAsia="ja-JP"/>
              </w:rPr>
              <w:t xml:space="preserve">standards for its validation </w:t>
            </w:r>
            <w:r w:rsidR="00830B00">
              <w:rPr>
                <w:bCs/>
                <w:lang w:eastAsia="ja-JP"/>
              </w:rPr>
              <w:t>issued</w:t>
            </w:r>
            <w:r w:rsidR="00830B00">
              <w:rPr>
                <w:rFonts w:hint="eastAsia"/>
                <w:bCs/>
                <w:lang w:eastAsia="ja-JP"/>
              </w:rPr>
              <w:t xml:space="preserve"> on 18 December 2014 (No. 1218-4) clearly indicates </w:t>
            </w:r>
            <w:r w:rsidR="00830B00" w:rsidRPr="00830B00">
              <w:rPr>
                <w:bCs/>
                <w:lang w:eastAsia="ja-JP"/>
              </w:rPr>
              <w:t>ISO 11137-1:2006</w:t>
            </w:r>
            <w:r w:rsidR="00830B00">
              <w:rPr>
                <w:rFonts w:hint="eastAsia"/>
                <w:bCs/>
                <w:lang w:eastAsia="ja-JP"/>
              </w:rPr>
              <w:t xml:space="preserve"> or equivalent/more strict standards shall be followed.</w:t>
            </w:r>
          </w:p>
        </w:tc>
      </w:tr>
      <w:tr w:rsidR="005F1108" w14:paraId="180D8B80" w14:textId="77777777" w:rsidTr="00DD6CD3">
        <w:tc>
          <w:tcPr>
            <w:tcW w:w="2547" w:type="dxa"/>
          </w:tcPr>
          <w:p w14:paraId="1A501E38" w14:textId="77777777" w:rsidR="005F1108" w:rsidRDefault="005F1108" w:rsidP="00DD6CD3">
            <w:pPr>
              <w:keepNext/>
              <w:rPr>
                <w:lang w:eastAsia="ja-JP"/>
              </w:rPr>
            </w:pPr>
            <w:r>
              <w:rPr>
                <w:rFonts w:hint="eastAsia"/>
                <w:lang w:eastAsia="ja-JP"/>
              </w:rPr>
              <w:t>Russia</w:t>
            </w:r>
          </w:p>
          <w:p w14:paraId="0EA402C5" w14:textId="77777777" w:rsidR="005F1108" w:rsidRDefault="005F1108" w:rsidP="00DD6CD3">
            <w:pPr>
              <w:keepNext/>
              <w:rPr>
                <w:lang w:eastAsia="ja-JP"/>
              </w:rPr>
            </w:pPr>
          </w:p>
          <w:p w14:paraId="450AEA6D" w14:textId="77777777" w:rsidR="005F1108" w:rsidRDefault="005F1108" w:rsidP="00DD6CD3">
            <w:pPr>
              <w:keepNext/>
              <w:rPr>
                <w:lang w:eastAsia="ja-JP"/>
              </w:rPr>
            </w:pPr>
            <w:r w:rsidRPr="00C46D3F">
              <w:rPr>
                <w:lang w:eastAsia="ja-JP"/>
              </w:rPr>
              <w:t>Russian Min</w:t>
            </w:r>
            <w:r>
              <w:rPr>
                <w:rFonts w:hint="eastAsia"/>
                <w:lang w:eastAsia="ja-JP"/>
              </w:rPr>
              <w:t>i</w:t>
            </w:r>
            <w:r w:rsidRPr="00C46D3F">
              <w:rPr>
                <w:lang w:eastAsia="ja-JP"/>
              </w:rPr>
              <w:t>stry of Health</w:t>
            </w:r>
          </w:p>
          <w:p w14:paraId="4ED02D8A" w14:textId="77777777" w:rsidR="005F1108" w:rsidRDefault="005F1108" w:rsidP="00DD6CD3">
            <w:pPr>
              <w:keepNext/>
              <w:rPr>
                <w:b/>
                <w:bCs/>
                <w:lang w:eastAsia="ja-JP"/>
              </w:rPr>
            </w:pPr>
            <w:proofErr w:type="spellStart"/>
            <w:r>
              <w:rPr>
                <w:lang w:eastAsia="ja-JP"/>
              </w:rPr>
              <w:t>Roszdravnadzor</w:t>
            </w:r>
            <w:proofErr w:type="spellEnd"/>
          </w:p>
        </w:tc>
        <w:tc>
          <w:tcPr>
            <w:tcW w:w="6803" w:type="dxa"/>
          </w:tcPr>
          <w:p w14:paraId="6CD4C55B" w14:textId="58F98C85" w:rsidR="0090799C" w:rsidRPr="0090799C" w:rsidRDefault="0090799C" w:rsidP="0090799C">
            <w:pPr>
              <w:rPr>
                <w:color w:val="000000" w:themeColor="text1"/>
              </w:rPr>
            </w:pPr>
            <w:r w:rsidRPr="0090799C">
              <w:rPr>
                <w:color w:val="000000" w:themeColor="text1"/>
              </w:rPr>
              <w:t>In current regulation using of standards is voluntary in premarket MD evaluation. And Regulator does not recognize any standard which could provide presumption of conformity.</w:t>
            </w:r>
          </w:p>
          <w:p w14:paraId="236FEE16" w14:textId="26FDEC5A" w:rsidR="0090799C" w:rsidRPr="00D24CE6" w:rsidRDefault="0090799C" w:rsidP="0090799C">
            <w:r w:rsidRPr="0090799C">
              <w:rPr>
                <w:color w:val="000000" w:themeColor="text1"/>
              </w:rPr>
              <w:t>But when on the market, some types of MD have to be certified for particular mandatory standards (list of mandatory standards and types of MD is available on Regulator’s web site). It should be noted, that this regulation is to be canceled on 01/01/2016.</w:t>
            </w:r>
          </w:p>
        </w:tc>
      </w:tr>
      <w:tr w:rsidR="005F1108" w14:paraId="7916AB97" w14:textId="77777777" w:rsidTr="00DD6CD3">
        <w:tc>
          <w:tcPr>
            <w:tcW w:w="2547" w:type="dxa"/>
          </w:tcPr>
          <w:p w14:paraId="5AAD683E" w14:textId="77777777" w:rsidR="005F1108" w:rsidRDefault="005F1108" w:rsidP="00DD6CD3">
            <w:pPr>
              <w:keepNext/>
              <w:rPr>
                <w:lang w:eastAsia="ja-JP"/>
              </w:rPr>
            </w:pPr>
            <w:r>
              <w:rPr>
                <w:rFonts w:hint="eastAsia"/>
                <w:lang w:eastAsia="ja-JP"/>
              </w:rPr>
              <w:t>The United States of America</w:t>
            </w:r>
          </w:p>
          <w:p w14:paraId="4984FBF3" w14:textId="77777777" w:rsidR="005F1108" w:rsidRDefault="005F1108" w:rsidP="00DD6CD3">
            <w:pPr>
              <w:keepNext/>
              <w:rPr>
                <w:lang w:eastAsia="ja-JP"/>
              </w:rPr>
            </w:pPr>
          </w:p>
          <w:p w14:paraId="0DC26290" w14:textId="77777777" w:rsidR="005F1108" w:rsidRDefault="005F1108" w:rsidP="00DD6CD3">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14:paraId="754BD426" w14:textId="1C3EAE60" w:rsidR="005F1108" w:rsidRDefault="00B95477" w:rsidP="00DD6CD3">
            <w:pPr>
              <w:keepNext/>
              <w:rPr>
                <w:b/>
                <w:bCs/>
                <w:lang w:eastAsia="ja-JP"/>
              </w:rPr>
            </w:pPr>
            <w:r w:rsidRPr="006E7936">
              <w:rPr>
                <w:bCs/>
                <w:lang w:eastAsia="ja-JP"/>
              </w:rPr>
              <w:t>ISO 11137-1:2006</w:t>
            </w:r>
            <w:r>
              <w:rPr>
                <w:bCs/>
                <w:lang w:eastAsia="ja-JP"/>
              </w:rPr>
              <w:t>(R)2010</w:t>
            </w:r>
            <w:r w:rsidRPr="006E7936">
              <w:rPr>
                <w:bCs/>
                <w:lang w:eastAsia="ja-JP"/>
              </w:rPr>
              <w:t xml:space="preserve"> </w:t>
            </w:r>
            <w:r>
              <w:rPr>
                <w:bCs/>
                <w:lang w:eastAsia="ja-JP"/>
              </w:rPr>
              <w:t xml:space="preserve">is recognized by the US FDA medical device program as a consensus standard </w:t>
            </w:r>
            <w:r w:rsidRPr="006E7936">
              <w:rPr>
                <w:bCs/>
                <w:lang w:eastAsia="ja-JP"/>
              </w:rPr>
              <w:t>for which a person may submit a declaration of conformity in order to meet a premarket submission requirement or other requirement</w:t>
            </w:r>
            <w:r>
              <w:rPr>
                <w:bCs/>
                <w:lang w:eastAsia="ja-JP"/>
              </w:rPr>
              <w:t>s</w:t>
            </w:r>
            <w:r w:rsidRPr="006E7936">
              <w:rPr>
                <w:bCs/>
                <w:lang w:eastAsia="ja-JP"/>
              </w:rPr>
              <w:t xml:space="preserve"> to which a standard is applicable.</w:t>
            </w:r>
            <w:r>
              <w:rPr>
                <w:bCs/>
                <w:lang w:eastAsia="ja-JP"/>
              </w:rPr>
              <w:t xml:space="preserve">  </w:t>
            </w:r>
            <w:r>
              <w:t xml:space="preserve"> </w:t>
            </w:r>
            <w:r w:rsidRPr="004640C9">
              <w:rPr>
                <w:bCs/>
                <w:lang w:eastAsia="ja-JP"/>
              </w:rPr>
              <w:t>Sterilization is a process that requires validation</w:t>
            </w:r>
            <w:r>
              <w:rPr>
                <w:bCs/>
                <w:lang w:eastAsia="ja-JP"/>
              </w:rPr>
              <w:t xml:space="preserve"> under 21 CFR §820</w:t>
            </w:r>
            <w:r w:rsidRPr="004640C9">
              <w:rPr>
                <w:bCs/>
                <w:lang w:eastAsia="ja-JP"/>
              </w:rPr>
              <w:t>. US FDA by recognizing ISO 11137-1:2006(R</w:t>
            </w:r>
            <w:proofErr w:type="gramStart"/>
            <w:r w:rsidRPr="004640C9">
              <w:rPr>
                <w:bCs/>
                <w:lang w:eastAsia="ja-JP"/>
              </w:rPr>
              <w:t>)2010</w:t>
            </w:r>
            <w:proofErr w:type="gramEnd"/>
            <w:r w:rsidRPr="004640C9">
              <w:rPr>
                <w:bCs/>
                <w:lang w:eastAsia="ja-JP"/>
              </w:rPr>
              <w:t xml:space="preserve"> , allows firms to demonstrate they have validated the radiation sterilization process per the requirements outlined in the standard.</w:t>
            </w:r>
            <w:r>
              <w:rPr>
                <w:bCs/>
                <w:lang w:eastAsia="ja-JP"/>
              </w:rPr>
              <w:t xml:space="preserve">  </w:t>
            </w:r>
            <w:r>
              <w:t xml:space="preserve"> </w:t>
            </w:r>
            <w:r w:rsidRPr="004640C9">
              <w:rPr>
                <w:bCs/>
                <w:lang w:eastAsia="ja-JP"/>
              </w:rPr>
              <w:t>ISO 11137 is broken into 3 parts.</w:t>
            </w:r>
            <w:r>
              <w:rPr>
                <w:bCs/>
                <w:lang w:eastAsia="ja-JP"/>
              </w:rPr>
              <w:t xml:space="preserve">  US FDA also recognizes, Part 2 – Establishing the Sterilization Dose, and Part 3 – Guidance on </w:t>
            </w:r>
            <w:proofErr w:type="spellStart"/>
            <w:r>
              <w:rPr>
                <w:bCs/>
                <w:lang w:eastAsia="ja-JP"/>
              </w:rPr>
              <w:t>D</w:t>
            </w:r>
            <w:r w:rsidRPr="004640C9">
              <w:rPr>
                <w:bCs/>
                <w:lang w:eastAsia="ja-JP"/>
              </w:rPr>
              <w:t>osimetric</w:t>
            </w:r>
            <w:proofErr w:type="spellEnd"/>
            <w:r w:rsidRPr="004640C9">
              <w:rPr>
                <w:bCs/>
                <w:lang w:eastAsia="ja-JP"/>
              </w:rPr>
              <w:t xml:space="preserve"> </w:t>
            </w:r>
            <w:r>
              <w:rPr>
                <w:bCs/>
                <w:lang w:eastAsia="ja-JP"/>
              </w:rPr>
              <w:t>Aspects which are referenced in Part 1 of the standard.</w:t>
            </w:r>
          </w:p>
        </w:tc>
      </w:tr>
    </w:tbl>
    <w:p w14:paraId="75C1AE5F" w14:textId="77777777" w:rsidR="00631083" w:rsidRPr="005F1108" w:rsidRDefault="00631083" w:rsidP="00DF2F9D">
      <w:pPr>
        <w:keepNext/>
        <w:rPr>
          <w:lang w:eastAsia="ja-JP"/>
        </w:rPr>
      </w:pPr>
    </w:p>
    <w:sectPr w:rsidR="00631083" w:rsidRPr="005F1108">
      <w:headerReference w:type="default" r:id="rId13"/>
      <w:footerReference w:type="default" r:id="rId14"/>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01B2C" w14:textId="77777777" w:rsidR="00FD41F1" w:rsidRDefault="00FD41F1">
      <w:r>
        <w:separator/>
      </w:r>
    </w:p>
  </w:endnote>
  <w:endnote w:type="continuationSeparator" w:id="0">
    <w:p w14:paraId="06183605" w14:textId="77777777" w:rsidR="00FD41F1" w:rsidRDefault="00F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14:paraId="755E9577" w14:textId="77777777">
      <w:tc>
        <w:tcPr>
          <w:tcW w:w="4788" w:type="dxa"/>
        </w:tcPr>
        <w:p w14:paraId="306F3557" w14:textId="42A9275F" w:rsidR="00B42C7B" w:rsidRDefault="0073455B" w:rsidP="00DC663B">
          <w:pPr>
            <w:pStyle w:val="Footer"/>
            <w:rPr>
              <w:sz w:val="20"/>
              <w:lang w:eastAsia="ja-JP"/>
            </w:rPr>
          </w:pPr>
          <w:r>
            <w:rPr>
              <w:rFonts w:hint="eastAsia"/>
              <w:sz w:val="20"/>
              <w:lang w:eastAsia="ja-JP"/>
            </w:rPr>
            <w:t>2</w:t>
          </w:r>
          <w:r w:rsidR="00631083">
            <w:rPr>
              <w:sz w:val="20"/>
            </w:rPr>
            <w:t xml:space="preserve"> </w:t>
          </w:r>
          <w:r w:rsidR="00DC663B">
            <w:rPr>
              <w:sz w:val="20"/>
            </w:rPr>
            <w:t>October</w:t>
          </w:r>
          <w:r w:rsidR="00631083">
            <w:rPr>
              <w:sz w:val="20"/>
            </w:rPr>
            <w:t xml:space="preserve"> 201</w:t>
          </w:r>
          <w:r w:rsidR="00631083">
            <w:rPr>
              <w:rFonts w:hint="eastAsia"/>
              <w:sz w:val="20"/>
              <w:lang w:eastAsia="ja-JP"/>
            </w:rPr>
            <w:t>5</w:t>
          </w:r>
        </w:p>
      </w:tc>
      <w:tc>
        <w:tcPr>
          <w:tcW w:w="4788" w:type="dxa"/>
        </w:tcPr>
        <w:p w14:paraId="355E1529" w14:textId="77777777"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D93537">
            <w:rPr>
              <w:noProof/>
              <w:snapToGrid w:val="0"/>
              <w:sz w:val="20"/>
            </w:rPr>
            <w:t>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D93537">
            <w:rPr>
              <w:noProof/>
              <w:snapToGrid w:val="0"/>
              <w:sz w:val="20"/>
            </w:rPr>
            <w:t>3</w:t>
          </w:r>
          <w:r>
            <w:rPr>
              <w:snapToGrid w:val="0"/>
              <w:sz w:val="20"/>
            </w:rPr>
            <w:fldChar w:fldCharType="end"/>
          </w:r>
        </w:p>
      </w:tc>
    </w:tr>
  </w:tbl>
  <w:p w14:paraId="4898F2B0" w14:textId="77777777"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6D606" w14:textId="77777777" w:rsidR="00FD41F1" w:rsidRDefault="00FD41F1">
      <w:r>
        <w:separator/>
      </w:r>
    </w:p>
  </w:footnote>
  <w:footnote w:type="continuationSeparator" w:id="0">
    <w:p w14:paraId="0536A831" w14:textId="77777777" w:rsidR="00FD41F1" w:rsidRDefault="00FD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48EF" w14:textId="77777777" w:rsidR="00B42C7B" w:rsidRPr="00865C12" w:rsidRDefault="00B42C7B" w:rsidP="00B42C7B">
    <w:pPr>
      <w:rPr>
        <w:b/>
      </w:rPr>
    </w:pPr>
  </w:p>
  <w:p w14:paraId="55F29692" w14:textId="77777777" w:rsidR="00B42C7B" w:rsidRDefault="00B4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C86D" w14:textId="1994DF73" w:rsidR="00DC70D4" w:rsidRDefault="00DC70D4" w:rsidP="00855EBA">
    <w:pPr>
      <w:pStyle w:val="Heade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6690" w14:textId="2271EA83"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DC663B">
      <w:rPr>
        <w:rFonts w:hint="eastAsia"/>
        <w:sz w:val="20"/>
        <w:lang w:eastAsia="ja-JP"/>
      </w:rPr>
      <w:t xml:space="preserve">38 </w:t>
    </w:r>
    <w:r>
      <w:rPr>
        <w:sz w:val="20"/>
      </w:rPr>
      <w:t>FINAL:</w:t>
    </w:r>
    <w:r w:rsidR="00DC663B">
      <w:rPr>
        <w:sz w:val="20"/>
      </w:rPr>
      <w:t xml:space="preserve"> </w:t>
    </w:r>
    <w:r>
      <w:rPr>
        <w:sz w:val="20"/>
      </w:rPr>
      <w:t>201</w:t>
    </w:r>
    <w:r>
      <w:rPr>
        <w:rFonts w:hint="eastAsia"/>
        <w:sz w:val="20"/>
        <w:lang w:eastAsia="ja-JP"/>
      </w:rPr>
      <w:t>5</w:t>
    </w:r>
  </w:p>
  <w:p w14:paraId="4448606E" w14:textId="77777777" w:rsidR="00B42C7B" w:rsidRPr="001732F8" w:rsidRDefault="00B42C7B">
    <w:pPr>
      <w:pStyle w:val="Header"/>
      <w:pBdr>
        <w:bottom w:val="single" w:sz="4" w:space="1" w:color="auto"/>
      </w:pBdr>
      <w:jc w:val="center"/>
      <w:rPr>
        <w:sz w:val="16"/>
        <w:szCs w:val="16"/>
      </w:rPr>
    </w:pPr>
  </w:p>
  <w:p w14:paraId="27A825B1" w14:textId="77777777"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3059E"/>
    <w:rsid w:val="000F16FC"/>
    <w:rsid w:val="001732F8"/>
    <w:rsid w:val="00176E0B"/>
    <w:rsid w:val="001C3D44"/>
    <w:rsid w:val="001F3FC4"/>
    <w:rsid w:val="002116A7"/>
    <w:rsid w:val="00221F01"/>
    <w:rsid w:val="00221F28"/>
    <w:rsid w:val="00236992"/>
    <w:rsid w:val="002705F3"/>
    <w:rsid w:val="002E7AD8"/>
    <w:rsid w:val="003579BF"/>
    <w:rsid w:val="00381514"/>
    <w:rsid w:val="003A3F2C"/>
    <w:rsid w:val="004340BF"/>
    <w:rsid w:val="0043538F"/>
    <w:rsid w:val="004617AC"/>
    <w:rsid w:val="004679BA"/>
    <w:rsid w:val="00474803"/>
    <w:rsid w:val="0047769B"/>
    <w:rsid w:val="00485EEE"/>
    <w:rsid w:val="004A5607"/>
    <w:rsid w:val="004C00E0"/>
    <w:rsid w:val="004D2146"/>
    <w:rsid w:val="005219B9"/>
    <w:rsid w:val="005727D2"/>
    <w:rsid w:val="005E20AB"/>
    <w:rsid w:val="005F0560"/>
    <w:rsid w:val="005F1108"/>
    <w:rsid w:val="005F453C"/>
    <w:rsid w:val="00621BB0"/>
    <w:rsid w:val="00631083"/>
    <w:rsid w:val="00641029"/>
    <w:rsid w:val="00643A49"/>
    <w:rsid w:val="006B30A4"/>
    <w:rsid w:val="006D3741"/>
    <w:rsid w:val="006D721E"/>
    <w:rsid w:val="007325B5"/>
    <w:rsid w:val="0073455B"/>
    <w:rsid w:val="0076256A"/>
    <w:rsid w:val="007679EF"/>
    <w:rsid w:val="007A4707"/>
    <w:rsid w:val="007E360C"/>
    <w:rsid w:val="00825ACA"/>
    <w:rsid w:val="00830B00"/>
    <w:rsid w:val="0083586F"/>
    <w:rsid w:val="00855EBA"/>
    <w:rsid w:val="00865C12"/>
    <w:rsid w:val="008A0951"/>
    <w:rsid w:val="008C212F"/>
    <w:rsid w:val="008D097B"/>
    <w:rsid w:val="0090176F"/>
    <w:rsid w:val="0090799C"/>
    <w:rsid w:val="00933580"/>
    <w:rsid w:val="009935C1"/>
    <w:rsid w:val="009B75E4"/>
    <w:rsid w:val="009C42C5"/>
    <w:rsid w:val="00A034BC"/>
    <w:rsid w:val="00A22B31"/>
    <w:rsid w:val="00A43F42"/>
    <w:rsid w:val="00A51946"/>
    <w:rsid w:val="00AB0891"/>
    <w:rsid w:val="00AC2B94"/>
    <w:rsid w:val="00AC5924"/>
    <w:rsid w:val="00AC6CAC"/>
    <w:rsid w:val="00AD3291"/>
    <w:rsid w:val="00B0154B"/>
    <w:rsid w:val="00B31FE2"/>
    <w:rsid w:val="00B42C7B"/>
    <w:rsid w:val="00B65343"/>
    <w:rsid w:val="00B95477"/>
    <w:rsid w:val="00BA1E3E"/>
    <w:rsid w:val="00BA253A"/>
    <w:rsid w:val="00BA7B80"/>
    <w:rsid w:val="00BC61A2"/>
    <w:rsid w:val="00BC76BA"/>
    <w:rsid w:val="00C0663E"/>
    <w:rsid w:val="00C46D3F"/>
    <w:rsid w:val="00CD519C"/>
    <w:rsid w:val="00D101E8"/>
    <w:rsid w:val="00D24CE6"/>
    <w:rsid w:val="00D93537"/>
    <w:rsid w:val="00DC663B"/>
    <w:rsid w:val="00DC70D4"/>
    <w:rsid w:val="00DF2F9D"/>
    <w:rsid w:val="00E034B3"/>
    <w:rsid w:val="00E80E08"/>
    <w:rsid w:val="00E85F8B"/>
    <w:rsid w:val="00F70026"/>
    <w:rsid w:val="00FD41F1"/>
    <w:rsid w:val="00FD54EB"/>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940256495">
      <w:bodyDiv w:val="1"/>
      <w:marLeft w:val="0"/>
      <w:marRight w:val="0"/>
      <w:marTop w:val="0"/>
      <w:marBottom w:val="0"/>
      <w:divBdr>
        <w:top w:val="none" w:sz="0" w:space="0" w:color="auto"/>
        <w:left w:val="none" w:sz="0" w:space="0" w:color="auto"/>
        <w:bottom w:val="none" w:sz="0" w:space="0" w:color="auto"/>
        <w:right w:val="none" w:sz="0" w:space="0" w:color="auto"/>
      </w:divBdr>
    </w:div>
    <w:div w:id="18186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F10095AB-5869-4302-A42C-FED0B04C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25</TotalTime>
  <Pages>3</Pages>
  <Words>937</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Statement regarding Use of ISO 14155:2011 “Clinical investigation of medical devices for human subjects – Good clinical practice” </vt:lpstr>
      <vt:lpstr>Statement regarding Use of ISO 14155:2011 “Clinical investigation of medical devices for human subjects – Good clinical practice” </vt:lpstr>
    </vt:vector>
  </TitlesOfParts>
  <Company>IMDRF</Company>
  <LinksUpToDate>false</LinksUpToDate>
  <CharactersWithSpaces>6272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ISO 14155:2011 “Clinical investigation of medical devices for human subjects - Good clinical practice” </dc:title>
  <dc:subject>procedural document</dc:subject>
  <dc:creator>International Medical Device Regulators Forum</dc:creator>
  <cp:keywords>medical devices, regulation, imdrf</cp:keywords>
  <cp:lastModifiedBy>Sheppard, Fran</cp:lastModifiedBy>
  <cp:revision>8</cp:revision>
  <cp:lastPrinted>2015-10-02T07:42:00Z</cp:lastPrinted>
  <dcterms:created xsi:type="dcterms:W3CDTF">2015-09-29T03:56:00Z</dcterms:created>
  <dcterms:modified xsi:type="dcterms:W3CDTF">2015-10-19T09:32:00Z</dcterms:modified>
</cp:coreProperties>
</file>