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56" w:rsidRDefault="00537890">
      <w:pPr>
        <w:pStyle w:val="BodyText"/>
        <w:rPr>
          <w:rFonts w:ascii="Times New Roman"/>
          <w:sz w:val="20"/>
        </w:rPr>
      </w:pPr>
      <w:bookmarkStart w:id="0" w:name="_GoBack"/>
      <w:bookmarkEnd w:id="0"/>
      <w:r>
        <w:rPr>
          <w:noProof/>
          <w:lang w:val="en-AU" w:eastAsia="en-AU" w:bidi="ar-SA"/>
        </w:rPr>
        <w:drawing>
          <wp:anchor distT="0" distB="0" distL="0" distR="0" simplePos="0" relativeHeight="251658240" behindDoc="0" locked="0" layoutInCell="1" allowOverlap="1">
            <wp:simplePos x="0" y="0"/>
            <wp:positionH relativeFrom="page">
              <wp:posOffset>0</wp:posOffset>
            </wp:positionH>
            <wp:positionV relativeFrom="page">
              <wp:posOffset>0</wp:posOffset>
            </wp:positionV>
            <wp:extent cx="7772400" cy="1681699"/>
            <wp:effectExtent l="0" t="0" r="0" b="0"/>
            <wp:wrapNone/>
            <wp:docPr id="1" name="image1.jpeg" descr="Logo IMDRF +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72400" cy="1681699"/>
                    </a:xfrm>
                    <a:prstGeom prst="rect">
                      <a:avLst/>
                    </a:prstGeom>
                  </pic:spPr>
                </pic:pic>
              </a:graphicData>
            </a:graphic>
          </wp:anchor>
        </w:drawing>
      </w:r>
    </w:p>
    <w:p w:rsidR="00D13856" w:rsidRDefault="00D13856">
      <w:pPr>
        <w:pStyle w:val="BodyText"/>
        <w:rPr>
          <w:rFonts w:ascii="Times New Roman"/>
          <w:sz w:val="20"/>
        </w:rPr>
      </w:pPr>
    </w:p>
    <w:p w:rsidR="00D13856" w:rsidRDefault="00D13856">
      <w:pPr>
        <w:pStyle w:val="BodyText"/>
        <w:rPr>
          <w:rFonts w:ascii="Times New Roman"/>
          <w:sz w:val="20"/>
        </w:rPr>
      </w:pPr>
    </w:p>
    <w:p w:rsidR="00D13856" w:rsidRDefault="00D13856">
      <w:pPr>
        <w:pStyle w:val="BodyText"/>
        <w:rPr>
          <w:rFonts w:ascii="Times New Roman"/>
          <w:sz w:val="20"/>
        </w:rPr>
      </w:pPr>
    </w:p>
    <w:p w:rsidR="00D13856" w:rsidRDefault="00D13856">
      <w:pPr>
        <w:pStyle w:val="BodyText"/>
        <w:rPr>
          <w:rFonts w:ascii="Times New Roman"/>
          <w:sz w:val="20"/>
        </w:rPr>
      </w:pPr>
    </w:p>
    <w:p w:rsidR="00D13856" w:rsidRDefault="00D13856">
      <w:pPr>
        <w:pStyle w:val="BodyText"/>
        <w:rPr>
          <w:rFonts w:ascii="Times New Roman"/>
          <w:sz w:val="20"/>
        </w:rPr>
      </w:pPr>
    </w:p>
    <w:p w:rsidR="00D13856" w:rsidRDefault="00D13856">
      <w:pPr>
        <w:pStyle w:val="BodyText"/>
        <w:rPr>
          <w:rFonts w:ascii="Times New Roman"/>
          <w:sz w:val="20"/>
        </w:rPr>
      </w:pPr>
    </w:p>
    <w:p w:rsidR="00D13856" w:rsidRDefault="00D13856">
      <w:pPr>
        <w:pStyle w:val="BodyText"/>
        <w:rPr>
          <w:rFonts w:ascii="Times New Roman"/>
          <w:sz w:val="20"/>
        </w:rPr>
      </w:pPr>
    </w:p>
    <w:p w:rsidR="00D13856" w:rsidRDefault="00D13856">
      <w:pPr>
        <w:pStyle w:val="BodyText"/>
        <w:rPr>
          <w:rFonts w:ascii="Times New Roman"/>
          <w:sz w:val="20"/>
        </w:rPr>
      </w:pPr>
    </w:p>
    <w:p w:rsidR="00D13856" w:rsidRDefault="00D13856">
      <w:pPr>
        <w:pStyle w:val="BodyText"/>
        <w:rPr>
          <w:rFonts w:ascii="Times New Roman"/>
          <w:sz w:val="20"/>
        </w:rPr>
      </w:pPr>
    </w:p>
    <w:p w:rsidR="00D13856" w:rsidRDefault="00D13856">
      <w:pPr>
        <w:pStyle w:val="BodyText"/>
        <w:rPr>
          <w:rFonts w:ascii="Times New Roman"/>
          <w:sz w:val="20"/>
        </w:rPr>
      </w:pPr>
    </w:p>
    <w:p w:rsidR="00D13856" w:rsidRDefault="00D13856">
      <w:pPr>
        <w:pStyle w:val="BodyText"/>
        <w:rPr>
          <w:rFonts w:ascii="Times New Roman"/>
          <w:sz w:val="20"/>
        </w:rPr>
      </w:pPr>
    </w:p>
    <w:p w:rsidR="00D13856" w:rsidRDefault="00D13856">
      <w:pPr>
        <w:pStyle w:val="BodyText"/>
        <w:spacing w:before="1"/>
        <w:rPr>
          <w:rFonts w:ascii="Times New Roman"/>
          <w:sz w:val="20"/>
        </w:rPr>
      </w:pPr>
    </w:p>
    <w:p w:rsidR="00D13856" w:rsidRDefault="00537890">
      <w:pPr>
        <w:pStyle w:val="BodyText"/>
        <w:spacing w:before="56"/>
        <w:ind w:left="1440"/>
      </w:pPr>
      <w:r>
        <w:t>January 24, 2019</w:t>
      </w:r>
    </w:p>
    <w:p w:rsidR="00D13856" w:rsidRDefault="00D13856">
      <w:pPr>
        <w:pStyle w:val="BodyText"/>
      </w:pPr>
    </w:p>
    <w:p w:rsidR="00D13856" w:rsidRDefault="00D13856">
      <w:pPr>
        <w:pStyle w:val="BodyText"/>
      </w:pPr>
    </w:p>
    <w:p w:rsidR="00D13856" w:rsidRDefault="00537890">
      <w:pPr>
        <w:pStyle w:val="BodyText"/>
        <w:ind w:left="1439" w:right="1475"/>
      </w:pPr>
      <w:r>
        <w:t>The Regulated Product Submission (RPS) proposal was endorsed as a New Work Item (NWI) by IMDRF at its inaugural meeting in Singapore in March 2012. The proposal, as endorsed, included the objective of establishing a comprehensive harmonized structure for p</w:t>
      </w:r>
      <w:r>
        <w:t>remarket medical device submissions. The harmonized structure was established as the Table of Contents (</w:t>
      </w:r>
      <w:proofErr w:type="spellStart"/>
      <w:r>
        <w:t>ToC</w:t>
      </w:r>
      <w:proofErr w:type="spellEnd"/>
      <w:r>
        <w:t>) which was first introduced in February 2013 for both IVD and non-IVD devices and has undergone revisions as recently as March 2018.</w:t>
      </w:r>
    </w:p>
    <w:p w:rsidR="00D13856" w:rsidRDefault="00D13856">
      <w:pPr>
        <w:pStyle w:val="BodyText"/>
        <w:spacing w:before="11"/>
        <w:rPr>
          <w:sz w:val="21"/>
        </w:rPr>
      </w:pPr>
    </w:p>
    <w:p w:rsidR="00D13856" w:rsidRDefault="00537890">
      <w:pPr>
        <w:pStyle w:val="BodyText"/>
        <w:spacing w:before="1"/>
        <w:ind w:left="1439" w:right="1491"/>
      </w:pPr>
      <w:r>
        <w:t>In order to ev</w:t>
      </w:r>
      <w:r>
        <w:t xml:space="preserve">aluate the benefits and challenges of utilizing the </w:t>
      </w:r>
      <w:proofErr w:type="spellStart"/>
      <w:r>
        <w:t>ToC</w:t>
      </w:r>
      <w:proofErr w:type="spellEnd"/>
      <w:r>
        <w:t xml:space="preserve"> structure, an IMDRF pilot program involving Australia, Brazil, Canada, China, the European Union, and the United States was initiated October 1, 2015, in addition to regional pilots that were initiate</w:t>
      </w:r>
      <w:r>
        <w:t>d about the same time. The pilot program ended December 2017 with 17 devices accepted into the pilot. To date, 15 applications have been approved from those submitted. The following conclusions were drawn from the pilot:</w:t>
      </w:r>
    </w:p>
    <w:p w:rsidR="00D13856" w:rsidRDefault="00D13856">
      <w:pPr>
        <w:pStyle w:val="BodyText"/>
        <w:spacing w:before="1"/>
      </w:pPr>
    </w:p>
    <w:p w:rsidR="00D13856" w:rsidRDefault="00537890">
      <w:pPr>
        <w:pStyle w:val="ListParagraph"/>
        <w:numPr>
          <w:ilvl w:val="0"/>
          <w:numId w:val="4"/>
        </w:numPr>
        <w:tabs>
          <w:tab w:val="left" w:pos="2159"/>
          <w:tab w:val="left" w:pos="2160"/>
        </w:tabs>
        <w:ind w:right="1517" w:hanging="360"/>
        <w:rPr>
          <w:rFonts w:ascii="Times New Roman"/>
          <w:sz w:val="24"/>
        </w:rPr>
      </w:pPr>
      <w:r>
        <w:t>The consistent structure of well-d</w:t>
      </w:r>
      <w:r>
        <w:t xml:space="preserve">efined </w:t>
      </w:r>
      <w:proofErr w:type="spellStart"/>
      <w:r>
        <w:t>ToC</w:t>
      </w:r>
      <w:proofErr w:type="spellEnd"/>
      <w:r>
        <w:t xml:space="preserve"> sections and numbering, along with the regional classification matrix, allowed for better navigation through the applications and easier access to the data</w:t>
      </w:r>
      <w:r>
        <w:rPr>
          <w:rFonts w:ascii="Times New Roman"/>
          <w:sz w:val="24"/>
        </w:rPr>
        <w:t>.</w:t>
      </w:r>
    </w:p>
    <w:p w:rsidR="00D13856" w:rsidRDefault="00537890">
      <w:pPr>
        <w:pStyle w:val="ListParagraph"/>
        <w:numPr>
          <w:ilvl w:val="0"/>
          <w:numId w:val="4"/>
        </w:numPr>
        <w:tabs>
          <w:tab w:val="left" w:pos="2160"/>
          <w:tab w:val="left" w:pos="2161"/>
        </w:tabs>
        <w:ind w:left="2160" w:hanging="360"/>
      </w:pPr>
      <w:r>
        <w:t xml:space="preserve">Reviewers generally like the </w:t>
      </w:r>
      <w:proofErr w:type="spellStart"/>
      <w:r>
        <w:t>ToC</w:t>
      </w:r>
      <w:proofErr w:type="spellEnd"/>
      <w:r>
        <w:rPr>
          <w:spacing w:val="1"/>
        </w:rPr>
        <w:t xml:space="preserve"> </w:t>
      </w:r>
      <w:r>
        <w:t>format.</w:t>
      </w:r>
    </w:p>
    <w:p w:rsidR="00D13856" w:rsidRDefault="00537890">
      <w:pPr>
        <w:pStyle w:val="ListParagraph"/>
        <w:numPr>
          <w:ilvl w:val="0"/>
          <w:numId w:val="4"/>
        </w:numPr>
        <w:tabs>
          <w:tab w:val="left" w:pos="2160"/>
          <w:tab w:val="left" w:pos="2161"/>
        </w:tabs>
        <w:ind w:left="2160" w:right="1514" w:hanging="360"/>
      </w:pPr>
      <w:r>
        <w:t>The structure is adequate for manufacturers to utilize, but additional guidance would be helpful and a stronger commitment for implementation by regulators is essential for manufacturers to begin investing</w:t>
      </w:r>
      <w:r>
        <w:rPr>
          <w:spacing w:val="-3"/>
        </w:rPr>
        <w:t xml:space="preserve"> </w:t>
      </w:r>
      <w:r>
        <w:t>resources.</w:t>
      </w:r>
    </w:p>
    <w:p w:rsidR="00D13856" w:rsidRDefault="00537890">
      <w:pPr>
        <w:pStyle w:val="ListParagraph"/>
        <w:numPr>
          <w:ilvl w:val="0"/>
          <w:numId w:val="4"/>
        </w:numPr>
        <w:tabs>
          <w:tab w:val="left" w:pos="2160"/>
          <w:tab w:val="left" w:pos="2161"/>
        </w:tabs>
        <w:spacing w:before="1"/>
        <w:ind w:left="2160" w:hanging="360"/>
      </w:pPr>
      <w:r>
        <w:t>Issues encountered to date are provided</w:t>
      </w:r>
      <w:r>
        <w:t xml:space="preserve"> in the below</w:t>
      </w:r>
      <w:r>
        <w:rPr>
          <w:spacing w:val="-8"/>
        </w:rPr>
        <w:t xml:space="preserve"> </w:t>
      </w:r>
      <w:r>
        <w:t>table.</w:t>
      </w:r>
    </w:p>
    <w:p w:rsidR="00D13856" w:rsidRDefault="00D13856">
      <w:pPr>
        <w:pStyle w:val="BodyText"/>
        <w:spacing w:before="10"/>
        <w:rPr>
          <w:sz w:val="21"/>
        </w:rPr>
      </w:pPr>
    </w:p>
    <w:p w:rsidR="00D13856" w:rsidRDefault="00537890">
      <w:pPr>
        <w:pStyle w:val="BodyText"/>
        <w:spacing w:before="1"/>
        <w:ind w:left="1440" w:right="1491"/>
      </w:pPr>
      <w:r>
        <w:t xml:space="preserve">In addition to the </w:t>
      </w:r>
      <w:proofErr w:type="spellStart"/>
      <w:r>
        <w:t>ToC</w:t>
      </w:r>
      <w:proofErr w:type="spellEnd"/>
      <w:r>
        <w:t xml:space="preserve"> pilot, two rounds of RPS test cases were conducted to evaluate a "fit for purpose" of the Health Level Seven (HL7) RPS Standard to allow electronic exchange of information related for premarket medical device ap</w:t>
      </w:r>
      <w:r>
        <w:t>plications. Both reports have been published on the IMDRF website.</w:t>
      </w:r>
    </w:p>
    <w:p w:rsidR="00D13856" w:rsidRDefault="00D13856">
      <w:pPr>
        <w:pStyle w:val="BodyText"/>
      </w:pPr>
    </w:p>
    <w:p w:rsidR="00D13856" w:rsidRDefault="00537890">
      <w:pPr>
        <w:pStyle w:val="BodyText"/>
        <w:ind w:left="1440" w:right="1458"/>
      </w:pPr>
      <w:r>
        <w:t xml:space="preserve">Members of the IMDRF RPS WG continue to support the concept of utilizing a harmonized </w:t>
      </w:r>
      <w:proofErr w:type="spellStart"/>
      <w:r>
        <w:t>ToC</w:t>
      </w:r>
      <w:proofErr w:type="spellEnd"/>
      <w:r>
        <w:t xml:space="preserve"> application format and see value in the establishment of subsequent harmonized electronic submissi</w:t>
      </w:r>
      <w:r>
        <w:t>ons of regulated health products. We do acknowledge that it may be a long-term effort to implement harmonized electronic submissions as common practice.</w:t>
      </w:r>
    </w:p>
    <w:p w:rsidR="00D13856" w:rsidRDefault="00D13856">
      <w:pPr>
        <w:pStyle w:val="BodyText"/>
        <w:spacing w:before="1"/>
      </w:pPr>
    </w:p>
    <w:p w:rsidR="00D13856" w:rsidRDefault="00537890">
      <w:pPr>
        <w:pStyle w:val="BodyText"/>
        <w:ind w:left="1440" w:right="1480"/>
      </w:pPr>
      <w:r>
        <w:t xml:space="preserve">In the interim, we confirm that the </w:t>
      </w:r>
      <w:proofErr w:type="spellStart"/>
      <w:r>
        <w:t>ToC</w:t>
      </w:r>
      <w:proofErr w:type="spellEnd"/>
      <w:r>
        <w:t xml:space="preserve"> structure is an agreeable format capable of supporting the reg</w:t>
      </w:r>
      <w:r>
        <w:t xml:space="preserve">ulatory submission requirements for all member countries. Some members have already announced their intention to adopt the </w:t>
      </w:r>
      <w:proofErr w:type="spellStart"/>
      <w:r>
        <w:t>ToC</w:t>
      </w:r>
      <w:proofErr w:type="spellEnd"/>
      <w:r>
        <w:t xml:space="preserve"> while others are reviewing how the </w:t>
      </w:r>
      <w:proofErr w:type="spellStart"/>
      <w:r>
        <w:t>ToC</w:t>
      </w:r>
      <w:proofErr w:type="spellEnd"/>
      <w:r>
        <w:t xml:space="preserve"> structure may be introduced as an alternative submission format within their current regul</w:t>
      </w:r>
      <w:r>
        <w:t>atory environments.</w:t>
      </w:r>
    </w:p>
    <w:p w:rsidR="00D13856" w:rsidRDefault="00D13856">
      <w:pPr>
        <w:pStyle w:val="BodyText"/>
        <w:spacing w:before="11"/>
        <w:rPr>
          <w:sz w:val="21"/>
        </w:rPr>
      </w:pPr>
    </w:p>
    <w:p w:rsidR="00D13856" w:rsidRDefault="00537890">
      <w:pPr>
        <w:pStyle w:val="BodyText"/>
        <w:ind w:left="1440"/>
      </w:pPr>
      <w:r>
        <w:t>The following feedback was received from pilot participants:</w:t>
      </w:r>
    </w:p>
    <w:p w:rsidR="00D13856" w:rsidRDefault="00D13856">
      <w:pPr>
        <w:sectPr w:rsidR="00D13856">
          <w:footerReference w:type="default" r:id="rId9"/>
          <w:type w:val="continuous"/>
          <w:pgSz w:w="12240" w:h="15840"/>
          <w:pgMar w:top="0" w:right="0" w:bottom="1140" w:left="0" w:header="720" w:footer="958" w:gutter="0"/>
          <w:pgNumType w:start="1"/>
          <w:cols w:space="720"/>
        </w:sect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6475"/>
      </w:tblGrid>
      <w:tr w:rsidR="00D13856">
        <w:trPr>
          <w:trHeight w:val="1355"/>
        </w:trPr>
        <w:tc>
          <w:tcPr>
            <w:tcW w:w="2875" w:type="dxa"/>
          </w:tcPr>
          <w:p w:rsidR="00D13856" w:rsidRDefault="00537890">
            <w:pPr>
              <w:pStyle w:val="TableParagraph"/>
              <w:spacing w:line="265" w:lineRule="exact"/>
              <w:ind w:left="107" w:firstLine="0"/>
            </w:pPr>
            <w:r>
              <w:lastRenderedPageBreak/>
              <w:t xml:space="preserve">Benefits of the </w:t>
            </w:r>
            <w:proofErr w:type="spellStart"/>
            <w:r>
              <w:t>ToC</w:t>
            </w:r>
            <w:proofErr w:type="spellEnd"/>
          </w:p>
        </w:tc>
        <w:tc>
          <w:tcPr>
            <w:tcW w:w="6475" w:type="dxa"/>
          </w:tcPr>
          <w:p w:rsidR="00D13856" w:rsidRDefault="00537890">
            <w:pPr>
              <w:pStyle w:val="TableParagraph"/>
              <w:numPr>
                <w:ilvl w:val="0"/>
                <w:numId w:val="3"/>
              </w:numPr>
              <w:tabs>
                <w:tab w:val="left" w:pos="467"/>
                <w:tab w:val="left" w:pos="468"/>
              </w:tabs>
              <w:spacing w:before="4" w:line="268" w:lineRule="exact"/>
              <w:ind w:right="199"/>
            </w:pPr>
            <w:r>
              <w:t xml:space="preserve">The consistent structure of well-defined </w:t>
            </w:r>
            <w:proofErr w:type="spellStart"/>
            <w:r>
              <w:t>ToC</w:t>
            </w:r>
            <w:proofErr w:type="spellEnd"/>
            <w:r>
              <w:t xml:space="preserve"> sections and numbering along with the regional classification matrix allowed for better navigation through the applications and easier access to the data. The </w:t>
            </w:r>
            <w:proofErr w:type="spellStart"/>
            <w:r>
              <w:t>ToC</w:t>
            </w:r>
            <w:proofErr w:type="spellEnd"/>
            <w:r>
              <w:t xml:space="preserve"> format was generally preferred to the STED forma</w:t>
            </w:r>
            <w:r>
              <w:t>t.</w:t>
            </w:r>
          </w:p>
        </w:tc>
      </w:tr>
      <w:tr w:rsidR="00D13856">
        <w:trPr>
          <w:trHeight w:val="2183"/>
        </w:trPr>
        <w:tc>
          <w:tcPr>
            <w:tcW w:w="2875" w:type="dxa"/>
          </w:tcPr>
          <w:p w:rsidR="00D13856" w:rsidRDefault="00537890">
            <w:pPr>
              <w:pStyle w:val="TableParagraph"/>
              <w:spacing w:line="265" w:lineRule="exact"/>
              <w:ind w:left="107" w:firstLine="0"/>
            </w:pPr>
            <w:r>
              <w:t>Reviewers’ feedback</w:t>
            </w:r>
          </w:p>
        </w:tc>
        <w:tc>
          <w:tcPr>
            <w:tcW w:w="6475" w:type="dxa"/>
          </w:tcPr>
          <w:p w:rsidR="00D13856" w:rsidRDefault="00537890">
            <w:pPr>
              <w:pStyle w:val="TableParagraph"/>
              <w:numPr>
                <w:ilvl w:val="0"/>
                <w:numId w:val="2"/>
              </w:numPr>
              <w:tabs>
                <w:tab w:val="left" w:pos="467"/>
                <w:tab w:val="left" w:pos="468"/>
              </w:tabs>
              <w:spacing w:line="237" w:lineRule="auto"/>
              <w:ind w:right="305"/>
            </w:pPr>
            <w:r>
              <w:t xml:space="preserve">The </w:t>
            </w:r>
            <w:proofErr w:type="spellStart"/>
            <w:r>
              <w:t>ToC</w:t>
            </w:r>
            <w:proofErr w:type="spellEnd"/>
            <w:r>
              <w:t xml:space="preserve"> was less searchable compared to a dossier in single</w:t>
            </w:r>
            <w:r>
              <w:rPr>
                <w:spacing w:val="-24"/>
              </w:rPr>
              <w:t xml:space="preserve"> </w:t>
            </w:r>
            <w:r>
              <w:t>pdf file.</w:t>
            </w:r>
          </w:p>
          <w:p w:rsidR="00D13856" w:rsidRDefault="00537890">
            <w:pPr>
              <w:pStyle w:val="TableParagraph"/>
              <w:numPr>
                <w:ilvl w:val="0"/>
                <w:numId w:val="2"/>
              </w:numPr>
              <w:tabs>
                <w:tab w:val="left" w:pos="468"/>
                <w:tab w:val="left" w:pos="469"/>
              </w:tabs>
              <w:ind w:left="467" w:right="151" w:hanging="359"/>
            </w:pPr>
            <w:r>
              <w:t xml:space="preserve">The </w:t>
            </w:r>
            <w:proofErr w:type="spellStart"/>
            <w:r>
              <w:t>ToC</w:t>
            </w:r>
            <w:proofErr w:type="spellEnd"/>
            <w:r>
              <w:t xml:space="preserve"> format is more useful for applications containing large amounts of data. While the </w:t>
            </w:r>
            <w:proofErr w:type="spellStart"/>
            <w:r>
              <w:t>ToC</w:t>
            </w:r>
            <w:proofErr w:type="spellEnd"/>
            <w:r>
              <w:t xml:space="preserve"> is considered less advantageous for minor amendments, it could still work well with exclusion of irrelevant headings.</w:t>
            </w:r>
          </w:p>
          <w:p w:rsidR="00D13856" w:rsidRDefault="00537890">
            <w:pPr>
              <w:pStyle w:val="TableParagraph"/>
              <w:numPr>
                <w:ilvl w:val="0"/>
                <w:numId w:val="2"/>
              </w:numPr>
              <w:tabs>
                <w:tab w:val="left" w:pos="468"/>
                <w:tab w:val="left" w:pos="469"/>
              </w:tabs>
              <w:spacing w:before="2" w:line="270" w:lineRule="atLeast"/>
              <w:ind w:right="1005"/>
            </w:pPr>
            <w:r>
              <w:t>It is important to follow the recommended h</w:t>
            </w:r>
            <w:r>
              <w:t>eadings for efficiency.</w:t>
            </w:r>
          </w:p>
        </w:tc>
      </w:tr>
      <w:tr w:rsidR="00D13856">
        <w:trPr>
          <w:trHeight w:val="2183"/>
        </w:trPr>
        <w:tc>
          <w:tcPr>
            <w:tcW w:w="2875" w:type="dxa"/>
          </w:tcPr>
          <w:p w:rsidR="00D13856" w:rsidRDefault="00537890">
            <w:pPr>
              <w:pStyle w:val="TableParagraph"/>
              <w:ind w:left="107" w:right="381" w:firstLine="0"/>
            </w:pPr>
            <w:r>
              <w:t>Manufacturers’ feedback from those involved in the pilot.</w:t>
            </w:r>
          </w:p>
        </w:tc>
        <w:tc>
          <w:tcPr>
            <w:tcW w:w="6475" w:type="dxa"/>
          </w:tcPr>
          <w:p w:rsidR="00D13856" w:rsidRDefault="00537890">
            <w:pPr>
              <w:pStyle w:val="TableParagraph"/>
              <w:numPr>
                <w:ilvl w:val="0"/>
                <w:numId w:val="1"/>
              </w:numPr>
              <w:tabs>
                <w:tab w:val="left" w:pos="467"/>
                <w:tab w:val="left" w:pos="468"/>
              </w:tabs>
              <w:ind w:right="100" w:hanging="359"/>
            </w:pPr>
            <w:r>
              <w:t xml:space="preserve">There were some technical limitations due to the hybrid nature of using the </w:t>
            </w:r>
            <w:proofErr w:type="spellStart"/>
            <w:r>
              <w:t>ToC</w:t>
            </w:r>
            <w:proofErr w:type="spellEnd"/>
            <w:r>
              <w:t xml:space="preserve"> structure in a non-RPS environment (e.g. file name limitations).</w:t>
            </w:r>
          </w:p>
          <w:p w:rsidR="00D13856" w:rsidRDefault="00537890">
            <w:pPr>
              <w:pStyle w:val="TableParagraph"/>
              <w:numPr>
                <w:ilvl w:val="0"/>
                <w:numId w:val="1"/>
              </w:numPr>
              <w:tabs>
                <w:tab w:val="left" w:pos="469"/>
              </w:tabs>
              <w:ind w:right="584" w:hanging="359"/>
              <w:jc w:val="both"/>
            </w:pPr>
            <w:r>
              <w:t xml:space="preserve">A positive experience from the pilot is leading some industry members to likely use the </w:t>
            </w:r>
            <w:proofErr w:type="spellStart"/>
            <w:r>
              <w:t>ToC</w:t>
            </w:r>
            <w:proofErr w:type="spellEnd"/>
            <w:r>
              <w:t xml:space="preserve"> as a global template for some types of</w:t>
            </w:r>
            <w:r>
              <w:rPr>
                <w:spacing w:val="-4"/>
              </w:rPr>
              <w:t xml:space="preserve"> </w:t>
            </w:r>
            <w:r>
              <w:t>submissions.</w:t>
            </w:r>
          </w:p>
          <w:p w:rsidR="00D13856" w:rsidRDefault="00537890">
            <w:pPr>
              <w:pStyle w:val="TableParagraph"/>
              <w:numPr>
                <w:ilvl w:val="0"/>
                <w:numId w:val="1"/>
              </w:numPr>
              <w:tabs>
                <w:tab w:val="left" w:pos="468"/>
                <w:tab w:val="left" w:pos="469"/>
              </w:tabs>
              <w:spacing w:line="270" w:lineRule="atLeast"/>
              <w:ind w:left="468" w:right="702"/>
            </w:pPr>
            <w:r>
              <w:t>More guidance has been requested as well as an expressed concern about longer review</w:t>
            </w:r>
            <w:r>
              <w:rPr>
                <w:spacing w:val="-5"/>
              </w:rPr>
              <w:t xml:space="preserve"> </w:t>
            </w:r>
            <w:r>
              <w:t>times.</w:t>
            </w:r>
          </w:p>
        </w:tc>
      </w:tr>
    </w:tbl>
    <w:p w:rsidR="00000000" w:rsidRDefault="00537890"/>
    <w:sectPr w:rsidR="00000000">
      <w:pgSz w:w="12240" w:h="15840"/>
      <w:pgMar w:top="1440" w:right="0" w:bottom="1140" w:left="0" w:header="0" w:footer="9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890">
      <w:r>
        <w:separator/>
      </w:r>
    </w:p>
  </w:endnote>
  <w:endnote w:type="continuationSeparator" w:id="0">
    <w:p w:rsidR="00000000" w:rsidRDefault="0053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856" w:rsidRDefault="00537890">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94.15pt;margin-top:729.1pt;width:22.7pt;height:14.25pt;z-index:-251658752;mso-position-horizontal-relative:page;mso-position-vertical-relative:page" filled="f" stroked="f">
          <v:textbox inset="0,0,0,0">
            <w:txbxContent>
              <w:p w:rsidR="00D13856" w:rsidRDefault="00537890">
                <w:pPr>
                  <w:pStyle w:val="BodyText"/>
                  <w:spacing w:before="11"/>
                  <w:ind w:left="40"/>
                  <w:rPr>
                    <w:rFonts w:ascii="Times New Roman"/>
                  </w:rPr>
                </w:pPr>
                <w:r>
                  <w:fldChar w:fldCharType="begin"/>
                </w:r>
                <w:r>
                  <w:rPr>
                    <w:rFonts w:ascii="Times New Roman"/>
                  </w:rPr>
                  <w:instrText xml:space="preserve"> PAGE </w:instrText>
                </w:r>
                <w:r>
                  <w:fldChar w:fldCharType="separate"/>
                </w:r>
                <w:r>
                  <w:rPr>
                    <w:rFonts w:ascii="Times New Roman"/>
                    <w:noProof/>
                  </w:rPr>
                  <w:t>1</w:t>
                </w:r>
                <w:r>
                  <w:fldChar w:fldCharType="end"/>
                </w:r>
                <w:r>
                  <w:rPr>
                    <w:rFonts w:ascii="Times New Roman"/>
                  </w:rPr>
                  <w:t xml:space="preserve"> / 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890">
      <w:r>
        <w:separator/>
      </w:r>
    </w:p>
  </w:footnote>
  <w:footnote w:type="continuationSeparator" w:id="0">
    <w:p w:rsidR="00000000" w:rsidRDefault="0053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C0C"/>
    <w:multiLevelType w:val="hybridMultilevel"/>
    <w:tmpl w:val="95D46F80"/>
    <w:lvl w:ilvl="0" w:tplc="041263E6">
      <w:numFmt w:val="bullet"/>
      <w:lvlText w:val=""/>
      <w:lvlJc w:val="left"/>
      <w:pPr>
        <w:ind w:left="2159" w:hanging="361"/>
      </w:pPr>
      <w:rPr>
        <w:rFonts w:ascii="Symbol" w:eastAsia="Symbol" w:hAnsi="Symbol" w:cs="Symbol" w:hint="default"/>
        <w:w w:val="100"/>
        <w:sz w:val="22"/>
        <w:szCs w:val="22"/>
        <w:lang w:val="en-US" w:eastAsia="en-US" w:bidi="en-US"/>
      </w:rPr>
    </w:lvl>
    <w:lvl w:ilvl="1" w:tplc="E0ACC150">
      <w:numFmt w:val="bullet"/>
      <w:lvlText w:val="•"/>
      <w:lvlJc w:val="left"/>
      <w:pPr>
        <w:ind w:left="3168" w:hanging="361"/>
      </w:pPr>
      <w:rPr>
        <w:rFonts w:hint="default"/>
        <w:lang w:val="en-US" w:eastAsia="en-US" w:bidi="en-US"/>
      </w:rPr>
    </w:lvl>
    <w:lvl w:ilvl="2" w:tplc="C09A8C86">
      <w:numFmt w:val="bullet"/>
      <w:lvlText w:val="•"/>
      <w:lvlJc w:val="left"/>
      <w:pPr>
        <w:ind w:left="4176" w:hanging="361"/>
      </w:pPr>
      <w:rPr>
        <w:rFonts w:hint="default"/>
        <w:lang w:val="en-US" w:eastAsia="en-US" w:bidi="en-US"/>
      </w:rPr>
    </w:lvl>
    <w:lvl w:ilvl="3" w:tplc="7F3CC250">
      <w:numFmt w:val="bullet"/>
      <w:lvlText w:val="•"/>
      <w:lvlJc w:val="left"/>
      <w:pPr>
        <w:ind w:left="5184" w:hanging="361"/>
      </w:pPr>
      <w:rPr>
        <w:rFonts w:hint="default"/>
        <w:lang w:val="en-US" w:eastAsia="en-US" w:bidi="en-US"/>
      </w:rPr>
    </w:lvl>
    <w:lvl w:ilvl="4" w:tplc="0B56249A">
      <w:numFmt w:val="bullet"/>
      <w:lvlText w:val="•"/>
      <w:lvlJc w:val="left"/>
      <w:pPr>
        <w:ind w:left="6192" w:hanging="361"/>
      </w:pPr>
      <w:rPr>
        <w:rFonts w:hint="default"/>
        <w:lang w:val="en-US" w:eastAsia="en-US" w:bidi="en-US"/>
      </w:rPr>
    </w:lvl>
    <w:lvl w:ilvl="5" w:tplc="92F0A764">
      <w:numFmt w:val="bullet"/>
      <w:lvlText w:val="•"/>
      <w:lvlJc w:val="left"/>
      <w:pPr>
        <w:ind w:left="7200" w:hanging="361"/>
      </w:pPr>
      <w:rPr>
        <w:rFonts w:hint="default"/>
        <w:lang w:val="en-US" w:eastAsia="en-US" w:bidi="en-US"/>
      </w:rPr>
    </w:lvl>
    <w:lvl w:ilvl="6" w:tplc="453452F0">
      <w:numFmt w:val="bullet"/>
      <w:lvlText w:val="•"/>
      <w:lvlJc w:val="left"/>
      <w:pPr>
        <w:ind w:left="8208" w:hanging="361"/>
      </w:pPr>
      <w:rPr>
        <w:rFonts w:hint="default"/>
        <w:lang w:val="en-US" w:eastAsia="en-US" w:bidi="en-US"/>
      </w:rPr>
    </w:lvl>
    <w:lvl w:ilvl="7" w:tplc="314A524A">
      <w:numFmt w:val="bullet"/>
      <w:lvlText w:val="•"/>
      <w:lvlJc w:val="left"/>
      <w:pPr>
        <w:ind w:left="9216" w:hanging="361"/>
      </w:pPr>
      <w:rPr>
        <w:rFonts w:hint="default"/>
        <w:lang w:val="en-US" w:eastAsia="en-US" w:bidi="en-US"/>
      </w:rPr>
    </w:lvl>
    <w:lvl w:ilvl="8" w:tplc="7B40A17C">
      <w:numFmt w:val="bullet"/>
      <w:lvlText w:val="•"/>
      <w:lvlJc w:val="left"/>
      <w:pPr>
        <w:ind w:left="10224" w:hanging="361"/>
      </w:pPr>
      <w:rPr>
        <w:rFonts w:hint="default"/>
        <w:lang w:val="en-US" w:eastAsia="en-US" w:bidi="en-US"/>
      </w:rPr>
    </w:lvl>
  </w:abstractNum>
  <w:abstractNum w:abstractNumId="1">
    <w:nsid w:val="365F15A7"/>
    <w:multiLevelType w:val="hybridMultilevel"/>
    <w:tmpl w:val="9F2E4F84"/>
    <w:lvl w:ilvl="0" w:tplc="FFB6B564">
      <w:numFmt w:val="bullet"/>
      <w:lvlText w:val=""/>
      <w:lvlJc w:val="left"/>
      <w:pPr>
        <w:ind w:left="468" w:hanging="360"/>
      </w:pPr>
      <w:rPr>
        <w:rFonts w:ascii="Symbol" w:eastAsia="Symbol" w:hAnsi="Symbol" w:cs="Symbol" w:hint="default"/>
        <w:w w:val="100"/>
        <w:sz w:val="22"/>
        <w:szCs w:val="22"/>
        <w:lang w:val="en-US" w:eastAsia="en-US" w:bidi="en-US"/>
      </w:rPr>
    </w:lvl>
    <w:lvl w:ilvl="1" w:tplc="2FF09A0A">
      <w:numFmt w:val="bullet"/>
      <w:lvlText w:val="•"/>
      <w:lvlJc w:val="left"/>
      <w:pPr>
        <w:ind w:left="1060" w:hanging="360"/>
      </w:pPr>
      <w:rPr>
        <w:rFonts w:hint="default"/>
        <w:lang w:val="en-US" w:eastAsia="en-US" w:bidi="en-US"/>
      </w:rPr>
    </w:lvl>
    <w:lvl w:ilvl="2" w:tplc="0868CD1E">
      <w:numFmt w:val="bullet"/>
      <w:lvlText w:val="•"/>
      <w:lvlJc w:val="left"/>
      <w:pPr>
        <w:ind w:left="1661" w:hanging="360"/>
      </w:pPr>
      <w:rPr>
        <w:rFonts w:hint="default"/>
        <w:lang w:val="en-US" w:eastAsia="en-US" w:bidi="en-US"/>
      </w:rPr>
    </w:lvl>
    <w:lvl w:ilvl="3" w:tplc="6D9A36D6">
      <w:numFmt w:val="bullet"/>
      <w:lvlText w:val="•"/>
      <w:lvlJc w:val="left"/>
      <w:pPr>
        <w:ind w:left="2261" w:hanging="360"/>
      </w:pPr>
      <w:rPr>
        <w:rFonts w:hint="default"/>
        <w:lang w:val="en-US" w:eastAsia="en-US" w:bidi="en-US"/>
      </w:rPr>
    </w:lvl>
    <w:lvl w:ilvl="4" w:tplc="048A6B3A">
      <w:numFmt w:val="bullet"/>
      <w:lvlText w:val="•"/>
      <w:lvlJc w:val="left"/>
      <w:pPr>
        <w:ind w:left="2862" w:hanging="360"/>
      </w:pPr>
      <w:rPr>
        <w:rFonts w:hint="default"/>
        <w:lang w:val="en-US" w:eastAsia="en-US" w:bidi="en-US"/>
      </w:rPr>
    </w:lvl>
    <w:lvl w:ilvl="5" w:tplc="EC86652C">
      <w:numFmt w:val="bullet"/>
      <w:lvlText w:val="•"/>
      <w:lvlJc w:val="left"/>
      <w:pPr>
        <w:ind w:left="3462" w:hanging="360"/>
      </w:pPr>
      <w:rPr>
        <w:rFonts w:hint="default"/>
        <w:lang w:val="en-US" w:eastAsia="en-US" w:bidi="en-US"/>
      </w:rPr>
    </w:lvl>
    <w:lvl w:ilvl="6" w:tplc="D8B63714">
      <w:numFmt w:val="bullet"/>
      <w:lvlText w:val="•"/>
      <w:lvlJc w:val="left"/>
      <w:pPr>
        <w:ind w:left="4063" w:hanging="360"/>
      </w:pPr>
      <w:rPr>
        <w:rFonts w:hint="default"/>
        <w:lang w:val="en-US" w:eastAsia="en-US" w:bidi="en-US"/>
      </w:rPr>
    </w:lvl>
    <w:lvl w:ilvl="7" w:tplc="692C4AB2">
      <w:numFmt w:val="bullet"/>
      <w:lvlText w:val="•"/>
      <w:lvlJc w:val="left"/>
      <w:pPr>
        <w:ind w:left="4663" w:hanging="360"/>
      </w:pPr>
      <w:rPr>
        <w:rFonts w:hint="default"/>
        <w:lang w:val="en-US" w:eastAsia="en-US" w:bidi="en-US"/>
      </w:rPr>
    </w:lvl>
    <w:lvl w:ilvl="8" w:tplc="0C1E29A6">
      <w:numFmt w:val="bullet"/>
      <w:lvlText w:val="•"/>
      <w:lvlJc w:val="left"/>
      <w:pPr>
        <w:ind w:left="5264" w:hanging="360"/>
      </w:pPr>
      <w:rPr>
        <w:rFonts w:hint="default"/>
        <w:lang w:val="en-US" w:eastAsia="en-US" w:bidi="en-US"/>
      </w:rPr>
    </w:lvl>
  </w:abstractNum>
  <w:abstractNum w:abstractNumId="2">
    <w:nsid w:val="4FDE4063"/>
    <w:multiLevelType w:val="hybridMultilevel"/>
    <w:tmpl w:val="8B42C4BE"/>
    <w:lvl w:ilvl="0" w:tplc="20C0C342">
      <w:numFmt w:val="bullet"/>
      <w:lvlText w:val=""/>
      <w:lvlJc w:val="left"/>
      <w:pPr>
        <w:ind w:left="468" w:hanging="360"/>
      </w:pPr>
      <w:rPr>
        <w:rFonts w:ascii="Symbol" w:eastAsia="Symbol" w:hAnsi="Symbol" w:cs="Symbol" w:hint="default"/>
        <w:w w:val="100"/>
        <w:sz w:val="22"/>
        <w:szCs w:val="22"/>
        <w:lang w:val="en-US" w:eastAsia="en-US" w:bidi="en-US"/>
      </w:rPr>
    </w:lvl>
    <w:lvl w:ilvl="1" w:tplc="43929190">
      <w:numFmt w:val="bullet"/>
      <w:lvlText w:val="•"/>
      <w:lvlJc w:val="left"/>
      <w:pPr>
        <w:ind w:left="1060" w:hanging="360"/>
      </w:pPr>
      <w:rPr>
        <w:rFonts w:hint="default"/>
        <w:lang w:val="en-US" w:eastAsia="en-US" w:bidi="en-US"/>
      </w:rPr>
    </w:lvl>
    <w:lvl w:ilvl="2" w:tplc="B35C5170">
      <w:numFmt w:val="bullet"/>
      <w:lvlText w:val="•"/>
      <w:lvlJc w:val="left"/>
      <w:pPr>
        <w:ind w:left="1661" w:hanging="360"/>
      </w:pPr>
      <w:rPr>
        <w:rFonts w:hint="default"/>
        <w:lang w:val="en-US" w:eastAsia="en-US" w:bidi="en-US"/>
      </w:rPr>
    </w:lvl>
    <w:lvl w:ilvl="3" w:tplc="AE2ED152">
      <w:numFmt w:val="bullet"/>
      <w:lvlText w:val="•"/>
      <w:lvlJc w:val="left"/>
      <w:pPr>
        <w:ind w:left="2261" w:hanging="360"/>
      </w:pPr>
      <w:rPr>
        <w:rFonts w:hint="default"/>
        <w:lang w:val="en-US" w:eastAsia="en-US" w:bidi="en-US"/>
      </w:rPr>
    </w:lvl>
    <w:lvl w:ilvl="4" w:tplc="DD2EB580">
      <w:numFmt w:val="bullet"/>
      <w:lvlText w:val="•"/>
      <w:lvlJc w:val="left"/>
      <w:pPr>
        <w:ind w:left="2862" w:hanging="360"/>
      </w:pPr>
      <w:rPr>
        <w:rFonts w:hint="default"/>
        <w:lang w:val="en-US" w:eastAsia="en-US" w:bidi="en-US"/>
      </w:rPr>
    </w:lvl>
    <w:lvl w:ilvl="5" w:tplc="75BA0440">
      <w:numFmt w:val="bullet"/>
      <w:lvlText w:val="•"/>
      <w:lvlJc w:val="left"/>
      <w:pPr>
        <w:ind w:left="3462" w:hanging="360"/>
      </w:pPr>
      <w:rPr>
        <w:rFonts w:hint="default"/>
        <w:lang w:val="en-US" w:eastAsia="en-US" w:bidi="en-US"/>
      </w:rPr>
    </w:lvl>
    <w:lvl w:ilvl="6" w:tplc="483EF710">
      <w:numFmt w:val="bullet"/>
      <w:lvlText w:val="•"/>
      <w:lvlJc w:val="left"/>
      <w:pPr>
        <w:ind w:left="4063" w:hanging="360"/>
      </w:pPr>
      <w:rPr>
        <w:rFonts w:hint="default"/>
        <w:lang w:val="en-US" w:eastAsia="en-US" w:bidi="en-US"/>
      </w:rPr>
    </w:lvl>
    <w:lvl w:ilvl="7" w:tplc="A532F7A2">
      <w:numFmt w:val="bullet"/>
      <w:lvlText w:val="•"/>
      <w:lvlJc w:val="left"/>
      <w:pPr>
        <w:ind w:left="4663" w:hanging="360"/>
      </w:pPr>
      <w:rPr>
        <w:rFonts w:hint="default"/>
        <w:lang w:val="en-US" w:eastAsia="en-US" w:bidi="en-US"/>
      </w:rPr>
    </w:lvl>
    <w:lvl w:ilvl="8" w:tplc="911450C8">
      <w:numFmt w:val="bullet"/>
      <w:lvlText w:val="•"/>
      <w:lvlJc w:val="left"/>
      <w:pPr>
        <w:ind w:left="5264" w:hanging="360"/>
      </w:pPr>
      <w:rPr>
        <w:rFonts w:hint="default"/>
        <w:lang w:val="en-US" w:eastAsia="en-US" w:bidi="en-US"/>
      </w:rPr>
    </w:lvl>
  </w:abstractNum>
  <w:abstractNum w:abstractNumId="3">
    <w:nsid w:val="6B6021E9"/>
    <w:multiLevelType w:val="hybridMultilevel"/>
    <w:tmpl w:val="52503158"/>
    <w:lvl w:ilvl="0" w:tplc="494090F6">
      <w:numFmt w:val="bullet"/>
      <w:lvlText w:val=""/>
      <w:lvlJc w:val="left"/>
      <w:pPr>
        <w:ind w:left="467" w:hanging="360"/>
      </w:pPr>
      <w:rPr>
        <w:rFonts w:ascii="Symbol" w:eastAsia="Symbol" w:hAnsi="Symbol" w:cs="Symbol" w:hint="default"/>
        <w:w w:val="100"/>
        <w:sz w:val="22"/>
        <w:szCs w:val="22"/>
        <w:lang w:val="en-US" w:eastAsia="en-US" w:bidi="en-US"/>
      </w:rPr>
    </w:lvl>
    <w:lvl w:ilvl="1" w:tplc="A4F4C53C">
      <w:numFmt w:val="bullet"/>
      <w:lvlText w:val="•"/>
      <w:lvlJc w:val="left"/>
      <w:pPr>
        <w:ind w:left="1060" w:hanging="360"/>
      </w:pPr>
      <w:rPr>
        <w:rFonts w:hint="default"/>
        <w:lang w:val="en-US" w:eastAsia="en-US" w:bidi="en-US"/>
      </w:rPr>
    </w:lvl>
    <w:lvl w:ilvl="2" w:tplc="322E5704">
      <w:numFmt w:val="bullet"/>
      <w:lvlText w:val="•"/>
      <w:lvlJc w:val="left"/>
      <w:pPr>
        <w:ind w:left="1661" w:hanging="360"/>
      </w:pPr>
      <w:rPr>
        <w:rFonts w:hint="default"/>
        <w:lang w:val="en-US" w:eastAsia="en-US" w:bidi="en-US"/>
      </w:rPr>
    </w:lvl>
    <w:lvl w:ilvl="3" w:tplc="C8FA91E2">
      <w:numFmt w:val="bullet"/>
      <w:lvlText w:val="•"/>
      <w:lvlJc w:val="left"/>
      <w:pPr>
        <w:ind w:left="2261" w:hanging="360"/>
      </w:pPr>
      <w:rPr>
        <w:rFonts w:hint="default"/>
        <w:lang w:val="en-US" w:eastAsia="en-US" w:bidi="en-US"/>
      </w:rPr>
    </w:lvl>
    <w:lvl w:ilvl="4" w:tplc="03566E60">
      <w:numFmt w:val="bullet"/>
      <w:lvlText w:val="•"/>
      <w:lvlJc w:val="left"/>
      <w:pPr>
        <w:ind w:left="2862" w:hanging="360"/>
      </w:pPr>
      <w:rPr>
        <w:rFonts w:hint="default"/>
        <w:lang w:val="en-US" w:eastAsia="en-US" w:bidi="en-US"/>
      </w:rPr>
    </w:lvl>
    <w:lvl w:ilvl="5" w:tplc="FBAECFBC">
      <w:numFmt w:val="bullet"/>
      <w:lvlText w:val="•"/>
      <w:lvlJc w:val="left"/>
      <w:pPr>
        <w:ind w:left="3462" w:hanging="360"/>
      </w:pPr>
      <w:rPr>
        <w:rFonts w:hint="default"/>
        <w:lang w:val="en-US" w:eastAsia="en-US" w:bidi="en-US"/>
      </w:rPr>
    </w:lvl>
    <w:lvl w:ilvl="6" w:tplc="1AAC9336">
      <w:numFmt w:val="bullet"/>
      <w:lvlText w:val="•"/>
      <w:lvlJc w:val="left"/>
      <w:pPr>
        <w:ind w:left="4063" w:hanging="360"/>
      </w:pPr>
      <w:rPr>
        <w:rFonts w:hint="default"/>
        <w:lang w:val="en-US" w:eastAsia="en-US" w:bidi="en-US"/>
      </w:rPr>
    </w:lvl>
    <w:lvl w:ilvl="7" w:tplc="174898FA">
      <w:numFmt w:val="bullet"/>
      <w:lvlText w:val="•"/>
      <w:lvlJc w:val="left"/>
      <w:pPr>
        <w:ind w:left="4663" w:hanging="360"/>
      </w:pPr>
      <w:rPr>
        <w:rFonts w:hint="default"/>
        <w:lang w:val="en-US" w:eastAsia="en-US" w:bidi="en-US"/>
      </w:rPr>
    </w:lvl>
    <w:lvl w:ilvl="8" w:tplc="36D04EE2">
      <w:numFmt w:val="bullet"/>
      <w:lvlText w:val="•"/>
      <w:lvlJc w:val="left"/>
      <w:pPr>
        <w:ind w:left="5264" w:hanging="360"/>
      </w:pPr>
      <w:rPr>
        <w:rFonts w:hint="default"/>
        <w:lang w:val="en-US" w:eastAsia="en-US" w:bidi="en-U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13856"/>
    <w:rsid w:val="00537890"/>
    <w:rsid w:val="00D13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pPr>
      <w:ind w:left="468"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RPS Communication 24 January 2019</dc:title>
  <dc:creator>IMDRF</dc:creator>
  <cp:keywords>Medtronic Controlled</cp:keywords>
  <cp:lastModifiedBy>SHEPPARD, Fran</cp:lastModifiedBy>
  <cp:revision>2</cp:revision>
  <dcterms:created xsi:type="dcterms:W3CDTF">2019-03-27T22:27:00Z</dcterms:created>
  <dcterms:modified xsi:type="dcterms:W3CDTF">2019-04-04T00:52:00Z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Acrobat PDFMaker 11 for Word</vt:lpwstr>
  </property>
  <property fmtid="{D5CDD505-2E9C-101B-9397-08002B2CF9AE}" pid="4" name="LastSaved">
    <vt:filetime>2019-03-27T00:00:00Z</vt:filetime>
  </property>
</Properties>
</file>