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8923C" w14:textId="7C4C8D3A" w:rsidR="00111253" w:rsidRPr="00C030AF" w:rsidRDefault="00111253" w:rsidP="00111253">
      <w:pPr>
        <w:pBdr>
          <w:top w:val="single" w:sz="6" w:space="0" w:color="000000"/>
          <w:left w:val="single" w:sz="6" w:space="0" w:color="000000"/>
          <w:bottom w:val="single" w:sz="6" w:space="0" w:color="000000"/>
          <w:right w:val="single" w:sz="6" w:space="0" w:color="000000"/>
        </w:pBdr>
        <w:tabs>
          <w:tab w:val="right" w:pos="9360"/>
        </w:tabs>
        <w:spacing w:after="0" w:line="240" w:lineRule="auto"/>
        <w:ind w:firstLine="720"/>
        <w:jc w:val="right"/>
        <w:rPr>
          <w:b/>
        </w:rPr>
      </w:pPr>
      <w:r>
        <w:rPr>
          <w:i/>
          <w:noProof/>
          <w:lang w:eastAsia="en-AU"/>
        </w:rPr>
        <mc:AlternateContent>
          <mc:Choice Requires="wps">
            <w:drawing>
              <wp:anchor distT="0" distB="0" distL="114300" distR="114300" simplePos="0" relativeHeight="251684864" behindDoc="0" locked="0" layoutInCell="1" allowOverlap="1" wp14:anchorId="307C0C42" wp14:editId="21EF0A9B">
                <wp:simplePos x="0" y="0"/>
                <wp:positionH relativeFrom="column">
                  <wp:posOffset>5053330</wp:posOffset>
                </wp:positionH>
                <wp:positionV relativeFrom="paragraph">
                  <wp:posOffset>-878840</wp:posOffset>
                </wp:positionV>
                <wp:extent cx="45085" cy="16383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C43F9" w14:textId="77777777" w:rsidR="00111253" w:rsidRPr="005D7A30" w:rsidRDefault="00111253" w:rsidP="00111253">
                            <w:pPr>
                              <w:rPr>
                                <w:i/>
                                <w:sz w:val="20"/>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7C0C42" id="_x0000_t202" coordsize="21600,21600" o:spt="202" path="m,l,21600r21600,l21600,xe">
                <v:stroke joinstyle="miter"/>
                <v:path gradientshapeok="t" o:connecttype="rect"/>
              </v:shapetype>
              <v:shape id="Text Box 3" o:spid="_x0000_s1026" type="#_x0000_t202" style="position:absolute;left:0;text-align:left;margin-left:397.9pt;margin-top:-69.2pt;width:3.55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" stroked="f">
                <v:textbox style="mso-fit-shape-to-text:t" inset="5.85pt,.7pt,5.85pt,.7pt">
                  <w:txbxContent>
                    <w:p w14:paraId="6EDC43F9" w14:textId="77777777" w:rsidR="00111253" w:rsidRPr="005D7A30" w:rsidRDefault="00111253" w:rsidP="00111253">
                      <w:pPr>
                        <w:rPr>
                          <w:i/>
                          <w:sz w:val="20"/>
                        </w:rPr>
                      </w:pPr>
                    </w:p>
                  </w:txbxContent>
                </v:textbox>
              </v:shape>
            </w:pict>
          </mc:Fallback>
        </mc:AlternateContent>
      </w:r>
      <w:r>
        <w:rPr>
          <w:b/>
        </w:rPr>
        <w:t>IMDRF/MC/N39FINAL:2020 (Edition 2)</w:t>
      </w:r>
    </w:p>
    <w:p w14:paraId="167EB522"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jc w:val="center"/>
        <w:rPr>
          <w:noProof/>
          <w:sz w:val="28"/>
          <w:lang w:eastAsia="en-AU"/>
        </w:rPr>
      </w:pPr>
    </w:p>
    <w:p w14:paraId="15F788B6"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jc w:val="center"/>
        <w:rPr>
          <w:noProof/>
          <w:sz w:val="28"/>
          <w:lang w:eastAsia="en-AU"/>
        </w:rPr>
      </w:pPr>
    </w:p>
    <w:p w14:paraId="544459CD"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jc w:val="center"/>
        <w:rPr>
          <w:noProof/>
          <w:sz w:val="28"/>
          <w:lang w:eastAsia="en-AU"/>
        </w:rPr>
      </w:pPr>
    </w:p>
    <w:p w14:paraId="5D35E357" w14:textId="77777777" w:rsidR="00111253" w:rsidRPr="007C23E1" w:rsidRDefault="00111253" w:rsidP="00111253">
      <w:pPr>
        <w:pBdr>
          <w:top w:val="single" w:sz="6" w:space="0" w:color="000000"/>
          <w:left w:val="single" w:sz="6" w:space="0" w:color="000000"/>
          <w:bottom w:val="single" w:sz="6" w:space="0" w:color="000000"/>
          <w:right w:val="single" w:sz="6" w:space="0" w:color="000000"/>
        </w:pBdr>
        <w:spacing w:after="0" w:line="240" w:lineRule="auto"/>
        <w:jc w:val="center"/>
        <w:rPr>
          <w:b/>
        </w:rPr>
      </w:pPr>
      <w:r>
        <w:rPr>
          <w:noProof/>
          <w:lang w:eastAsia="en-AU"/>
        </w:rPr>
        <w:drawing>
          <wp:inline distT="0" distB="0" distL="0" distR="0" wp14:anchorId="6A76B2D9" wp14:editId="66B8272A">
            <wp:extent cx="5070475" cy="1199515"/>
            <wp:effectExtent l="0" t="0" r="0" b="635"/>
            <wp:docPr id="10" name="Picture 10" descr="imdrf_logo_CMYK"/>
            <wp:cNvGraphicFramePr/>
            <a:graphic xmlns:a="http://schemas.openxmlformats.org/drawingml/2006/main">
              <a:graphicData uri="http://schemas.openxmlformats.org/drawingml/2006/picture">
                <pic:pic xmlns:pic="http://schemas.openxmlformats.org/drawingml/2006/picture">
                  <pic:nvPicPr>
                    <pic:cNvPr id="1" name="Picture 1" descr="imdrf_logo_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0475" cy="1199515"/>
                    </a:xfrm>
                    <a:prstGeom prst="rect">
                      <a:avLst/>
                    </a:prstGeom>
                    <a:noFill/>
                    <a:ln>
                      <a:noFill/>
                    </a:ln>
                  </pic:spPr>
                </pic:pic>
              </a:graphicData>
            </a:graphic>
          </wp:inline>
        </w:drawing>
      </w:r>
    </w:p>
    <w:p w14:paraId="775F6096"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jc w:val="center"/>
      </w:pPr>
    </w:p>
    <w:p w14:paraId="21094E7C"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jc w:val="center"/>
      </w:pPr>
    </w:p>
    <w:p w14:paraId="7D14A56A" w14:textId="77777777" w:rsidR="00111253" w:rsidRPr="00C030AF" w:rsidRDefault="00111253" w:rsidP="00111253">
      <w:pPr>
        <w:pBdr>
          <w:top w:val="single" w:sz="6" w:space="0" w:color="000000"/>
          <w:left w:val="single" w:sz="6" w:space="0" w:color="000000"/>
          <w:bottom w:val="single" w:sz="6" w:space="0" w:color="000000"/>
          <w:right w:val="single" w:sz="6" w:space="0" w:color="000000"/>
        </w:pBdr>
        <w:spacing w:after="0" w:line="240" w:lineRule="auto"/>
      </w:pPr>
    </w:p>
    <w:p w14:paraId="1C1AC075" w14:textId="77777777" w:rsidR="00111253" w:rsidRPr="00B25E57" w:rsidRDefault="00111253" w:rsidP="00111253">
      <w:pPr>
        <w:pBdr>
          <w:top w:val="single" w:sz="6" w:space="0" w:color="000000"/>
          <w:left w:val="single" w:sz="6" w:space="0" w:color="000000"/>
          <w:bottom w:val="single" w:sz="6" w:space="0" w:color="000000"/>
          <w:right w:val="single" w:sz="6" w:space="0" w:color="000000"/>
        </w:pBdr>
        <w:tabs>
          <w:tab w:val="center" w:pos="4680"/>
        </w:tabs>
        <w:spacing w:after="0" w:line="240" w:lineRule="auto"/>
        <w:jc w:val="center"/>
        <w:rPr>
          <w:b/>
          <w:sz w:val="40"/>
          <w:szCs w:val="40"/>
        </w:rPr>
      </w:pPr>
      <w:r>
        <w:rPr>
          <w:b/>
          <w:sz w:val="40"/>
          <w:szCs w:val="40"/>
        </w:rPr>
        <w:t>FINAL DOCUMENT</w:t>
      </w:r>
    </w:p>
    <w:p w14:paraId="4956002D"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b/>
        </w:rPr>
      </w:pPr>
    </w:p>
    <w:p w14:paraId="0351969E"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b/>
        </w:rPr>
      </w:pPr>
    </w:p>
    <w:p w14:paraId="6C0BDDD3"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b/>
        </w:rPr>
      </w:pPr>
    </w:p>
    <w:p w14:paraId="1E49CADD"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b/>
        </w:rPr>
      </w:pPr>
    </w:p>
    <w:p w14:paraId="0FF8375C"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b/>
        </w:rPr>
      </w:pPr>
    </w:p>
    <w:p w14:paraId="40708B4E" w14:textId="77777777" w:rsidR="00111253" w:rsidRPr="000A06A3" w:rsidRDefault="00111253" w:rsidP="00111253">
      <w:pPr>
        <w:pBdr>
          <w:top w:val="single" w:sz="6" w:space="0" w:color="000000"/>
          <w:left w:val="single" w:sz="6" w:space="0" w:color="000000"/>
          <w:bottom w:val="single" w:sz="6" w:space="0" w:color="000000"/>
          <w:right w:val="single" w:sz="6" w:space="0" w:color="000000"/>
        </w:pBdr>
        <w:tabs>
          <w:tab w:val="left" w:pos="810"/>
        </w:tabs>
        <w:spacing w:after="0" w:line="240" w:lineRule="auto"/>
        <w:ind w:left="2880" w:hanging="2880"/>
        <w:rPr>
          <w:b/>
          <w:sz w:val="28"/>
          <w:szCs w:val="28"/>
        </w:rPr>
      </w:pPr>
      <w:r>
        <w:rPr>
          <w:b/>
          <w:sz w:val="28"/>
        </w:rPr>
        <w:t xml:space="preserve">   Title:</w:t>
      </w:r>
      <w:r>
        <w:rPr>
          <w:b/>
          <w:sz w:val="28"/>
          <w:szCs w:val="28"/>
        </w:rPr>
        <w:tab/>
      </w:r>
      <w:bookmarkStart w:id="0" w:name="_GoBack"/>
      <w:r>
        <w:rPr>
          <w:sz w:val="28"/>
          <w:szCs w:val="28"/>
        </w:rPr>
        <w:t>IMDRF Strategic Plan 2021 - 2025</w:t>
      </w:r>
      <w:bookmarkEnd w:id="0"/>
    </w:p>
    <w:p w14:paraId="389D02BB" w14:textId="77777777" w:rsidR="00111253" w:rsidRPr="000A06A3" w:rsidRDefault="00111253" w:rsidP="00111253">
      <w:pPr>
        <w:pBdr>
          <w:top w:val="single" w:sz="6" w:space="0" w:color="000000"/>
          <w:left w:val="single" w:sz="6" w:space="0" w:color="000000"/>
          <w:bottom w:val="single" w:sz="6" w:space="0" w:color="000000"/>
          <w:right w:val="single" w:sz="6" w:space="0" w:color="000000"/>
        </w:pBdr>
        <w:spacing w:after="0" w:line="240" w:lineRule="auto"/>
        <w:rPr>
          <w:b/>
          <w:sz w:val="28"/>
          <w:szCs w:val="28"/>
        </w:rPr>
      </w:pPr>
    </w:p>
    <w:p w14:paraId="7A7EA023" w14:textId="77777777" w:rsidR="00111253" w:rsidRPr="000A06A3" w:rsidRDefault="00111253" w:rsidP="00111253">
      <w:pPr>
        <w:pBdr>
          <w:top w:val="single" w:sz="6" w:space="0" w:color="000000"/>
          <w:left w:val="single" w:sz="6" w:space="0" w:color="000000"/>
          <w:bottom w:val="single" w:sz="6" w:space="0" w:color="000000"/>
          <w:right w:val="single" w:sz="6" w:space="0" w:color="000000"/>
        </w:pBdr>
        <w:spacing w:after="0" w:line="240" w:lineRule="auto"/>
        <w:rPr>
          <w:b/>
          <w:sz w:val="28"/>
          <w:szCs w:val="28"/>
        </w:rPr>
      </w:pPr>
      <w:r>
        <w:rPr>
          <w:b/>
          <w:sz w:val="28"/>
        </w:rPr>
        <w:t xml:space="preserve">   Authoring Group:</w:t>
      </w:r>
      <w:r w:rsidRPr="000A06A3">
        <w:rPr>
          <w:b/>
          <w:sz w:val="28"/>
          <w:szCs w:val="28"/>
        </w:rPr>
        <w:t xml:space="preserve"> </w:t>
      </w:r>
      <w:r>
        <w:rPr>
          <w:b/>
          <w:sz w:val="28"/>
          <w:szCs w:val="28"/>
        </w:rPr>
        <w:tab/>
      </w:r>
      <w:r>
        <w:rPr>
          <w:sz w:val="28"/>
          <w:szCs w:val="28"/>
        </w:rPr>
        <w:t>IMDRF Management Committee</w:t>
      </w:r>
    </w:p>
    <w:p w14:paraId="66D2679B" w14:textId="77777777" w:rsidR="00111253" w:rsidRPr="000A06A3" w:rsidRDefault="00111253" w:rsidP="00111253">
      <w:pPr>
        <w:pBdr>
          <w:top w:val="single" w:sz="6" w:space="0" w:color="000000"/>
          <w:left w:val="single" w:sz="6" w:space="0" w:color="000000"/>
          <w:bottom w:val="single" w:sz="6" w:space="0" w:color="000000"/>
          <w:right w:val="single" w:sz="6" w:space="0" w:color="000000"/>
        </w:pBdr>
        <w:spacing w:after="0" w:line="240" w:lineRule="auto"/>
        <w:rPr>
          <w:b/>
          <w:sz w:val="28"/>
          <w:szCs w:val="28"/>
        </w:rPr>
      </w:pPr>
    </w:p>
    <w:p w14:paraId="30DDA01E"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r>
        <w:rPr>
          <w:b/>
          <w:sz w:val="28"/>
        </w:rPr>
        <w:t xml:space="preserve">   Date:</w:t>
      </w:r>
      <w:r>
        <w:rPr>
          <w:sz w:val="28"/>
          <w:szCs w:val="28"/>
        </w:rPr>
        <w:tab/>
      </w:r>
      <w:r>
        <w:rPr>
          <w:sz w:val="28"/>
          <w:szCs w:val="28"/>
        </w:rPr>
        <w:tab/>
      </w:r>
      <w:r>
        <w:rPr>
          <w:sz w:val="28"/>
          <w:szCs w:val="28"/>
        </w:rPr>
        <w:tab/>
        <w:t>25 September 2020</w:t>
      </w:r>
    </w:p>
    <w:p w14:paraId="45619205"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4B2B96EB"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62498BB0" w14:textId="36AC125E"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0249617D" w14:textId="542DBADF"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7966DB45" w14:textId="79F6EA3D"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7C91CC9D"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51941D90" w14:textId="3A3F107A"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2067F921" w14:textId="4FCD348A"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01ADBE7E" w14:textId="129EF57C"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773C43D3"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3A80C25E"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78AD6B68"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jc w:val="right"/>
        <w:rPr>
          <w:sz w:val="28"/>
          <w:szCs w:val="28"/>
        </w:rPr>
      </w:pPr>
      <w:r>
        <w:rPr>
          <w:bCs/>
          <w:sz w:val="28"/>
          <w:szCs w:val="28"/>
        </w:rPr>
        <w:t>Dr Choong May Ling, Mimi, IMDRF Chair</w:t>
      </w:r>
    </w:p>
    <w:p w14:paraId="2FFE7E20"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sz w:val="28"/>
          <w:szCs w:val="28"/>
        </w:rPr>
      </w:pPr>
    </w:p>
    <w:p w14:paraId="51396984" w14:textId="77777777" w:rsidR="00111253" w:rsidRPr="003C3CD1" w:rsidRDefault="00111253" w:rsidP="00111253">
      <w:pPr>
        <w:pBdr>
          <w:top w:val="single" w:sz="6" w:space="0" w:color="000000"/>
          <w:left w:val="single" w:sz="6" w:space="0" w:color="000000"/>
          <w:bottom w:val="single" w:sz="6" w:space="0" w:color="000000"/>
          <w:right w:val="single" w:sz="6" w:space="0" w:color="000000"/>
        </w:pBdr>
        <w:spacing w:after="0" w:line="240" w:lineRule="auto"/>
        <w:rPr>
          <w:color w:val="000000"/>
          <w:sz w:val="28"/>
          <w:szCs w:val="28"/>
          <w:lang w:val="en-GB"/>
        </w:rPr>
      </w:pPr>
    </w:p>
    <w:p w14:paraId="2291C944"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jc w:val="both"/>
        <w:rPr>
          <w:color w:val="000000"/>
          <w:lang w:eastAsia="en-AU"/>
        </w:rPr>
      </w:pPr>
      <w:r w:rsidRPr="00D61200">
        <w:rPr>
          <w:color w:val="000000"/>
          <w:lang w:eastAsia="en-AU"/>
        </w:rPr>
        <w:t xml:space="preserve">This document was produced by the International </w:t>
      </w:r>
      <w:r>
        <w:rPr>
          <w:color w:val="000000"/>
          <w:lang w:eastAsia="en-AU"/>
        </w:rPr>
        <w:t>Medical Device Regulators Forum.</w:t>
      </w:r>
      <w:r w:rsidRPr="00D61200">
        <w:rPr>
          <w:color w:val="000000"/>
          <w:lang w:eastAsia="en-AU"/>
        </w:rPr>
        <w:t xml:space="preserve"> There are no restrictions on the reproduction or use of this document; however, incorporation of this document, in part or in whole, into another document, or its translation into languages other than English, does not convey or represent an endorsement of any kind by the International Medical Device Regulators Forum.</w:t>
      </w:r>
    </w:p>
    <w:p w14:paraId="4DE30726" w14:textId="77777777" w:rsidR="00111253" w:rsidRDefault="00111253" w:rsidP="00111253">
      <w:pPr>
        <w:pBdr>
          <w:top w:val="single" w:sz="6" w:space="0" w:color="000000"/>
          <w:left w:val="single" w:sz="6" w:space="0" w:color="000000"/>
          <w:bottom w:val="single" w:sz="6" w:space="0" w:color="000000"/>
          <w:right w:val="single" w:sz="6" w:space="0" w:color="000000"/>
        </w:pBdr>
        <w:spacing w:after="0" w:line="240" w:lineRule="auto"/>
        <w:rPr>
          <w:color w:val="000000"/>
          <w:lang w:eastAsia="en-AU"/>
        </w:rPr>
      </w:pPr>
    </w:p>
    <w:p w14:paraId="20288FDB" w14:textId="6D1325D3" w:rsidR="00111253" w:rsidRPr="00111253" w:rsidRDefault="00111253" w:rsidP="00111253">
      <w:pPr>
        <w:pBdr>
          <w:top w:val="single" w:sz="6" w:space="0" w:color="000000"/>
          <w:left w:val="single" w:sz="6" w:space="0" w:color="000000"/>
          <w:bottom w:val="single" w:sz="6" w:space="0" w:color="000000"/>
          <w:right w:val="single" w:sz="6" w:space="0" w:color="000000"/>
        </w:pBdr>
        <w:spacing w:after="0" w:line="240" w:lineRule="auto"/>
      </w:pPr>
      <w:r w:rsidRPr="00D61200">
        <w:rPr>
          <w:color w:val="000000"/>
          <w:lang w:eastAsia="en-AU"/>
        </w:rPr>
        <w:t xml:space="preserve">Copyright © </w:t>
      </w:r>
      <w:r>
        <w:rPr>
          <w:color w:val="000000"/>
          <w:lang w:eastAsia="en-AU"/>
        </w:rPr>
        <w:t>2020</w:t>
      </w:r>
      <w:r w:rsidRPr="00D61200">
        <w:rPr>
          <w:color w:val="000000"/>
          <w:lang w:eastAsia="en-AU"/>
        </w:rPr>
        <w:t xml:space="preserve"> by the International</w:t>
      </w:r>
      <w:r w:rsidRPr="004D219A">
        <w:rPr>
          <w:color w:val="000000"/>
          <w:lang w:eastAsia="en-AU"/>
        </w:rPr>
        <w:t xml:space="preserve"> Medical Device Regulators Forum.</w:t>
      </w:r>
      <w:r>
        <w:rPr>
          <w:rFonts w:asciiTheme="minorHAnsi" w:hAnsiTheme="minorHAnsi" w:cstheme="minorHAnsi"/>
        </w:rPr>
        <w:br w:type="page"/>
      </w:r>
    </w:p>
    <w:p w14:paraId="4A4E4010" w14:textId="77777777" w:rsidR="00111253" w:rsidRDefault="00111253" w:rsidP="00DF7D60">
      <w:pPr>
        <w:pBdr>
          <w:top w:val="single" w:sz="4" w:space="1" w:color="auto"/>
        </w:pBdr>
        <w:rPr>
          <w:rFonts w:asciiTheme="minorHAnsi" w:hAnsiTheme="minorHAnsi" w:cstheme="minorHAnsi"/>
        </w:rPr>
        <w:sectPr w:rsidR="00111253" w:rsidSect="0044684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18" w:header="709" w:footer="709" w:gutter="0"/>
          <w:cols w:space="235"/>
          <w:titlePg/>
          <w:docGrid w:linePitch="360"/>
        </w:sectPr>
      </w:pPr>
    </w:p>
    <w:p w14:paraId="78C8DE6E" w14:textId="42A836E1" w:rsidR="003F5DD3" w:rsidRPr="00904C51" w:rsidRDefault="00D24D76" w:rsidP="00DF7D60">
      <w:pPr>
        <w:pBdr>
          <w:top w:val="single" w:sz="4" w:space="1" w:color="auto"/>
        </w:pBdr>
        <w:rPr>
          <w:rFonts w:asciiTheme="minorHAnsi" w:hAnsiTheme="minorHAnsi" w:cstheme="minorHAnsi"/>
        </w:rPr>
      </w:pPr>
      <w:r w:rsidRPr="00492171">
        <w:rPr>
          <w:noProof/>
          <w:szCs w:val="20"/>
          <w:lang w:eastAsia="en-AU"/>
        </w:rPr>
        <w:lastRenderedPageBreak/>
        <w:drawing>
          <wp:inline distT="0" distB="0" distL="0" distR="0" wp14:anchorId="0CEA36BF" wp14:editId="1042F9DB">
            <wp:extent cx="5070475" cy="1199515"/>
            <wp:effectExtent l="0" t="0" r="0" b="635"/>
            <wp:docPr id="14" name="Picture 14" descr="imdr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rf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0475" cy="1199515"/>
                    </a:xfrm>
                    <a:prstGeom prst="rect">
                      <a:avLst/>
                    </a:prstGeom>
                    <a:noFill/>
                    <a:ln>
                      <a:noFill/>
                    </a:ln>
                  </pic:spPr>
                </pic:pic>
              </a:graphicData>
            </a:graphic>
          </wp:inline>
        </w:drawing>
      </w:r>
    </w:p>
    <w:p w14:paraId="4D0A18DF" w14:textId="77777777" w:rsidR="003F5DD3" w:rsidRPr="00904C51" w:rsidRDefault="003F5DD3">
      <w:pPr>
        <w:rPr>
          <w:rFonts w:asciiTheme="minorHAnsi" w:hAnsiTheme="minorHAnsi" w:cstheme="minorHAnsi"/>
          <w:sz w:val="56"/>
          <w:szCs w:val="56"/>
        </w:rPr>
      </w:pPr>
    </w:p>
    <w:p w14:paraId="1769070B" w14:textId="7CE02E2D" w:rsidR="003F5DD3" w:rsidRPr="00904C51" w:rsidRDefault="003F5DD3" w:rsidP="00D3368D">
      <w:pPr>
        <w:jc w:val="center"/>
        <w:rPr>
          <w:rFonts w:asciiTheme="minorHAnsi" w:hAnsiTheme="minorHAnsi" w:cstheme="minorHAnsi"/>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4C51">
        <w:rPr>
          <w:rFonts w:asciiTheme="minorHAnsi" w:hAnsiTheme="minorHAnsi" w:cstheme="minorHAnsi"/>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Strategic Plan</w:t>
      </w:r>
    </w:p>
    <w:p w14:paraId="0AE61791" w14:textId="265AE123" w:rsidR="00F7725C" w:rsidRDefault="00F128B2" w:rsidP="00F7725C">
      <w:pPr>
        <w:pStyle w:val="Footer"/>
        <w:jc w:val="center"/>
      </w:pPr>
      <w:r w:rsidRPr="00904C51">
        <w:rPr>
          <w:rFonts w:asciiTheme="minorHAnsi" w:hAnsiTheme="minorHAnsi" w:cstheme="minorHAnsi"/>
          <w:noProof/>
          <w:lang w:eastAsia="en-AU"/>
        </w:rPr>
        <w:drawing>
          <wp:anchor distT="0" distB="0" distL="114300" distR="114300" simplePos="0" relativeHeight="251670528" behindDoc="1" locked="0" layoutInCell="1" allowOverlap="1" wp14:anchorId="01B839EF" wp14:editId="73E3E5FA">
            <wp:simplePos x="0" y="0"/>
            <wp:positionH relativeFrom="page">
              <wp:posOffset>13970</wp:posOffset>
            </wp:positionH>
            <wp:positionV relativeFrom="paragraph">
              <wp:posOffset>610235</wp:posOffset>
            </wp:positionV>
            <wp:extent cx="7534275" cy="4902200"/>
            <wp:effectExtent l="0" t="0" r="9525" b="0"/>
            <wp:wrapThrough wrapText="bothSides">
              <wp:wrapPolygon edited="0">
                <wp:start x="0" y="0"/>
                <wp:lineTo x="0" y="21488"/>
                <wp:lineTo x="21573" y="21488"/>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sc-globalhealthcare-1534974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34275" cy="4902200"/>
                    </a:xfrm>
                    <a:prstGeom prst="rect">
                      <a:avLst/>
                    </a:prstGeom>
                  </pic:spPr>
                </pic:pic>
              </a:graphicData>
            </a:graphic>
            <wp14:sizeRelH relativeFrom="page">
              <wp14:pctWidth>0</wp14:pctWidth>
            </wp14:sizeRelH>
            <wp14:sizeRelV relativeFrom="page">
              <wp14:pctHeight>0</wp14:pctHeight>
            </wp14:sizeRelV>
          </wp:anchor>
        </w:drawing>
      </w:r>
      <w:r w:rsidR="00D3368D" w:rsidRPr="00904C51">
        <w:rPr>
          <w:rFonts w:asciiTheme="minorHAnsi" w:hAnsiTheme="minorHAnsi" w:cstheme="min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2021 - 2025</w:t>
      </w:r>
    </w:p>
    <w:p w14:paraId="289759D6" w14:textId="77777777" w:rsidR="00F7725C" w:rsidRDefault="00F7725C" w:rsidP="00F7725C">
      <w:pPr>
        <w:pStyle w:val="Footer"/>
      </w:pPr>
    </w:p>
    <w:p w14:paraId="2CB5B715" w14:textId="7EB7C596" w:rsidR="00F7725C" w:rsidRPr="000D36E5" w:rsidRDefault="00F7725C" w:rsidP="00F7725C">
      <w:pPr>
        <w:pStyle w:val="Footer"/>
        <w:rPr>
          <w:rFonts w:asciiTheme="minorHAnsi" w:hAnsiTheme="minorHAnsi" w:cstheme="minorHAnsi"/>
        </w:rPr>
      </w:pPr>
      <w:r w:rsidRPr="000D36E5">
        <w:rPr>
          <w:rFonts w:asciiTheme="minorHAnsi" w:hAnsiTheme="minorHAnsi" w:cstheme="minorHAnsi"/>
        </w:rPr>
        <w:t>Copyright © 20</w:t>
      </w:r>
      <w:r w:rsidR="0067364E" w:rsidRPr="000D36E5">
        <w:rPr>
          <w:rFonts w:asciiTheme="minorHAnsi" w:hAnsiTheme="minorHAnsi" w:cstheme="minorHAnsi"/>
        </w:rPr>
        <w:t>20</w:t>
      </w:r>
      <w:r w:rsidRPr="000D36E5">
        <w:rPr>
          <w:rFonts w:asciiTheme="minorHAnsi" w:hAnsiTheme="minorHAnsi" w:cstheme="minorHAnsi"/>
        </w:rPr>
        <w:t xml:space="preserve"> by the International Medical Device Regulators Forum.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F6FFE" w:rsidRPr="00877BDB" w14:paraId="108878E3" w14:textId="77777777" w:rsidTr="00FB1B2F">
        <w:tc>
          <w:tcPr>
            <w:tcW w:w="9016" w:type="dxa"/>
          </w:tcPr>
          <w:p w14:paraId="0B888CA6" w14:textId="42942A10" w:rsidR="00BF6FFE" w:rsidRPr="00877BDB" w:rsidRDefault="00BF6FFE" w:rsidP="00FB1B2F">
            <w:pPr>
              <w:pStyle w:val="Heading1"/>
              <w:outlineLvl w:val="0"/>
              <w:rPr>
                <w:rFonts w:asciiTheme="minorHAnsi" w:hAnsiTheme="minorHAnsi" w:cstheme="minorHAnsi"/>
                <w:b/>
                <w:sz w:val="48"/>
                <w:szCs w:val="48"/>
              </w:rPr>
            </w:pPr>
            <w:bookmarkStart w:id="1" w:name="_Toc47861585"/>
            <w:bookmarkStart w:id="2" w:name="_Toc47881855"/>
            <w:bookmarkStart w:id="3" w:name="_Toc48305434"/>
            <w:bookmarkStart w:id="4" w:name="_Toc48545797"/>
            <w:r>
              <w:rPr>
                <w:rFonts w:asciiTheme="minorHAnsi" w:hAnsiTheme="minorHAnsi" w:cstheme="minorHAnsi"/>
                <w:b/>
                <w:sz w:val="48"/>
                <w:szCs w:val="48"/>
              </w:rPr>
              <w:lastRenderedPageBreak/>
              <w:t>Table of Contents</w:t>
            </w:r>
            <w:bookmarkEnd w:id="1"/>
            <w:bookmarkEnd w:id="2"/>
            <w:bookmarkEnd w:id="3"/>
            <w:bookmarkEnd w:id="4"/>
          </w:p>
        </w:tc>
      </w:tr>
    </w:tbl>
    <w:sdt>
      <w:sdtPr>
        <w:id w:val="-1379862462"/>
        <w:docPartObj>
          <w:docPartGallery w:val="Table of Contents"/>
          <w:docPartUnique/>
        </w:docPartObj>
      </w:sdtPr>
      <w:sdtEndPr>
        <w:rPr>
          <w:noProof/>
        </w:rPr>
      </w:sdtEndPr>
      <w:sdtContent>
        <w:p w14:paraId="74329220" w14:textId="77777777" w:rsidR="00AA6554" w:rsidRDefault="00AA6554" w:rsidP="00D47E0B">
          <w:pPr>
            <w:pStyle w:val="TOC1"/>
          </w:pPr>
        </w:p>
        <w:p w14:paraId="201C09E8" w14:textId="3C4D152F" w:rsidR="00AA6554" w:rsidRPr="00AA6554" w:rsidRDefault="00BF6FFE" w:rsidP="00D47E0B">
          <w:pPr>
            <w:pStyle w:val="TOC1"/>
            <w:rPr>
              <w:rFonts w:eastAsiaTheme="minorEastAsia"/>
              <w:noProof/>
              <w:sz w:val="22"/>
              <w:szCs w:val="22"/>
              <w:lang w:eastAsia="en-AU"/>
            </w:rPr>
          </w:pPr>
          <w:r w:rsidRPr="00AA6554">
            <w:fldChar w:fldCharType="begin"/>
          </w:r>
          <w:r w:rsidRPr="00AA6554">
            <w:instrText xml:space="preserve"> TOC \o "1-3" \h \z \u </w:instrText>
          </w:r>
          <w:r w:rsidRPr="00AA6554">
            <w:fldChar w:fldCharType="separate"/>
          </w:r>
          <w:hyperlink w:anchor="_Toc48545797" w:history="1"/>
          <w:hyperlink w:anchor="_Toc48545798" w:history="1">
            <w:r w:rsidR="00AA6554" w:rsidRPr="00AA6554">
              <w:rPr>
                <w:rStyle w:val="Hyperlink"/>
                <w:noProof/>
              </w:rPr>
              <w:t>IMDRF Mission</w:t>
            </w:r>
            <w:r w:rsidR="00AA6554" w:rsidRPr="00AA6554">
              <w:rPr>
                <w:noProof/>
                <w:webHidden/>
              </w:rPr>
              <w:tab/>
            </w:r>
            <w:r w:rsidR="00AA6554" w:rsidRPr="00AA6554">
              <w:rPr>
                <w:noProof/>
                <w:webHidden/>
              </w:rPr>
              <w:fldChar w:fldCharType="begin"/>
            </w:r>
            <w:r w:rsidR="00AA6554" w:rsidRPr="00AA6554">
              <w:rPr>
                <w:noProof/>
                <w:webHidden/>
              </w:rPr>
              <w:instrText xml:space="preserve"> PAGEREF _Toc48545798 \h </w:instrText>
            </w:r>
            <w:r w:rsidR="00AA6554" w:rsidRPr="00AA6554">
              <w:rPr>
                <w:noProof/>
                <w:webHidden/>
              </w:rPr>
            </w:r>
            <w:r w:rsidR="00AA6554" w:rsidRPr="00AA6554">
              <w:rPr>
                <w:noProof/>
                <w:webHidden/>
              </w:rPr>
              <w:fldChar w:fldCharType="separate"/>
            </w:r>
            <w:r w:rsidR="00AA6554" w:rsidRPr="00AA6554">
              <w:rPr>
                <w:noProof/>
                <w:webHidden/>
              </w:rPr>
              <w:t>3</w:t>
            </w:r>
            <w:r w:rsidR="00AA6554" w:rsidRPr="00AA6554">
              <w:rPr>
                <w:noProof/>
                <w:webHidden/>
              </w:rPr>
              <w:fldChar w:fldCharType="end"/>
            </w:r>
          </w:hyperlink>
        </w:p>
        <w:p w14:paraId="6EB4D6AE" w14:textId="1ECA4502" w:rsidR="00AA6554" w:rsidRPr="00AA6554" w:rsidRDefault="00F827D7" w:rsidP="00D47E0B">
          <w:pPr>
            <w:pStyle w:val="TOC1"/>
            <w:rPr>
              <w:rFonts w:eastAsiaTheme="minorEastAsia"/>
              <w:noProof/>
              <w:sz w:val="22"/>
              <w:szCs w:val="22"/>
              <w:lang w:eastAsia="en-AU"/>
            </w:rPr>
          </w:pPr>
          <w:hyperlink w:anchor="_Toc48545799" w:history="1">
            <w:r w:rsidR="00AA6554" w:rsidRPr="00AA6554">
              <w:rPr>
                <w:rStyle w:val="Hyperlink"/>
                <w:noProof/>
              </w:rPr>
              <w:t>Evolving Medical Device Landscape</w:t>
            </w:r>
            <w:r w:rsidR="00AA6554" w:rsidRPr="00AA6554">
              <w:rPr>
                <w:noProof/>
                <w:webHidden/>
              </w:rPr>
              <w:tab/>
            </w:r>
            <w:r w:rsidR="00AA6554" w:rsidRPr="00AA6554">
              <w:rPr>
                <w:noProof/>
                <w:webHidden/>
              </w:rPr>
              <w:fldChar w:fldCharType="begin"/>
            </w:r>
            <w:r w:rsidR="00AA6554" w:rsidRPr="00AA6554">
              <w:rPr>
                <w:noProof/>
                <w:webHidden/>
              </w:rPr>
              <w:instrText xml:space="preserve"> PAGEREF _Toc48545799 \h </w:instrText>
            </w:r>
            <w:r w:rsidR="00AA6554" w:rsidRPr="00AA6554">
              <w:rPr>
                <w:noProof/>
                <w:webHidden/>
              </w:rPr>
            </w:r>
            <w:r w:rsidR="00AA6554" w:rsidRPr="00AA6554">
              <w:rPr>
                <w:noProof/>
                <w:webHidden/>
              </w:rPr>
              <w:fldChar w:fldCharType="separate"/>
            </w:r>
            <w:r w:rsidR="00AA6554" w:rsidRPr="00AA6554">
              <w:rPr>
                <w:noProof/>
                <w:webHidden/>
              </w:rPr>
              <w:t>4</w:t>
            </w:r>
            <w:r w:rsidR="00AA6554" w:rsidRPr="00AA6554">
              <w:rPr>
                <w:noProof/>
                <w:webHidden/>
              </w:rPr>
              <w:fldChar w:fldCharType="end"/>
            </w:r>
          </w:hyperlink>
        </w:p>
        <w:p w14:paraId="2A9CC367" w14:textId="67F59D94" w:rsidR="00AA6554" w:rsidRPr="00AA6554" w:rsidRDefault="00F827D7" w:rsidP="00D47E0B">
          <w:pPr>
            <w:pStyle w:val="TOC1"/>
            <w:rPr>
              <w:rFonts w:eastAsiaTheme="minorEastAsia"/>
              <w:noProof/>
              <w:sz w:val="22"/>
              <w:szCs w:val="22"/>
              <w:lang w:eastAsia="en-AU"/>
            </w:rPr>
          </w:pPr>
          <w:hyperlink w:anchor="_Toc48545800" w:history="1">
            <w:r w:rsidR="00AA6554" w:rsidRPr="00AA6554">
              <w:rPr>
                <w:rStyle w:val="Hyperlink"/>
                <w:noProof/>
              </w:rPr>
              <w:t>Developing a Regulatory Response</w:t>
            </w:r>
            <w:r w:rsidR="00AA6554" w:rsidRPr="00AA6554">
              <w:rPr>
                <w:noProof/>
                <w:webHidden/>
              </w:rPr>
              <w:tab/>
            </w:r>
            <w:r w:rsidR="00346577">
              <w:rPr>
                <w:noProof/>
                <w:webHidden/>
              </w:rPr>
              <w:t>6</w:t>
            </w:r>
          </w:hyperlink>
        </w:p>
        <w:p w14:paraId="5436E18C" w14:textId="4499FA19" w:rsidR="00AA6554" w:rsidRPr="00AA6554" w:rsidRDefault="00F827D7" w:rsidP="00D47E0B">
          <w:pPr>
            <w:pStyle w:val="TOC1"/>
            <w:rPr>
              <w:rFonts w:eastAsiaTheme="minorEastAsia"/>
              <w:noProof/>
              <w:sz w:val="22"/>
              <w:szCs w:val="22"/>
              <w:lang w:eastAsia="en-AU"/>
            </w:rPr>
          </w:pPr>
          <w:hyperlink w:anchor="_Toc48545802" w:history="1">
            <w:r w:rsidR="00AA6554" w:rsidRPr="00AA6554">
              <w:rPr>
                <w:rStyle w:val="Hyperlink"/>
                <w:noProof/>
              </w:rPr>
              <w:t>IMDRF Key Objectives 2021-2025</w:t>
            </w:r>
            <w:r w:rsidR="00AA6554" w:rsidRPr="00AA6554">
              <w:rPr>
                <w:noProof/>
                <w:webHidden/>
              </w:rPr>
              <w:tab/>
            </w:r>
            <w:r w:rsidR="00346577">
              <w:rPr>
                <w:noProof/>
                <w:webHidden/>
              </w:rPr>
              <w:t>8</w:t>
            </w:r>
          </w:hyperlink>
        </w:p>
        <w:p w14:paraId="7D5F9A3B" w14:textId="38862345" w:rsidR="00AA6554" w:rsidRPr="00AA6554" w:rsidRDefault="00F827D7" w:rsidP="00D47E0B">
          <w:pPr>
            <w:pStyle w:val="TOC1"/>
            <w:rPr>
              <w:rFonts w:eastAsiaTheme="minorEastAsia"/>
              <w:noProof/>
              <w:sz w:val="22"/>
              <w:szCs w:val="22"/>
              <w:lang w:eastAsia="en-AU"/>
            </w:rPr>
          </w:pPr>
          <w:hyperlink w:anchor="_Toc48545804" w:history="1">
            <w:r w:rsidR="00AA6554" w:rsidRPr="00AA6554">
              <w:rPr>
                <w:rStyle w:val="Hyperlink"/>
                <w:noProof/>
              </w:rPr>
              <w:t>IMDRF Key Priorities 2021-2025</w:t>
            </w:r>
            <w:r w:rsidR="00AA6554" w:rsidRPr="00AA6554">
              <w:rPr>
                <w:noProof/>
                <w:webHidden/>
              </w:rPr>
              <w:tab/>
            </w:r>
            <w:r w:rsidR="00346577">
              <w:rPr>
                <w:noProof/>
                <w:webHidden/>
              </w:rPr>
              <w:t>11</w:t>
            </w:r>
          </w:hyperlink>
        </w:p>
        <w:p w14:paraId="57ACCCA2" w14:textId="5D24164D" w:rsidR="00AA6554" w:rsidRPr="00AA6554" w:rsidRDefault="00F827D7" w:rsidP="00D47E0B">
          <w:pPr>
            <w:pStyle w:val="TOC1"/>
            <w:rPr>
              <w:rFonts w:eastAsiaTheme="minorEastAsia"/>
              <w:noProof/>
              <w:sz w:val="22"/>
              <w:szCs w:val="22"/>
              <w:lang w:eastAsia="en-AU"/>
            </w:rPr>
          </w:pPr>
          <w:hyperlink w:anchor="_Toc48545805" w:history="1">
            <w:r w:rsidR="00AA6554" w:rsidRPr="00AA6554">
              <w:rPr>
                <w:rStyle w:val="Hyperlink"/>
                <w:noProof/>
              </w:rPr>
              <w:t>Priority 1: Pre-Market</w:t>
            </w:r>
            <w:r w:rsidR="00AA6554" w:rsidRPr="00AA6554">
              <w:rPr>
                <w:noProof/>
                <w:webHidden/>
              </w:rPr>
              <w:tab/>
            </w:r>
            <w:r w:rsidR="00346577">
              <w:rPr>
                <w:noProof/>
                <w:webHidden/>
              </w:rPr>
              <w:t>12</w:t>
            </w:r>
          </w:hyperlink>
        </w:p>
        <w:p w14:paraId="1B333ECB" w14:textId="074A018F" w:rsidR="00AA6554" w:rsidRPr="00AA6554" w:rsidRDefault="00F827D7" w:rsidP="00D47E0B">
          <w:pPr>
            <w:pStyle w:val="TOC1"/>
            <w:rPr>
              <w:rFonts w:eastAsiaTheme="minorEastAsia"/>
              <w:noProof/>
              <w:sz w:val="22"/>
              <w:szCs w:val="22"/>
              <w:lang w:eastAsia="en-AU"/>
            </w:rPr>
          </w:pPr>
          <w:hyperlink w:anchor="_Toc48545806" w:history="1">
            <w:r w:rsidR="00AA6554" w:rsidRPr="00AA6554">
              <w:rPr>
                <w:rStyle w:val="Hyperlink"/>
                <w:noProof/>
              </w:rPr>
              <w:t>Priority 2: Post-Market</w:t>
            </w:r>
            <w:r w:rsidR="00AA6554" w:rsidRPr="00AA6554">
              <w:rPr>
                <w:noProof/>
                <w:webHidden/>
              </w:rPr>
              <w:tab/>
            </w:r>
            <w:r w:rsidR="00346577">
              <w:rPr>
                <w:noProof/>
                <w:webHidden/>
              </w:rPr>
              <w:t>13</w:t>
            </w:r>
          </w:hyperlink>
        </w:p>
        <w:p w14:paraId="17FCA05B" w14:textId="6E6EC692" w:rsidR="00AA6554" w:rsidRPr="00D47E0B" w:rsidRDefault="00346577" w:rsidP="00D47E0B">
          <w:pPr>
            <w:pStyle w:val="TOC1"/>
            <w:rPr>
              <w:rFonts w:eastAsiaTheme="minorEastAsia"/>
              <w:noProof/>
              <w:sz w:val="22"/>
              <w:szCs w:val="22"/>
              <w:lang w:eastAsia="en-AU"/>
            </w:rPr>
          </w:pPr>
          <w:r w:rsidRPr="00D47E0B">
            <w:t xml:space="preserve">Priority 3: </w:t>
          </w:r>
          <w:hyperlink w:anchor="_Toc48545807" w:history="1">
            <w:r w:rsidR="00AA6554" w:rsidRPr="00D47E0B">
              <w:rPr>
                <w:rStyle w:val="Hyperlink"/>
                <w:rFonts w:eastAsiaTheme="majorEastAsia"/>
                <w:noProof/>
              </w:rPr>
              <w:t>Relationships with Stakeholders</w:t>
            </w:r>
            <w:r w:rsidR="00AA6554" w:rsidRPr="00D47E0B">
              <w:rPr>
                <w:noProof/>
                <w:webHidden/>
              </w:rPr>
              <w:tab/>
            </w:r>
            <w:r w:rsidRPr="00D47E0B">
              <w:rPr>
                <w:noProof/>
                <w:webHidden/>
              </w:rPr>
              <w:t>14</w:t>
            </w:r>
          </w:hyperlink>
        </w:p>
        <w:p w14:paraId="51A075C9" w14:textId="13EF19D6" w:rsidR="00AA6554" w:rsidRPr="00AA6554" w:rsidRDefault="00F827D7" w:rsidP="00D47E0B">
          <w:pPr>
            <w:pStyle w:val="TOC1"/>
            <w:rPr>
              <w:rFonts w:eastAsiaTheme="minorEastAsia"/>
              <w:noProof/>
              <w:sz w:val="22"/>
              <w:szCs w:val="22"/>
              <w:lang w:eastAsia="en-AU"/>
            </w:rPr>
          </w:pPr>
          <w:hyperlink w:anchor="_Toc48545808" w:history="1">
            <w:r w:rsidR="00AA6554" w:rsidRPr="00AA6554">
              <w:rPr>
                <w:rStyle w:val="Hyperlink"/>
                <w:noProof/>
              </w:rPr>
              <w:t>Implementing our Strategic Plan</w:t>
            </w:r>
            <w:r w:rsidR="00AA6554" w:rsidRPr="00AA6554">
              <w:rPr>
                <w:noProof/>
                <w:webHidden/>
              </w:rPr>
              <w:tab/>
            </w:r>
            <w:r w:rsidR="00346577">
              <w:rPr>
                <w:noProof/>
                <w:webHidden/>
              </w:rPr>
              <w:t>15</w:t>
            </w:r>
          </w:hyperlink>
        </w:p>
        <w:p w14:paraId="6A3E3B1D" w14:textId="1B9F39A9" w:rsidR="00BF6FFE" w:rsidRPr="00F7725C" w:rsidRDefault="00BF6FFE" w:rsidP="00D47E0B">
          <w:pPr>
            <w:pStyle w:val="TOC1"/>
            <w:rPr>
              <w:rFonts w:eastAsiaTheme="minorEastAsia"/>
              <w:noProof/>
              <w:sz w:val="22"/>
              <w:szCs w:val="22"/>
              <w:lang w:eastAsia="en-AU"/>
            </w:rPr>
          </w:pPr>
          <w:r w:rsidRPr="00AA6554">
            <w:rPr>
              <w:noProof/>
            </w:rPr>
            <w:fldChar w:fldCharType="end"/>
          </w:r>
        </w:p>
      </w:sdtContent>
    </w:sdt>
    <w:p w14:paraId="2FB94BAA" w14:textId="5A6EA2EB" w:rsidR="00904C51" w:rsidRPr="00904C51" w:rsidRDefault="00904C51" w:rsidP="00904C51">
      <w:pPr>
        <w:rPr>
          <w:rFonts w:asciiTheme="minorHAnsi" w:hAnsiTheme="minorHAnsi"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4C51">
        <w:rPr>
          <w:rFonts w:asciiTheme="minorHAnsi" w:hAnsiTheme="minorHAnsi"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4C51">
        <w:rPr>
          <w:rFonts w:asciiTheme="minorHAnsi" w:hAnsiTheme="minorHAnsi"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04C51" w:rsidRPr="00877BDB" w14:paraId="2A3D3438" w14:textId="77777777" w:rsidTr="00904C51">
        <w:tc>
          <w:tcPr>
            <w:tcW w:w="9016" w:type="dxa"/>
          </w:tcPr>
          <w:p w14:paraId="1479AFCE" w14:textId="77777777" w:rsidR="00904C51" w:rsidRPr="00877BDB" w:rsidRDefault="00C03098" w:rsidP="00904C51">
            <w:pPr>
              <w:pStyle w:val="Heading1"/>
              <w:outlineLvl w:val="0"/>
              <w:rPr>
                <w:rFonts w:asciiTheme="minorHAnsi" w:hAnsiTheme="minorHAnsi" w:cstheme="minorHAnsi"/>
                <w:b/>
                <w:sz w:val="48"/>
                <w:szCs w:val="48"/>
              </w:rPr>
            </w:pPr>
            <w:bookmarkStart w:id="5" w:name="_Toc48545798"/>
            <w:r w:rsidRPr="00877BDB">
              <w:rPr>
                <w:rFonts w:asciiTheme="minorHAnsi" w:hAnsiTheme="minorHAnsi" w:cstheme="minorHAnsi"/>
                <w:b/>
                <w:sz w:val="48"/>
                <w:szCs w:val="48"/>
              </w:rPr>
              <w:lastRenderedPageBreak/>
              <w:t xml:space="preserve">IMDRF </w:t>
            </w:r>
            <w:r w:rsidR="00904C51" w:rsidRPr="00877BDB">
              <w:rPr>
                <w:rFonts w:asciiTheme="minorHAnsi" w:hAnsiTheme="minorHAnsi" w:cstheme="minorHAnsi"/>
                <w:b/>
                <w:sz w:val="48"/>
                <w:szCs w:val="48"/>
              </w:rPr>
              <w:t>Mission</w:t>
            </w:r>
            <w:bookmarkEnd w:id="5"/>
            <w:r w:rsidR="00904C51" w:rsidRPr="00877BDB">
              <w:rPr>
                <w:rFonts w:asciiTheme="minorHAnsi" w:hAnsiTheme="minorHAnsi" w:cstheme="minorHAnsi"/>
                <w:b/>
                <w:sz w:val="48"/>
                <w:szCs w:val="48"/>
              </w:rPr>
              <w:t xml:space="preserve"> </w:t>
            </w:r>
          </w:p>
          <w:p w14:paraId="3E85B352" w14:textId="77777777" w:rsidR="00904C51" w:rsidRPr="00464D63" w:rsidRDefault="00904C51" w:rsidP="00464D63">
            <w:pPr>
              <w:spacing w:before="240"/>
              <w:rPr>
                <w:rFonts w:asciiTheme="minorHAnsi" w:hAnsiTheme="minorHAnsi" w:cstheme="minorHAnsi"/>
                <w:sz w:val="22"/>
                <w:szCs w:val="22"/>
              </w:rPr>
            </w:pPr>
          </w:p>
        </w:tc>
      </w:tr>
    </w:tbl>
    <w:p w14:paraId="6E9AE59C" w14:textId="77777777" w:rsidR="00904C51" w:rsidRDefault="00904C51" w:rsidP="00D3368D">
      <w:pPr>
        <w:rPr>
          <w:rFonts w:asciiTheme="minorHAnsi" w:hAnsiTheme="minorHAnsi" w:cstheme="minorHAnsi"/>
          <w:bCs/>
          <w:sz w:val="32"/>
          <w:szCs w:val="32"/>
          <w:lang w:eastAsia="ja-JP"/>
        </w:rPr>
      </w:pPr>
    </w:p>
    <w:p w14:paraId="6C9026F1" w14:textId="77777777" w:rsidR="0087483F" w:rsidRPr="00F633AC" w:rsidRDefault="0087483F" w:rsidP="00085D2A">
      <w:pPr>
        <w:spacing w:line="360" w:lineRule="auto"/>
        <w:jc w:val="both"/>
        <w:rPr>
          <w:rFonts w:asciiTheme="minorHAnsi" w:hAnsiTheme="minorHAnsi" w:cstheme="minorHAnsi"/>
          <w:bCs/>
          <w:lang w:eastAsia="ja-JP"/>
        </w:rPr>
      </w:pPr>
      <w:r w:rsidRPr="00F633AC">
        <w:rPr>
          <w:rFonts w:asciiTheme="minorHAnsi" w:hAnsiTheme="minorHAnsi" w:cstheme="minorHAnsi"/>
          <w:bCs/>
          <w:lang w:eastAsia="ja-JP"/>
        </w:rPr>
        <w:t>The mission</w:t>
      </w:r>
      <w:r w:rsidRPr="00F633AC">
        <w:rPr>
          <w:rStyle w:val="FootnoteReference"/>
          <w:rFonts w:asciiTheme="minorHAnsi" w:hAnsiTheme="minorHAnsi" w:cstheme="minorHAnsi"/>
          <w:bCs/>
          <w:lang w:eastAsia="ja-JP"/>
        </w:rPr>
        <w:footnoteReference w:id="1"/>
      </w:r>
      <w:r w:rsidRPr="00F633AC">
        <w:rPr>
          <w:rFonts w:asciiTheme="minorHAnsi" w:hAnsiTheme="minorHAnsi" w:cstheme="minorHAnsi"/>
          <w:bCs/>
          <w:lang w:eastAsia="ja-JP"/>
        </w:rPr>
        <w:t xml:space="preserve"> of the I</w:t>
      </w:r>
      <w:r>
        <w:rPr>
          <w:rFonts w:asciiTheme="minorHAnsi" w:hAnsiTheme="minorHAnsi" w:cstheme="minorHAnsi"/>
          <w:bCs/>
          <w:lang w:eastAsia="ja-JP"/>
        </w:rPr>
        <w:t xml:space="preserve">nternational </w:t>
      </w:r>
      <w:r w:rsidRPr="00F633AC">
        <w:rPr>
          <w:rFonts w:asciiTheme="minorHAnsi" w:hAnsiTheme="minorHAnsi" w:cstheme="minorHAnsi"/>
          <w:bCs/>
          <w:lang w:eastAsia="ja-JP"/>
        </w:rPr>
        <w:t>M</w:t>
      </w:r>
      <w:r>
        <w:rPr>
          <w:rFonts w:asciiTheme="minorHAnsi" w:hAnsiTheme="minorHAnsi" w:cstheme="minorHAnsi"/>
          <w:bCs/>
          <w:lang w:eastAsia="ja-JP"/>
        </w:rPr>
        <w:t xml:space="preserve">edical </w:t>
      </w:r>
      <w:r w:rsidRPr="00F633AC">
        <w:rPr>
          <w:rFonts w:asciiTheme="minorHAnsi" w:hAnsiTheme="minorHAnsi" w:cstheme="minorHAnsi"/>
          <w:bCs/>
          <w:lang w:eastAsia="ja-JP"/>
        </w:rPr>
        <w:t>D</w:t>
      </w:r>
      <w:r>
        <w:rPr>
          <w:rFonts w:asciiTheme="minorHAnsi" w:hAnsiTheme="minorHAnsi" w:cstheme="minorHAnsi"/>
          <w:bCs/>
          <w:lang w:eastAsia="ja-JP"/>
        </w:rPr>
        <w:t xml:space="preserve">evice </w:t>
      </w:r>
      <w:r w:rsidRPr="00F633AC">
        <w:rPr>
          <w:rFonts w:asciiTheme="minorHAnsi" w:hAnsiTheme="minorHAnsi" w:cstheme="minorHAnsi"/>
          <w:bCs/>
          <w:lang w:eastAsia="ja-JP"/>
        </w:rPr>
        <w:t>R</w:t>
      </w:r>
      <w:r>
        <w:rPr>
          <w:rFonts w:asciiTheme="minorHAnsi" w:hAnsiTheme="minorHAnsi" w:cstheme="minorHAnsi"/>
          <w:bCs/>
          <w:lang w:eastAsia="ja-JP"/>
        </w:rPr>
        <w:t xml:space="preserve">egulators </w:t>
      </w:r>
      <w:r w:rsidRPr="00F633AC">
        <w:rPr>
          <w:rFonts w:asciiTheme="minorHAnsi" w:hAnsiTheme="minorHAnsi" w:cstheme="minorHAnsi"/>
          <w:bCs/>
          <w:lang w:eastAsia="ja-JP"/>
        </w:rPr>
        <w:t>F</w:t>
      </w:r>
      <w:r>
        <w:rPr>
          <w:rFonts w:asciiTheme="minorHAnsi" w:hAnsiTheme="minorHAnsi" w:cstheme="minorHAnsi"/>
          <w:bCs/>
          <w:lang w:eastAsia="ja-JP"/>
        </w:rPr>
        <w:t>orum (IMDRF)</w:t>
      </w:r>
      <w:r w:rsidRPr="00F633AC">
        <w:rPr>
          <w:rFonts w:asciiTheme="minorHAnsi" w:hAnsiTheme="minorHAnsi" w:cstheme="minorHAnsi"/>
          <w:bCs/>
          <w:lang w:eastAsia="ja-JP"/>
        </w:rPr>
        <w:t xml:space="preserve"> is to strategically accelerate international medical device regulatory convergence to promote an efficient and effective regulatory model for medical devices that is responsive to emerging challenges in the sector while protecting and maximizing public health and safety</w:t>
      </w:r>
      <w:r>
        <w:rPr>
          <w:rFonts w:asciiTheme="minorHAnsi" w:hAnsiTheme="minorHAnsi" w:cstheme="minorHAnsi"/>
          <w:bCs/>
          <w:lang w:eastAsia="ja-JP"/>
        </w:rPr>
        <w:t>.</w:t>
      </w:r>
    </w:p>
    <w:p w14:paraId="7132CE74" w14:textId="77777777" w:rsidR="0087483F" w:rsidRPr="00F633AC" w:rsidRDefault="0087483F" w:rsidP="0087483F">
      <w:pPr>
        <w:spacing w:line="360" w:lineRule="auto"/>
        <w:rPr>
          <w:rFonts w:asciiTheme="minorHAnsi" w:hAnsiTheme="minorHAnsi" w:cstheme="minorHAnsi"/>
          <w:bCs/>
          <w:lang w:eastAsia="ja-JP"/>
        </w:rPr>
      </w:pPr>
      <w:r w:rsidRPr="00F633AC">
        <w:rPr>
          <w:rFonts w:asciiTheme="minorHAnsi" w:hAnsiTheme="minorHAnsi" w:cstheme="minorHAnsi"/>
          <w:noProof/>
          <w:lang w:eastAsia="en-AU"/>
        </w:rPr>
        <mc:AlternateContent>
          <mc:Choice Requires="wps">
            <w:drawing>
              <wp:anchor distT="45720" distB="45720" distL="114300" distR="114300" simplePos="0" relativeHeight="251682816" behindDoc="0" locked="0" layoutInCell="1" allowOverlap="1" wp14:anchorId="50563B01" wp14:editId="172269E3">
                <wp:simplePos x="0" y="0"/>
                <wp:positionH relativeFrom="margin">
                  <wp:posOffset>702945</wp:posOffset>
                </wp:positionH>
                <wp:positionV relativeFrom="paragraph">
                  <wp:posOffset>133350</wp:posOffset>
                </wp:positionV>
                <wp:extent cx="3657600" cy="3657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57600"/>
                        </a:xfrm>
                        <a:prstGeom prst="rect">
                          <a:avLst/>
                        </a:prstGeom>
                        <a:solidFill>
                          <a:schemeClr val="accent1">
                            <a:lumMod val="20000"/>
                            <a:lumOff val="80000"/>
                          </a:schemeClr>
                        </a:solidFill>
                        <a:ln w="9525">
                          <a:solidFill>
                            <a:srgbClr val="000000"/>
                          </a:solidFill>
                          <a:miter lim="800000"/>
                          <a:headEnd/>
                          <a:tailEnd/>
                        </a:ln>
                      </wps:spPr>
                      <wps:txbx>
                        <w:txbxContent>
                          <w:p w14:paraId="04F3273D" w14:textId="044AD7B6" w:rsidR="0087483F" w:rsidRPr="00904C51" w:rsidRDefault="0087483F" w:rsidP="0087483F">
                            <w:pPr>
                              <w:keepNext/>
                              <w:spacing w:line="360" w:lineRule="auto"/>
                              <w:rPr>
                                <w:rFonts w:asciiTheme="minorHAnsi" w:hAnsiTheme="minorHAnsi" w:cstheme="minorHAnsi"/>
                                <w:bCs/>
                                <w:lang w:eastAsia="ja-JP"/>
                              </w:rPr>
                            </w:pPr>
                            <w:r w:rsidRPr="00904C51">
                              <w:rPr>
                                <w:rFonts w:asciiTheme="minorHAnsi" w:hAnsiTheme="minorHAnsi" w:cstheme="minorHAnsi"/>
                                <w:bCs/>
                                <w:lang w:eastAsia="ja-JP"/>
                              </w:rPr>
                              <w:t xml:space="preserve">IMDRF </w:t>
                            </w:r>
                            <w:r w:rsidR="0067364E">
                              <w:rPr>
                                <w:rFonts w:asciiTheme="minorHAnsi" w:hAnsiTheme="minorHAnsi" w:cstheme="minorHAnsi"/>
                                <w:bCs/>
                                <w:lang w:eastAsia="ja-JP"/>
                              </w:rPr>
                              <w:t xml:space="preserve">was </w:t>
                            </w:r>
                            <w:r w:rsidRPr="00904C51">
                              <w:rPr>
                                <w:rFonts w:asciiTheme="minorHAnsi" w:hAnsiTheme="minorHAnsi" w:cstheme="minorHAnsi"/>
                                <w:bCs/>
                                <w:lang w:eastAsia="ja-JP"/>
                              </w:rPr>
                              <w:t xml:space="preserve">launched in 2012 and </w:t>
                            </w:r>
                            <w:r>
                              <w:rPr>
                                <w:rFonts w:asciiTheme="minorHAnsi" w:hAnsiTheme="minorHAnsi" w:cstheme="minorHAnsi"/>
                                <w:bCs/>
                                <w:lang w:eastAsia="ja-JP"/>
                              </w:rPr>
                              <w:t xml:space="preserve">has </w:t>
                            </w:r>
                            <w:r w:rsidRPr="00904C51">
                              <w:rPr>
                                <w:rFonts w:asciiTheme="minorHAnsi" w:hAnsiTheme="minorHAnsi" w:cstheme="minorHAnsi"/>
                                <w:bCs/>
                                <w:lang w:eastAsia="ja-JP"/>
                              </w:rPr>
                              <w:t>delivered a number of significant work products:</w:t>
                            </w:r>
                          </w:p>
                          <w:p w14:paraId="7F34FD63" w14:textId="77777777" w:rsidR="0087483F" w:rsidRPr="00904C51" w:rsidRDefault="0087483F" w:rsidP="0087483F">
                            <w:pPr>
                              <w:pStyle w:val="ListParagraph"/>
                              <w:keepNext/>
                              <w:numPr>
                                <w:ilvl w:val="0"/>
                                <w:numId w:val="37"/>
                              </w:numPr>
                              <w:spacing w:line="360" w:lineRule="auto"/>
                              <w:rPr>
                                <w:rFonts w:asciiTheme="minorHAnsi" w:hAnsiTheme="minorHAnsi" w:cstheme="minorHAnsi"/>
                                <w:bCs/>
                                <w:lang w:eastAsia="ja-JP"/>
                              </w:rPr>
                            </w:pPr>
                            <w:r>
                              <w:rPr>
                                <w:rFonts w:asciiTheme="minorHAnsi" w:hAnsiTheme="minorHAnsi" w:cstheme="minorHAnsi"/>
                                <w:bCs/>
                                <w:lang w:eastAsia="ja-JP"/>
                              </w:rPr>
                              <w:t>C</w:t>
                            </w:r>
                            <w:r w:rsidRPr="00904C51">
                              <w:rPr>
                                <w:rFonts w:asciiTheme="minorHAnsi" w:hAnsiTheme="minorHAnsi" w:cstheme="minorHAnsi"/>
                                <w:bCs/>
                                <w:lang w:eastAsia="ja-JP"/>
                              </w:rPr>
                              <w:t xml:space="preserve">ontinuation of the Global Harmonization Task Force (GHTF) work items, </w:t>
                            </w:r>
                          </w:p>
                          <w:p w14:paraId="2EE9C1F1" w14:textId="77777777" w:rsidR="0087483F" w:rsidRDefault="0087483F" w:rsidP="0087483F">
                            <w:pPr>
                              <w:pStyle w:val="ListParagraph"/>
                              <w:keepNext/>
                              <w:numPr>
                                <w:ilvl w:val="0"/>
                                <w:numId w:val="37"/>
                              </w:numPr>
                              <w:spacing w:line="360" w:lineRule="auto"/>
                              <w:rPr>
                                <w:rFonts w:asciiTheme="minorHAnsi" w:hAnsiTheme="minorHAnsi" w:cstheme="minorHAnsi"/>
                                <w:bCs/>
                                <w:lang w:eastAsia="ja-JP"/>
                              </w:rPr>
                            </w:pPr>
                            <w:r w:rsidRPr="00904C51">
                              <w:rPr>
                                <w:rFonts w:asciiTheme="minorHAnsi" w:hAnsiTheme="minorHAnsi" w:cstheme="minorHAnsi"/>
                                <w:bCs/>
                                <w:lang w:eastAsia="ja-JP"/>
                              </w:rPr>
                              <w:t xml:space="preserve">Updates to some of the GHTF documents </w:t>
                            </w:r>
                          </w:p>
                          <w:p w14:paraId="58C20182" w14:textId="77777777" w:rsidR="0087483F" w:rsidRPr="00904C51" w:rsidRDefault="0087483F" w:rsidP="0087483F">
                            <w:pPr>
                              <w:pStyle w:val="ListParagraph"/>
                              <w:keepNext/>
                              <w:numPr>
                                <w:ilvl w:val="0"/>
                                <w:numId w:val="37"/>
                              </w:numPr>
                              <w:spacing w:line="360" w:lineRule="auto"/>
                              <w:rPr>
                                <w:rFonts w:asciiTheme="minorHAnsi" w:hAnsiTheme="minorHAnsi" w:cstheme="minorHAnsi"/>
                                <w:bCs/>
                                <w:lang w:eastAsia="ja-JP"/>
                              </w:rPr>
                            </w:pPr>
                            <w:r>
                              <w:rPr>
                                <w:rFonts w:asciiTheme="minorHAnsi" w:hAnsiTheme="minorHAnsi" w:cstheme="minorHAnsi"/>
                                <w:bCs/>
                                <w:lang w:eastAsia="ja-JP"/>
                              </w:rPr>
                              <w:t>N</w:t>
                            </w:r>
                            <w:r w:rsidRPr="00904C51">
                              <w:rPr>
                                <w:rFonts w:asciiTheme="minorHAnsi" w:hAnsiTheme="minorHAnsi" w:cstheme="minorHAnsi"/>
                                <w:bCs/>
                                <w:lang w:eastAsia="ja-JP"/>
                              </w:rPr>
                              <w:t xml:space="preserve">ew work items focusing on regulatory approaches for rapidly evolving technologies in medical devices. </w:t>
                            </w:r>
                          </w:p>
                          <w:p w14:paraId="25C0B298" w14:textId="77777777" w:rsidR="0087483F" w:rsidRPr="00904C51" w:rsidRDefault="0087483F" w:rsidP="0087483F">
                            <w:pPr>
                              <w:keepNext/>
                              <w:spacing w:line="360" w:lineRule="auto"/>
                              <w:rPr>
                                <w:rFonts w:asciiTheme="minorHAnsi" w:hAnsiTheme="minorHAnsi" w:cstheme="minorHAnsi"/>
                                <w:bCs/>
                                <w:lang w:eastAsia="ja-JP"/>
                              </w:rPr>
                            </w:pPr>
                            <w:r w:rsidRPr="00904C51">
                              <w:rPr>
                                <w:rFonts w:asciiTheme="minorHAnsi" w:hAnsiTheme="minorHAnsi" w:cstheme="minorHAnsi"/>
                                <w:bCs/>
                                <w:lang w:eastAsia="ja-JP"/>
                              </w:rPr>
                              <w:t>IMDRF has focused its attention on developing a total product lifecycle approach to regulating medical devices while enabling timely access to safe and effective devices for the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563B01" id="_x0000_s1027" type="#_x0000_t202" style="position:absolute;margin-left:55.35pt;margin-top:10.5pt;width:4in;height:4in;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" fillcolor="#ecf0e9 [660]">
                <v:textbox>
                  <w:txbxContent>
                    <w:p w14:paraId="04F3273D" w14:textId="044AD7B6" w:rsidR="0087483F" w:rsidRPr="00904C51" w:rsidRDefault="0087483F" w:rsidP="0087483F">
                      <w:pPr>
                        <w:keepNext/>
                        <w:spacing w:line="360" w:lineRule="auto"/>
                        <w:rPr>
                          <w:rFonts w:asciiTheme="minorHAnsi" w:hAnsiTheme="minorHAnsi" w:cstheme="minorHAnsi"/>
                          <w:bCs/>
                          <w:lang w:eastAsia="ja-JP"/>
                        </w:rPr>
                      </w:pPr>
                      <w:r w:rsidRPr="00904C51">
                        <w:rPr>
                          <w:rFonts w:asciiTheme="minorHAnsi" w:hAnsiTheme="minorHAnsi" w:cstheme="minorHAnsi"/>
                          <w:bCs/>
                          <w:lang w:eastAsia="ja-JP"/>
                        </w:rPr>
                        <w:t xml:space="preserve">IMDRF </w:t>
                      </w:r>
                      <w:r w:rsidR="0067364E">
                        <w:rPr>
                          <w:rFonts w:asciiTheme="minorHAnsi" w:hAnsiTheme="minorHAnsi" w:cstheme="minorHAnsi"/>
                          <w:bCs/>
                          <w:lang w:eastAsia="ja-JP"/>
                        </w:rPr>
                        <w:t xml:space="preserve">was </w:t>
                      </w:r>
                      <w:r w:rsidRPr="00904C51">
                        <w:rPr>
                          <w:rFonts w:asciiTheme="minorHAnsi" w:hAnsiTheme="minorHAnsi" w:cstheme="minorHAnsi"/>
                          <w:bCs/>
                          <w:lang w:eastAsia="ja-JP"/>
                        </w:rPr>
                        <w:t xml:space="preserve">launched in 2012 and </w:t>
                      </w:r>
                      <w:r>
                        <w:rPr>
                          <w:rFonts w:asciiTheme="minorHAnsi" w:hAnsiTheme="minorHAnsi" w:cstheme="minorHAnsi"/>
                          <w:bCs/>
                          <w:lang w:eastAsia="ja-JP"/>
                        </w:rPr>
                        <w:t xml:space="preserve">has </w:t>
                      </w:r>
                      <w:r w:rsidRPr="00904C51">
                        <w:rPr>
                          <w:rFonts w:asciiTheme="minorHAnsi" w:hAnsiTheme="minorHAnsi" w:cstheme="minorHAnsi"/>
                          <w:bCs/>
                          <w:lang w:eastAsia="ja-JP"/>
                        </w:rPr>
                        <w:t>delivered a number of significant work products:</w:t>
                      </w:r>
                    </w:p>
                    <w:p w14:paraId="7F34FD63" w14:textId="77777777" w:rsidR="0087483F" w:rsidRPr="00904C51" w:rsidRDefault="0087483F" w:rsidP="0087483F">
                      <w:pPr>
                        <w:pStyle w:val="ListParagraph"/>
                        <w:keepNext/>
                        <w:numPr>
                          <w:ilvl w:val="0"/>
                          <w:numId w:val="37"/>
                        </w:numPr>
                        <w:spacing w:line="360" w:lineRule="auto"/>
                        <w:rPr>
                          <w:rFonts w:asciiTheme="minorHAnsi" w:hAnsiTheme="minorHAnsi" w:cstheme="minorHAnsi"/>
                          <w:bCs/>
                          <w:lang w:eastAsia="ja-JP"/>
                        </w:rPr>
                      </w:pPr>
                      <w:r>
                        <w:rPr>
                          <w:rFonts w:asciiTheme="minorHAnsi" w:hAnsiTheme="minorHAnsi" w:cstheme="minorHAnsi"/>
                          <w:bCs/>
                          <w:lang w:eastAsia="ja-JP"/>
                        </w:rPr>
                        <w:t>C</w:t>
                      </w:r>
                      <w:r w:rsidRPr="00904C51">
                        <w:rPr>
                          <w:rFonts w:asciiTheme="minorHAnsi" w:hAnsiTheme="minorHAnsi" w:cstheme="minorHAnsi"/>
                          <w:bCs/>
                          <w:lang w:eastAsia="ja-JP"/>
                        </w:rPr>
                        <w:t xml:space="preserve">ontinuation of the Global Harmonization Task Force (GHTF) work items, </w:t>
                      </w:r>
                    </w:p>
                    <w:p w14:paraId="2EE9C1F1" w14:textId="77777777" w:rsidR="0087483F" w:rsidRDefault="0087483F" w:rsidP="0087483F">
                      <w:pPr>
                        <w:pStyle w:val="ListParagraph"/>
                        <w:keepNext/>
                        <w:numPr>
                          <w:ilvl w:val="0"/>
                          <w:numId w:val="37"/>
                        </w:numPr>
                        <w:spacing w:line="360" w:lineRule="auto"/>
                        <w:rPr>
                          <w:rFonts w:asciiTheme="minorHAnsi" w:hAnsiTheme="minorHAnsi" w:cstheme="minorHAnsi"/>
                          <w:bCs/>
                          <w:lang w:eastAsia="ja-JP"/>
                        </w:rPr>
                      </w:pPr>
                      <w:r w:rsidRPr="00904C51">
                        <w:rPr>
                          <w:rFonts w:asciiTheme="minorHAnsi" w:hAnsiTheme="minorHAnsi" w:cstheme="minorHAnsi"/>
                          <w:bCs/>
                          <w:lang w:eastAsia="ja-JP"/>
                        </w:rPr>
                        <w:t xml:space="preserve">Updates to some of the GHTF documents </w:t>
                      </w:r>
                    </w:p>
                    <w:p w14:paraId="58C20182" w14:textId="77777777" w:rsidR="0087483F" w:rsidRPr="00904C51" w:rsidRDefault="0087483F" w:rsidP="0087483F">
                      <w:pPr>
                        <w:pStyle w:val="ListParagraph"/>
                        <w:keepNext/>
                        <w:numPr>
                          <w:ilvl w:val="0"/>
                          <w:numId w:val="37"/>
                        </w:numPr>
                        <w:spacing w:line="360" w:lineRule="auto"/>
                        <w:rPr>
                          <w:rFonts w:asciiTheme="minorHAnsi" w:hAnsiTheme="minorHAnsi" w:cstheme="minorHAnsi"/>
                          <w:bCs/>
                          <w:lang w:eastAsia="ja-JP"/>
                        </w:rPr>
                      </w:pPr>
                      <w:r>
                        <w:rPr>
                          <w:rFonts w:asciiTheme="minorHAnsi" w:hAnsiTheme="minorHAnsi" w:cstheme="minorHAnsi"/>
                          <w:bCs/>
                          <w:lang w:eastAsia="ja-JP"/>
                        </w:rPr>
                        <w:t>N</w:t>
                      </w:r>
                      <w:r w:rsidRPr="00904C51">
                        <w:rPr>
                          <w:rFonts w:asciiTheme="minorHAnsi" w:hAnsiTheme="minorHAnsi" w:cstheme="minorHAnsi"/>
                          <w:bCs/>
                          <w:lang w:eastAsia="ja-JP"/>
                        </w:rPr>
                        <w:t xml:space="preserve">ew work items focusing on regulatory approaches for rapidly evolving technologies in medical devices. </w:t>
                      </w:r>
                    </w:p>
                    <w:p w14:paraId="25C0B298" w14:textId="77777777" w:rsidR="0087483F" w:rsidRPr="00904C51" w:rsidRDefault="0087483F" w:rsidP="0087483F">
                      <w:pPr>
                        <w:keepNext/>
                        <w:spacing w:line="360" w:lineRule="auto"/>
                        <w:rPr>
                          <w:rFonts w:asciiTheme="minorHAnsi" w:hAnsiTheme="minorHAnsi" w:cstheme="minorHAnsi"/>
                          <w:bCs/>
                          <w:lang w:eastAsia="ja-JP"/>
                        </w:rPr>
                      </w:pPr>
                      <w:r w:rsidRPr="00904C51">
                        <w:rPr>
                          <w:rFonts w:asciiTheme="minorHAnsi" w:hAnsiTheme="minorHAnsi" w:cstheme="minorHAnsi"/>
                          <w:bCs/>
                          <w:lang w:eastAsia="ja-JP"/>
                        </w:rPr>
                        <w:t>IMDRF has focused its attention on developing a total product lifecycle approach to regulating medical devices while enabling timely access to safe and effective devices for the patients.</w:t>
                      </w:r>
                    </w:p>
                  </w:txbxContent>
                </v:textbox>
                <w10:wrap type="square" anchorx="margin"/>
              </v:shape>
            </w:pict>
          </mc:Fallback>
        </mc:AlternateContent>
      </w:r>
    </w:p>
    <w:p w14:paraId="45272F5A" w14:textId="77777777" w:rsidR="0087483F" w:rsidRPr="00F633AC" w:rsidRDefault="0087483F" w:rsidP="0087483F">
      <w:pPr>
        <w:spacing w:line="360" w:lineRule="auto"/>
        <w:rPr>
          <w:rFonts w:asciiTheme="minorHAnsi" w:hAnsiTheme="minorHAnsi" w:cstheme="minorHAnsi"/>
          <w:bCs/>
          <w:lang w:eastAsia="ja-JP"/>
        </w:rPr>
      </w:pPr>
    </w:p>
    <w:p w14:paraId="0B50693D" w14:textId="77777777" w:rsidR="0087483F" w:rsidRPr="00F633AC" w:rsidRDefault="0087483F" w:rsidP="0087483F">
      <w:pPr>
        <w:spacing w:line="360" w:lineRule="auto"/>
        <w:rPr>
          <w:rFonts w:asciiTheme="minorHAnsi" w:hAnsiTheme="minorHAnsi" w:cstheme="minorHAnsi"/>
          <w:bCs/>
          <w:lang w:eastAsia="ja-JP"/>
        </w:rPr>
      </w:pPr>
    </w:p>
    <w:p w14:paraId="26E1FEF6" w14:textId="77777777" w:rsidR="0087483F" w:rsidRPr="00F633AC" w:rsidRDefault="0087483F" w:rsidP="0087483F">
      <w:pPr>
        <w:spacing w:line="360" w:lineRule="auto"/>
        <w:rPr>
          <w:rFonts w:asciiTheme="minorHAnsi" w:hAnsiTheme="minorHAnsi" w:cstheme="minorHAnsi"/>
          <w:bCs/>
          <w:lang w:eastAsia="ja-JP"/>
        </w:rPr>
      </w:pPr>
    </w:p>
    <w:p w14:paraId="46FEE6E1" w14:textId="77777777" w:rsidR="0087483F" w:rsidRPr="00F633AC" w:rsidRDefault="0087483F" w:rsidP="0087483F">
      <w:pPr>
        <w:spacing w:line="360" w:lineRule="auto"/>
        <w:rPr>
          <w:rFonts w:asciiTheme="minorHAnsi" w:hAnsiTheme="minorHAnsi" w:cstheme="minorHAnsi"/>
          <w:bCs/>
          <w:lang w:eastAsia="ja-JP"/>
        </w:rPr>
      </w:pPr>
    </w:p>
    <w:p w14:paraId="3BEC1277" w14:textId="77777777" w:rsidR="0087483F" w:rsidRPr="00F633AC" w:rsidRDefault="0087483F" w:rsidP="0087483F">
      <w:pPr>
        <w:spacing w:line="360" w:lineRule="auto"/>
        <w:rPr>
          <w:rFonts w:asciiTheme="minorHAnsi" w:hAnsiTheme="minorHAnsi" w:cstheme="minorHAnsi"/>
          <w:bCs/>
          <w:lang w:eastAsia="ja-JP"/>
        </w:rPr>
      </w:pPr>
    </w:p>
    <w:p w14:paraId="6A8D3911" w14:textId="77777777" w:rsidR="0087483F" w:rsidRPr="00F633AC" w:rsidRDefault="0087483F" w:rsidP="0087483F">
      <w:pPr>
        <w:spacing w:line="360" w:lineRule="auto"/>
        <w:rPr>
          <w:rFonts w:asciiTheme="minorHAnsi" w:hAnsiTheme="minorHAnsi" w:cstheme="minorHAnsi"/>
          <w:bCs/>
          <w:lang w:eastAsia="ja-JP"/>
        </w:rPr>
      </w:pPr>
    </w:p>
    <w:p w14:paraId="46D33936" w14:textId="77777777" w:rsidR="0087483F" w:rsidRPr="00F633AC" w:rsidRDefault="0087483F" w:rsidP="0087483F">
      <w:pPr>
        <w:spacing w:line="360" w:lineRule="auto"/>
        <w:rPr>
          <w:rFonts w:asciiTheme="minorHAnsi" w:hAnsiTheme="minorHAnsi" w:cstheme="minorHAnsi"/>
          <w:bCs/>
          <w:lang w:eastAsia="ja-JP"/>
        </w:rPr>
      </w:pPr>
    </w:p>
    <w:p w14:paraId="3046A602" w14:textId="77777777" w:rsidR="0087483F" w:rsidRPr="00F633AC" w:rsidRDefault="0087483F" w:rsidP="0087483F">
      <w:pPr>
        <w:spacing w:line="360" w:lineRule="auto"/>
        <w:rPr>
          <w:rFonts w:asciiTheme="minorHAnsi" w:hAnsiTheme="minorHAnsi" w:cstheme="minorHAnsi"/>
          <w:bCs/>
          <w:lang w:eastAsia="ja-JP"/>
        </w:rPr>
      </w:pPr>
    </w:p>
    <w:p w14:paraId="215B68F4" w14:textId="77777777" w:rsidR="0087483F" w:rsidRPr="00F633AC" w:rsidRDefault="0087483F" w:rsidP="0087483F">
      <w:pPr>
        <w:spacing w:line="360" w:lineRule="auto"/>
        <w:rPr>
          <w:rFonts w:asciiTheme="minorHAnsi" w:hAnsiTheme="minorHAnsi" w:cstheme="minorHAnsi"/>
          <w:bCs/>
          <w:lang w:eastAsia="ja-JP"/>
        </w:rPr>
      </w:pPr>
    </w:p>
    <w:p w14:paraId="4AD62465" w14:textId="77777777" w:rsidR="0087483F" w:rsidRPr="00F633AC" w:rsidRDefault="0087483F" w:rsidP="0087483F">
      <w:pPr>
        <w:spacing w:line="360" w:lineRule="auto"/>
        <w:rPr>
          <w:rFonts w:asciiTheme="minorHAnsi" w:hAnsiTheme="minorHAnsi" w:cstheme="minorHAnsi"/>
          <w:bCs/>
          <w:lang w:eastAsia="ja-JP"/>
        </w:rPr>
      </w:pPr>
    </w:p>
    <w:p w14:paraId="143F02AC" w14:textId="77777777" w:rsidR="0087483F" w:rsidRPr="00F633AC" w:rsidRDefault="0087483F" w:rsidP="00085D2A">
      <w:pPr>
        <w:spacing w:line="360" w:lineRule="auto"/>
        <w:jc w:val="both"/>
        <w:rPr>
          <w:rFonts w:asciiTheme="minorHAnsi" w:hAnsiTheme="minorHAnsi" w:cstheme="minorHAnsi"/>
          <w:bCs/>
          <w:lang w:eastAsia="ja-JP"/>
        </w:rPr>
      </w:pPr>
      <w:r w:rsidRPr="00F633AC">
        <w:rPr>
          <w:rFonts w:asciiTheme="minorHAnsi" w:hAnsiTheme="minorHAnsi" w:cstheme="minorHAnsi"/>
          <w:bCs/>
          <w:lang w:eastAsia="ja-JP"/>
        </w:rPr>
        <w:t>IMDRF</w:t>
      </w:r>
      <w:r w:rsidRPr="00F633AC">
        <w:rPr>
          <w:rStyle w:val="FootnoteReference"/>
          <w:rFonts w:asciiTheme="minorHAnsi" w:hAnsiTheme="minorHAnsi" w:cstheme="minorHAnsi"/>
          <w:bCs/>
          <w:lang w:eastAsia="ja-JP"/>
        </w:rPr>
        <w:footnoteReference w:id="2"/>
      </w:r>
      <w:r w:rsidRPr="00F633AC">
        <w:rPr>
          <w:rFonts w:asciiTheme="minorHAnsi" w:hAnsiTheme="minorHAnsi" w:cstheme="minorHAnsi"/>
          <w:bCs/>
          <w:lang w:eastAsia="ja-JP"/>
        </w:rPr>
        <w:t xml:space="preserve"> will pursue its goals by defining, implementing and evaluating strategic priorities so that objectives are met in an efficient and effective manner</w:t>
      </w:r>
      <w:r>
        <w:rPr>
          <w:rFonts w:asciiTheme="minorHAnsi" w:hAnsiTheme="minorHAnsi" w:cstheme="minorHAnsi"/>
          <w:bCs/>
          <w:lang w:eastAsia="ja-JP"/>
        </w:rPr>
        <w:t>.</w:t>
      </w:r>
    </w:p>
    <w:p w14:paraId="50B13E6B" w14:textId="2326E1BB" w:rsidR="004B01A3" w:rsidRDefault="004B01A3">
      <w:r>
        <w:br w:type="page"/>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01A3" w:rsidRPr="004B01A3" w14:paraId="2ED4A1BF" w14:textId="77777777" w:rsidTr="004B01A3">
        <w:tc>
          <w:tcPr>
            <w:tcW w:w="9016" w:type="dxa"/>
          </w:tcPr>
          <w:p w14:paraId="478853A2" w14:textId="09802AE4" w:rsidR="004B01A3" w:rsidRDefault="007646EB" w:rsidP="005C7725">
            <w:pPr>
              <w:pStyle w:val="Heading1"/>
              <w:outlineLvl w:val="0"/>
              <w:rPr>
                <w:rFonts w:asciiTheme="minorHAnsi" w:hAnsiTheme="minorHAnsi" w:cstheme="minorHAnsi"/>
                <w:b/>
                <w:sz w:val="48"/>
                <w:szCs w:val="48"/>
              </w:rPr>
            </w:pPr>
            <w:bookmarkStart w:id="6" w:name="_Toc48545799"/>
            <w:r>
              <w:rPr>
                <w:rFonts w:asciiTheme="minorHAnsi" w:hAnsiTheme="minorHAnsi" w:cstheme="minorHAnsi"/>
                <w:b/>
                <w:sz w:val="48"/>
                <w:szCs w:val="48"/>
              </w:rPr>
              <w:lastRenderedPageBreak/>
              <w:t>Evolving Medical Device Landscape</w:t>
            </w:r>
            <w:bookmarkEnd w:id="6"/>
          </w:p>
          <w:p w14:paraId="375E1190" w14:textId="21981489" w:rsidR="004B01A3" w:rsidRPr="00484882" w:rsidRDefault="004B01A3" w:rsidP="005C7725">
            <w:pPr>
              <w:spacing w:before="240"/>
            </w:pPr>
          </w:p>
        </w:tc>
      </w:tr>
    </w:tbl>
    <w:p w14:paraId="63349470" w14:textId="77777777" w:rsidR="00256DFB" w:rsidRPr="00464D63" w:rsidRDefault="00256DFB" w:rsidP="00256DFB">
      <w:pPr>
        <w:rPr>
          <w:rFonts w:asciiTheme="minorHAnsi" w:hAnsiTheme="minorHAnsi"/>
          <w:sz w:val="20"/>
          <w:szCs w:val="20"/>
        </w:rPr>
      </w:pPr>
    </w:p>
    <w:p w14:paraId="34726B8F" w14:textId="2F31AE7D" w:rsidR="00085D2A" w:rsidRDefault="007646EB" w:rsidP="00085D2A">
      <w:pPr>
        <w:keepNext/>
        <w:spacing w:line="360" w:lineRule="auto"/>
        <w:jc w:val="both"/>
        <w:rPr>
          <w:rFonts w:asciiTheme="minorHAnsi" w:hAnsiTheme="minorHAnsi" w:cstheme="minorHAnsi"/>
          <w:bCs/>
          <w:lang w:eastAsia="ja-JP"/>
        </w:rPr>
      </w:pPr>
      <w:r w:rsidRPr="007646EB">
        <w:rPr>
          <w:rFonts w:asciiTheme="minorHAnsi" w:hAnsiTheme="minorHAnsi" w:cstheme="minorHAnsi"/>
          <w:bCs/>
          <w:lang w:eastAsia="ja-JP"/>
        </w:rPr>
        <w:t xml:space="preserve">The global medical device landscape is </w:t>
      </w:r>
      <w:r w:rsidR="00ED1822">
        <w:rPr>
          <w:rFonts w:asciiTheme="minorHAnsi" w:hAnsiTheme="minorHAnsi" w:cstheme="minorHAnsi"/>
          <w:bCs/>
          <w:lang w:eastAsia="ja-JP"/>
        </w:rPr>
        <w:t xml:space="preserve">characterised by </w:t>
      </w:r>
      <w:r w:rsidRPr="007646EB">
        <w:rPr>
          <w:rFonts w:asciiTheme="minorHAnsi" w:hAnsiTheme="minorHAnsi" w:cstheme="minorHAnsi"/>
          <w:bCs/>
          <w:lang w:eastAsia="ja-JP"/>
        </w:rPr>
        <w:t xml:space="preserve">rapidly evolving </w:t>
      </w:r>
      <w:r w:rsidR="00ED1822">
        <w:rPr>
          <w:rFonts w:asciiTheme="minorHAnsi" w:hAnsiTheme="minorHAnsi" w:cstheme="minorHAnsi"/>
          <w:bCs/>
          <w:lang w:eastAsia="ja-JP"/>
        </w:rPr>
        <w:t xml:space="preserve">technologies. </w:t>
      </w:r>
      <w:r w:rsidRPr="007646EB">
        <w:rPr>
          <w:rFonts w:asciiTheme="minorHAnsi" w:hAnsiTheme="minorHAnsi" w:cstheme="minorHAnsi"/>
          <w:bCs/>
          <w:lang w:eastAsia="ja-JP"/>
        </w:rPr>
        <w:t xml:space="preserve"> New technologies </w:t>
      </w:r>
      <w:r w:rsidR="0044684C">
        <w:rPr>
          <w:rFonts w:asciiTheme="minorHAnsi" w:hAnsiTheme="minorHAnsi" w:cstheme="minorHAnsi"/>
          <w:bCs/>
          <w:lang w:eastAsia="ja-JP"/>
        </w:rPr>
        <w:t>including</w:t>
      </w:r>
      <w:r w:rsidR="0044684C" w:rsidRPr="007646EB">
        <w:rPr>
          <w:rFonts w:asciiTheme="minorHAnsi" w:hAnsiTheme="minorHAnsi" w:cstheme="minorHAnsi"/>
          <w:bCs/>
          <w:lang w:eastAsia="ja-JP"/>
        </w:rPr>
        <w:t xml:space="preserve"> </w:t>
      </w:r>
      <w:r w:rsidR="0044684C">
        <w:rPr>
          <w:rFonts w:asciiTheme="minorHAnsi" w:hAnsiTheme="minorHAnsi" w:cstheme="minorHAnsi"/>
          <w:bCs/>
          <w:lang w:eastAsia="ja-JP"/>
        </w:rPr>
        <w:t xml:space="preserve">the </w:t>
      </w:r>
      <w:r w:rsidR="0044684C" w:rsidRPr="007646EB">
        <w:rPr>
          <w:rFonts w:asciiTheme="minorHAnsi" w:hAnsiTheme="minorHAnsi" w:cstheme="minorHAnsi"/>
          <w:bCs/>
          <w:lang w:eastAsia="ja-JP"/>
        </w:rPr>
        <w:t>Internet of Things</w:t>
      </w:r>
      <w:r w:rsidR="0044684C">
        <w:rPr>
          <w:rFonts w:asciiTheme="minorHAnsi" w:hAnsiTheme="minorHAnsi" w:cstheme="minorHAnsi"/>
          <w:bCs/>
          <w:lang w:eastAsia="ja-JP"/>
        </w:rPr>
        <w:t xml:space="preserve"> (IoT)</w:t>
      </w:r>
      <w:r w:rsidR="0044684C" w:rsidRPr="007646EB">
        <w:rPr>
          <w:rFonts w:asciiTheme="minorHAnsi" w:hAnsiTheme="minorHAnsi" w:cstheme="minorHAnsi"/>
          <w:bCs/>
          <w:lang w:eastAsia="ja-JP"/>
        </w:rPr>
        <w:t xml:space="preserve">, 3D printing and </w:t>
      </w:r>
      <w:r w:rsidR="0044684C">
        <w:rPr>
          <w:rFonts w:asciiTheme="minorHAnsi" w:hAnsiTheme="minorHAnsi" w:cstheme="minorHAnsi"/>
          <w:bCs/>
          <w:lang w:eastAsia="ja-JP"/>
        </w:rPr>
        <w:t xml:space="preserve">artificial intelligence/ </w:t>
      </w:r>
      <w:r w:rsidR="0044684C" w:rsidRPr="007646EB">
        <w:rPr>
          <w:rFonts w:asciiTheme="minorHAnsi" w:hAnsiTheme="minorHAnsi" w:cstheme="minorHAnsi"/>
          <w:bCs/>
          <w:lang w:eastAsia="ja-JP"/>
        </w:rPr>
        <w:t xml:space="preserve">machine learning </w:t>
      </w:r>
      <w:r w:rsidR="0044684C">
        <w:rPr>
          <w:rFonts w:asciiTheme="minorHAnsi" w:hAnsiTheme="minorHAnsi" w:cstheme="minorHAnsi"/>
          <w:bCs/>
          <w:lang w:eastAsia="ja-JP"/>
        </w:rPr>
        <w:t xml:space="preserve">with features such as connectivity, </w:t>
      </w:r>
      <w:r w:rsidR="00682838">
        <w:rPr>
          <w:rFonts w:asciiTheme="minorHAnsi" w:hAnsiTheme="minorHAnsi" w:cstheme="minorHAnsi"/>
          <w:bCs/>
          <w:lang w:eastAsia="ja-JP"/>
        </w:rPr>
        <w:t xml:space="preserve">continuous or controlled </w:t>
      </w:r>
      <w:r w:rsidR="0044684C">
        <w:rPr>
          <w:rFonts w:asciiTheme="minorHAnsi" w:hAnsiTheme="minorHAnsi" w:cstheme="minorHAnsi"/>
          <w:bCs/>
          <w:lang w:eastAsia="ja-JP"/>
        </w:rPr>
        <w:t>learning and personalisation</w:t>
      </w:r>
      <w:r w:rsidR="00ED1822">
        <w:rPr>
          <w:rFonts w:asciiTheme="minorHAnsi" w:hAnsiTheme="minorHAnsi" w:cstheme="minorHAnsi"/>
          <w:bCs/>
          <w:lang w:eastAsia="ja-JP"/>
        </w:rPr>
        <w:t xml:space="preserve"> </w:t>
      </w:r>
      <w:r w:rsidR="00ED1822" w:rsidRPr="007646EB">
        <w:rPr>
          <w:rFonts w:asciiTheme="minorHAnsi" w:hAnsiTheme="minorHAnsi" w:cstheme="minorHAnsi"/>
          <w:bCs/>
          <w:lang w:eastAsia="ja-JP"/>
        </w:rPr>
        <w:t>have</w:t>
      </w:r>
      <w:r w:rsidR="00ED1822">
        <w:rPr>
          <w:rFonts w:asciiTheme="minorHAnsi" w:hAnsiTheme="minorHAnsi" w:cstheme="minorHAnsi"/>
          <w:bCs/>
          <w:lang w:eastAsia="ja-JP"/>
        </w:rPr>
        <w:t xml:space="preserve"> reached the medical device sector.</w:t>
      </w:r>
      <w:r w:rsidR="00682838">
        <w:rPr>
          <w:rFonts w:asciiTheme="minorHAnsi" w:hAnsiTheme="minorHAnsi" w:cstheme="minorHAnsi"/>
          <w:bCs/>
          <w:lang w:eastAsia="ja-JP"/>
        </w:rPr>
        <w:t xml:space="preserve"> </w:t>
      </w:r>
      <w:r w:rsidR="00682838" w:rsidRPr="00682838">
        <w:rPr>
          <w:rFonts w:asciiTheme="minorHAnsi" w:hAnsiTheme="minorHAnsi" w:cstheme="minorHAnsi"/>
          <w:bCs/>
          <w:lang w:eastAsia="ja-JP"/>
        </w:rPr>
        <w:t>Remote monitoring devices, at-home diagnostic tests, portable imaging equipment and enhanced connectivity have extended the reach of healthcare delivery beyond hospitals and clinics in great parts of the world. Doctors and care givers are able to monitor their patients’ health statuses remotely and are also able to receive alerts when their patient needs attention thus allowing patients to be effectively managed in the comfort of their homes. Patients can be discharged earlier from hospitals</w:t>
      </w:r>
      <w:r w:rsidR="00682838">
        <w:rPr>
          <w:rFonts w:asciiTheme="minorHAnsi" w:hAnsiTheme="minorHAnsi" w:cstheme="minorHAnsi"/>
          <w:bCs/>
          <w:lang w:eastAsia="ja-JP"/>
        </w:rPr>
        <w:t xml:space="preserve"> by leveraging such remote monitoring technologies</w:t>
      </w:r>
      <w:r w:rsidR="00682838" w:rsidRPr="00682838">
        <w:rPr>
          <w:rFonts w:asciiTheme="minorHAnsi" w:hAnsiTheme="minorHAnsi" w:cstheme="minorHAnsi"/>
          <w:bCs/>
          <w:lang w:eastAsia="ja-JP"/>
        </w:rPr>
        <w:t xml:space="preserve"> thus reducing the burden on our stretched healthcare resources globally.</w:t>
      </w:r>
      <w:r w:rsidR="00991B68">
        <w:rPr>
          <w:rFonts w:asciiTheme="minorHAnsi" w:hAnsiTheme="minorHAnsi" w:cstheme="minorHAnsi"/>
          <w:bCs/>
          <w:lang w:eastAsia="ja-JP"/>
        </w:rPr>
        <w:t xml:space="preserve"> </w:t>
      </w:r>
      <w:r w:rsidR="0044684C">
        <w:rPr>
          <w:rFonts w:asciiTheme="minorHAnsi" w:hAnsiTheme="minorHAnsi" w:cstheme="minorHAnsi"/>
          <w:bCs/>
          <w:lang w:eastAsia="ja-JP"/>
        </w:rPr>
        <w:t xml:space="preserve"> </w:t>
      </w:r>
      <w:r w:rsidR="00227B25">
        <w:rPr>
          <w:rFonts w:asciiTheme="minorHAnsi" w:hAnsiTheme="minorHAnsi" w:cstheme="minorHAnsi"/>
          <w:bCs/>
          <w:lang w:eastAsia="ja-JP"/>
        </w:rPr>
        <w:t xml:space="preserve">To ensure </w:t>
      </w:r>
      <w:r w:rsidR="0044684C">
        <w:rPr>
          <w:rFonts w:asciiTheme="minorHAnsi" w:hAnsiTheme="minorHAnsi" w:cstheme="minorHAnsi"/>
          <w:bCs/>
          <w:lang w:eastAsia="ja-JP"/>
        </w:rPr>
        <w:t>safety</w:t>
      </w:r>
      <w:r w:rsidR="00682838">
        <w:rPr>
          <w:rFonts w:asciiTheme="minorHAnsi" w:hAnsiTheme="minorHAnsi" w:cstheme="minorHAnsi"/>
          <w:bCs/>
          <w:lang w:eastAsia="ja-JP"/>
        </w:rPr>
        <w:t xml:space="preserve"> </w:t>
      </w:r>
      <w:r w:rsidR="0044684C">
        <w:rPr>
          <w:rFonts w:asciiTheme="minorHAnsi" w:hAnsiTheme="minorHAnsi" w:cstheme="minorHAnsi"/>
          <w:bCs/>
          <w:lang w:eastAsia="ja-JP"/>
        </w:rPr>
        <w:t xml:space="preserve">and effectiveness of these </w:t>
      </w:r>
      <w:r w:rsidR="00227B25">
        <w:rPr>
          <w:rFonts w:asciiTheme="minorHAnsi" w:hAnsiTheme="minorHAnsi" w:cstheme="minorHAnsi"/>
          <w:bCs/>
          <w:lang w:eastAsia="ja-JP"/>
        </w:rPr>
        <w:t xml:space="preserve">new </w:t>
      </w:r>
      <w:r w:rsidR="0044684C">
        <w:rPr>
          <w:rFonts w:asciiTheme="minorHAnsi" w:hAnsiTheme="minorHAnsi" w:cstheme="minorHAnsi"/>
          <w:bCs/>
          <w:lang w:eastAsia="ja-JP"/>
        </w:rPr>
        <w:t>medical</w:t>
      </w:r>
      <w:r w:rsidR="00227B25">
        <w:rPr>
          <w:rFonts w:asciiTheme="minorHAnsi" w:hAnsiTheme="minorHAnsi" w:cstheme="minorHAnsi"/>
          <w:bCs/>
          <w:lang w:eastAsia="ja-JP"/>
        </w:rPr>
        <w:t xml:space="preserve"> technologies</w:t>
      </w:r>
      <w:r w:rsidR="0044684C">
        <w:rPr>
          <w:rFonts w:asciiTheme="minorHAnsi" w:hAnsiTheme="minorHAnsi" w:cstheme="minorHAnsi"/>
          <w:bCs/>
          <w:lang w:eastAsia="ja-JP"/>
        </w:rPr>
        <w:t xml:space="preserve"> and </w:t>
      </w:r>
      <w:r w:rsidR="00227B25">
        <w:rPr>
          <w:rFonts w:asciiTheme="minorHAnsi" w:hAnsiTheme="minorHAnsi" w:cstheme="minorHAnsi"/>
          <w:bCs/>
          <w:lang w:eastAsia="ja-JP"/>
        </w:rPr>
        <w:t xml:space="preserve">to utilise </w:t>
      </w:r>
      <w:r w:rsidR="0044684C">
        <w:rPr>
          <w:rFonts w:asciiTheme="minorHAnsi" w:hAnsiTheme="minorHAnsi" w:cstheme="minorHAnsi"/>
          <w:bCs/>
          <w:lang w:eastAsia="ja-JP"/>
        </w:rPr>
        <w:t xml:space="preserve">their </w:t>
      </w:r>
      <w:r w:rsidR="00227B25">
        <w:rPr>
          <w:rFonts w:asciiTheme="minorHAnsi" w:hAnsiTheme="minorHAnsi" w:cstheme="minorHAnsi"/>
          <w:bCs/>
          <w:lang w:eastAsia="ja-JP"/>
        </w:rPr>
        <w:t xml:space="preserve">great </w:t>
      </w:r>
      <w:r w:rsidR="0044684C">
        <w:rPr>
          <w:rFonts w:asciiTheme="minorHAnsi" w:hAnsiTheme="minorHAnsi" w:cstheme="minorHAnsi"/>
          <w:bCs/>
          <w:lang w:eastAsia="ja-JP"/>
        </w:rPr>
        <w:t>potential</w:t>
      </w:r>
      <w:r w:rsidR="00227B25">
        <w:rPr>
          <w:rFonts w:asciiTheme="minorHAnsi" w:hAnsiTheme="minorHAnsi" w:cstheme="minorHAnsi"/>
          <w:bCs/>
          <w:lang w:eastAsia="ja-JP"/>
        </w:rPr>
        <w:t xml:space="preserve"> requires an appropriate regulatory response</w:t>
      </w:r>
      <w:r w:rsidR="00991B68">
        <w:rPr>
          <w:rFonts w:asciiTheme="minorHAnsi" w:hAnsiTheme="minorHAnsi" w:cstheme="minorHAnsi"/>
          <w:bCs/>
          <w:lang w:eastAsia="ja-JP"/>
        </w:rPr>
        <w:t xml:space="preserve"> </w:t>
      </w:r>
      <w:r w:rsidR="00227B25">
        <w:rPr>
          <w:rFonts w:asciiTheme="minorHAnsi" w:hAnsiTheme="minorHAnsi" w:cstheme="minorHAnsi"/>
          <w:bCs/>
          <w:lang w:eastAsia="ja-JP"/>
        </w:rPr>
        <w:t>to challenges connected with those new technologies.</w:t>
      </w:r>
      <w:r w:rsidRPr="007646EB">
        <w:rPr>
          <w:rFonts w:asciiTheme="minorHAnsi" w:hAnsiTheme="minorHAnsi" w:cstheme="minorHAnsi"/>
          <w:bCs/>
          <w:lang w:eastAsia="ja-JP"/>
        </w:rPr>
        <w:t xml:space="preserve"> </w:t>
      </w:r>
    </w:p>
    <w:p w14:paraId="07547833" w14:textId="77777777" w:rsidR="00085D2A" w:rsidRDefault="00085D2A" w:rsidP="00085D2A">
      <w:pPr>
        <w:keepNext/>
        <w:spacing w:line="360" w:lineRule="auto"/>
        <w:jc w:val="both"/>
        <w:rPr>
          <w:rFonts w:asciiTheme="minorHAnsi" w:hAnsiTheme="minorHAnsi" w:cstheme="minorHAnsi"/>
          <w:bCs/>
          <w:lang w:eastAsia="ja-JP"/>
        </w:rPr>
      </w:pPr>
    </w:p>
    <w:p w14:paraId="66449770" w14:textId="25D59661" w:rsidR="007646EB" w:rsidRDefault="006E6D69" w:rsidP="00085D2A">
      <w:pPr>
        <w:keepNext/>
        <w:spacing w:line="360" w:lineRule="auto"/>
        <w:jc w:val="both"/>
        <w:rPr>
          <w:rFonts w:asciiTheme="minorHAnsi" w:hAnsiTheme="minorHAnsi" w:cstheme="minorHAnsi"/>
          <w:bCs/>
          <w:lang w:eastAsia="ja-JP"/>
        </w:rPr>
      </w:pPr>
      <w:r>
        <w:rPr>
          <w:rFonts w:asciiTheme="minorHAnsi" w:hAnsiTheme="minorHAnsi" w:cstheme="minorHAnsi"/>
          <w:bCs/>
          <w:lang w:eastAsia="ja-JP"/>
        </w:rPr>
        <w:t xml:space="preserve">In the context of COVID pandemic, </w:t>
      </w:r>
      <w:r w:rsidR="00B33522">
        <w:rPr>
          <w:rFonts w:asciiTheme="minorHAnsi" w:hAnsiTheme="minorHAnsi" w:cstheme="minorHAnsi"/>
          <w:bCs/>
          <w:lang w:eastAsia="ja-JP"/>
        </w:rPr>
        <w:t xml:space="preserve">the adoption of </w:t>
      </w:r>
      <w:r>
        <w:rPr>
          <w:rFonts w:asciiTheme="minorHAnsi" w:hAnsiTheme="minorHAnsi" w:cstheme="minorHAnsi"/>
          <w:bCs/>
          <w:lang w:eastAsia="ja-JP"/>
        </w:rPr>
        <w:t>t</w:t>
      </w:r>
      <w:r w:rsidR="007646EB" w:rsidRPr="007646EB">
        <w:rPr>
          <w:rFonts w:asciiTheme="minorHAnsi" w:hAnsiTheme="minorHAnsi" w:cstheme="minorHAnsi"/>
          <w:bCs/>
          <w:lang w:eastAsia="ja-JP"/>
        </w:rPr>
        <w:t xml:space="preserve">elemedicine or virtual consultations </w:t>
      </w:r>
      <w:r w:rsidR="00B33522">
        <w:rPr>
          <w:rFonts w:asciiTheme="minorHAnsi" w:hAnsiTheme="minorHAnsi" w:cstheme="minorHAnsi"/>
          <w:bCs/>
          <w:lang w:eastAsia="ja-JP"/>
        </w:rPr>
        <w:t>was accelerated</w:t>
      </w:r>
      <w:r w:rsidR="007646EB" w:rsidRPr="007646EB">
        <w:rPr>
          <w:rFonts w:asciiTheme="minorHAnsi" w:hAnsiTheme="minorHAnsi" w:cstheme="minorHAnsi"/>
          <w:bCs/>
          <w:lang w:eastAsia="ja-JP"/>
        </w:rPr>
        <w:t xml:space="preserve"> </w:t>
      </w:r>
      <w:r w:rsidR="0036213D">
        <w:rPr>
          <w:rFonts w:asciiTheme="minorHAnsi" w:hAnsiTheme="minorHAnsi" w:cstheme="minorHAnsi"/>
          <w:bCs/>
          <w:lang w:eastAsia="ja-JP"/>
        </w:rPr>
        <w:t xml:space="preserve">to </w:t>
      </w:r>
      <w:r w:rsidR="008F43D9">
        <w:rPr>
          <w:rFonts w:asciiTheme="minorHAnsi" w:hAnsiTheme="minorHAnsi" w:cstheme="minorHAnsi"/>
          <w:bCs/>
          <w:lang w:eastAsia="ja-JP"/>
        </w:rPr>
        <w:t>enable more</w:t>
      </w:r>
      <w:r w:rsidR="0036213D">
        <w:rPr>
          <w:rFonts w:asciiTheme="minorHAnsi" w:hAnsiTheme="minorHAnsi" w:cstheme="minorHAnsi"/>
          <w:bCs/>
          <w:lang w:eastAsia="ja-JP"/>
        </w:rPr>
        <w:t xml:space="preserve"> efficient use of </w:t>
      </w:r>
      <w:r w:rsidR="0044685B">
        <w:rPr>
          <w:rFonts w:asciiTheme="minorHAnsi" w:hAnsiTheme="minorHAnsi" w:cstheme="minorHAnsi"/>
          <w:bCs/>
          <w:lang w:eastAsia="ja-JP"/>
        </w:rPr>
        <w:t>limited</w:t>
      </w:r>
      <w:r w:rsidR="0036213D">
        <w:rPr>
          <w:rFonts w:asciiTheme="minorHAnsi" w:hAnsiTheme="minorHAnsi" w:cstheme="minorHAnsi"/>
          <w:bCs/>
          <w:lang w:eastAsia="ja-JP"/>
        </w:rPr>
        <w:t xml:space="preserve"> medical </w:t>
      </w:r>
      <w:r w:rsidR="0044685B">
        <w:rPr>
          <w:rFonts w:asciiTheme="minorHAnsi" w:hAnsiTheme="minorHAnsi" w:cstheme="minorHAnsi"/>
          <w:bCs/>
          <w:lang w:eastAsia="ja-JP"/>
        </w:rPr>
        <w:t xml:space="preserve">resources </w:t>
      </w:r>
      <w:r>
        <w:rPr>
          <w:rFonts w:asciiTheme="minorHAnsi" w:hAnsiTheme="minorHAnsi" w:cstheme="minorHAnsi"/>
          <w:bCs/>
          <w:lang w:eastAsia="ja-JP"/>
        </w:rPr>
        <w:t xml:space="preserve">and </w:t>
      </w:r>
      <w:r w:rsidR="0036213D">
        <w:rPr>
          <w:rFonts w:asciiTheme="minorHAnsi" w:hAnsiTheme="minorHAnsi" w:cstheme="minorHAnsi"/>
          <w:bCs/>
          <w:lang w:eastAsia="ja-JP"/>
        </w:rPr>
        <w:t xml:space="preserve">to </w:t>
      </w:r>
      <w:r>
        <w:rPr>
          <w:rFonts w:asciiTheme="minorHAnsi" w:hAnsiTheme="minorHAnsi" w:cstheme="minorHAnsi"/>
          <w:bCs/>
          <w:lang w:eastAsia="ja-JP"/>
        </w:rPr>
        <w:t>prevent spreading of diseases</w:t>
      </w:r>
      <w:r w:rsidR="007646EB" w:rsidRPr="007646EB">
        <w:rPr>
          <w:rFonts w:asciiTheme="minorHAnsi" w:hAnsiTheme="minorHAnsi" w:cstheme="minorHAnsi"/>
          <w:bCs/>
          <w:lang w:eastAsia="ja-JP"/>
        </w:rPr>
        <w:t>.</w:t>
      </w:r>
      <w:r w:rsidR="0044684C">
        <w:rPr>
          <w:rFonts w:asciiTheme="minorHAnsi" w:hAnsiTheme="minorHAnsi" w:cstheme="minorHAnsi"/>
          <w:bCs/>
          <w:lang w:eastAsia="ja-JP"/>
        </w:rPr>
        <w:t xml:space="preserve"> </w:t>
      </w:r>
      <w:r w:rsidR="0036213D">
        <w:rPr>
          <w:rFonts w:asciiTheme="minorHAnsi" w:hAnsiTheme="minorHAnsi" w:cstheme="minorHAnsi"/>
          <w:bCs/>
          <w:lang w:eastAsia="ja-JP"/>
        </w:rPr>
        <w:t>While t</w:t>
      </w:r>
      <w:r w:rsidR="00682838">
        <w:rPr>
          <w:rFonts w:asciiTheme="minorHAnsi" w:hAnsiTheme="minorHAnsi" w:cstheme="minorHAnsi"/>
          <w:bCs/>
          <w:lang w:eastAsia="ja-JP"/>
        </w:rPr>
        <w:t xml:space="preserve">hese </w:t>
      </w:r>
      <w:r w:rsidR="0036213D">
        <w:rPr>
          <w:rFonts w:asciiTheme="minorHAnsi" w:hAnsiTheme="minorHAnsi" w:cstheme="minorHAnsi"/>
          <w:bCs/>
          <w:lang w:eastAsia="ja-JP"/>
        </w:rPr>
        <w:t xml:space="preserve">technologies have proven that significant improvements </w:t>
      </w:r>
      <w:r w:rsidR="00682838">
        <w:rPr>
          <w:rFonts w:asciiTheme="minorHAnsi" w:hAnsiTheme="minorHAnsi" w:cstheme="minorHAnsi"/>
          <w:bCs/>
          <w:lang w:eastAsia="ja-JP"/>
        </w:rPr>
        <w:t xml:space="preserve">in </w:t>
      </w:r>
      <w:r w:rsidR="0044685B">
        <w:rPr>
          <w:rFonts w:asciiTheme="minorHAnsi" w:hAnsiTheme="minorHAnsi" w:cstheme="minorHAnsi"/>
          <w:bCs/>
          <w:lang w:eastAsia="ja-JP"/>
        </w:rPr>
        <w:t>healthcare</w:t>
      </w:r>
      <w:r w:rsidR="00682838">
        <w:rPr>
          <w:rFonts w:asciiTheme="minorHAnsi" w:hAnsiTheme="minorHAnsi" w:cstheme="minorHAnsi"/>
          <w:bCs/>
          <w:lang w:eastAsia="ja-JP"/>
        </w:rPr>
        <w:t xml:space="preserve"> delivery </w:t>
      </w:r>
      <w:r w:rsidR="000840EB">
        <w:rPr>
          <w:rFonts w:asciiTheme="minorHAnsi" w:hAnsiTheme="minorHAnsi" w:cstheme="minorHAnsi"/>
          <w:bCs/>
          <w:lang w:eastAsia="ja-JP"/>
        </w:rPr>
        <w:t>can be</w:t>
      </w:r>
      <w:r w:rsidR="00B24078">
        <w:rPr>
          <w:rFonts w:asciiTheme="minorHAnsi" w:hAnsiTheme="minorHAnsi" w:cstheme="minorHAnsi"/>
          <w:bCs/>
          <w:lang w:eastAsia="ja-JP"/>
        </w:rPr>
        <w:t xml:space="preserve"> achieved</w:t>
      </w:r>
      <w:r w:rsidR="00682838">
        <w:rPr>
          <w:rFonts w:asciiTheme="minorHAnsi" w:hAnsiTheme="minorHAnsi" w:cstheme="minorHAnsi"/>
          <w:bCs/>
          <w:lang w:eastAsia="ja-JP"/>
        </w:rPr>
        <w:t xml:space="preserve"> even beyond the pandemic</w:t>
      </w:r>
      <w:r w:rsidR="000840EB">
        <w:rPr>
          <w:rFonts w:asciiTheme="minorHAnsi" w:hAnsiTheme="minorHAnsi" w:cstheme="minorHAnsi"/>
          <w:bCs/>
          <w:lang w:eastAsia="ja-JP"/>
        </w:rPr>
        <w:t xml:space="preserve">, </w:t>
      </w:r>
      <w:r w:rsidR="0036213D" w:rsidRPr="006D0B8C">
        <w:rPr>
          <w:rFonts w:asciiTheme="minorHAnsi" w:hAnsiTheme="minorHAnsi" w:cstheme="minorHAnsi"/>
        </w:rPr>
        <w:t xml:space="preserve">it </w:t>
      </w:r>
      <w:r w:rsidR="000840EB">
        <w:rPr>
          <w:rFonts w:asciiTheme="minorHAnsi" w:hAnsiTheme="minorHAnsi" w:cstheme="minorHAnsi"/>
        </w:rPr>
        <w:t xml:space="preserve">will </w:t>
      </w:r>
      <w:r w:rsidR="00682838">
        <w:rPr>
          <w:rFonts w:asciiTheme="minorHAnsi" w:hAnsiTheme="minorHAnsi" w:cstheme="minorHAnsi"/>
        </w:rPr>
        <w:t xml:space="preserve">be </w:t>
      </w:r>
      <w:r w:rsidR="0036213D" w:rsidRPr="006D0B8C">
        <w:rPr>
          <w:rFonts w:asciiTheme="minorHAnsi" w:hAnsiTheme="minorHAnsi" w:cstheme="minorHAnsi"/>
        </w:rPr>
        <w:t xml:space="preserve">important to pay attention </w:t>
      </w:r>
      <w:r w:rsidR="000840EB">
        <w:rPr>
          <w:rFonts w:asciiTheme="minorHAnsi" w:hAnsiTheme="minorHAnsi" w:cstheme="minorHAnsi"/>
        </w:rPr>
        <w:t>to the</w:t>
      </w:r>
      <w:r w:rsidR="00B24078">
        <w:rPr>
          <w:rFonts w:asciiTheme="minorHAnsi" w:hAnsiTheme="minorHAnsi" w:cstheme="minorHAnsi"/>
        </w:rPr>
        <w:t>ir</w:t>
      </w:r>
      <w:r w:rsidR="000840EB">
        <w:rPr>
          <w:rFonts w:asciiTheme="minorHAnsi" w:hAnsiTheme="minorHAnsi" w:cstheme="minorHAnsi"/>
        </w:rPr>
        <w:t xml:space="preserve"> safety, effectiveness and </w:t>
      </w:r>
      <w:r w:rsidR="00682838">
        <w:rPr>
          <w:rFonts w:asciiTheme="minorHAnsi" w:hAnsiTheme="minorHAnsi" w:cstheme="minorHAnsi"/>
        </w:rPr>
        <w:t xml:space="preserve">data security related issues </w:t>
      </w:r>
      <w:r w:rsidR="00B42988">
        <w:rPr>
          <w:rFonts w:asciiTheme="minorHAnsi" w:hAnsiTheme="minorHAnsi" w:cstheme="minorHAnsi"/>
          <w:bCs/>
          <w:lang w:eastAsia="ja-JP"/>
        </w:rPr>
        <w:t xml:space="preserve">including securing patient personal information </w:t>
      </w:r>
      <w:r w:rsidR="00682838">
        <w:rPr>
          <w:rFonts w:asciiTheme="minorHAnsi" w:hAnsiTheme="minorHAnsi" w:cstheme="minorHAnsi"/>
        </w:rPr>
        <w:t xml:space="preserve">when using them. </w:t>
      </w:r>
      <w:r w:rsidR="006D0B8C" w:rsidRPr="006D0B8C">
        <w:rPr>
          <w:rFonts w:asciiTheme="minorHAnsi" w:hAnsiTheme="minorHAnsi" w:cstheme="minorHAnsi"/>
        </w:rPr>
        <w:t xml:space="preserve"> </w:t>
      </w:r>
      <w:r w:rsidR="0036213D">
        <w:rPr>
          <w:rFonts w:asciiTheme="minorHAnsi" w:hAnsiTheme="minorHAnsi" w:cstheme="minorHAnsi"/>
          <w:bCs/>
          <w:lang w:eastAsia="ja-JP"/>
        </w:rPr>
        <w:t>It is important for medical device manufacturers and regulators to incorporate the current learnings such as regulatory agility and harmonised regulatory principles to collaborate and better prepare for future pandemics</w:t>
      </w:r>
      <w:r w:rsidR="000840EB">
        <w:rPr>
          <w:rFonts w:asciiTheme="minorHAnsi" w:hAnsiTheme="minorHAnsi" w:cstheme="minorHAnsi"/>
          <w:bCs/>
          <w:lang w:eastAsia="ja-JP"/>
        </w:rPr>
        <w:t xml:space="preserve"> or other crisis scenarios</w:t>
      </w:r>
      <w:r w:rsidR="0036213D">
        <w:rPr>
          <w:rFonts w:asciiTheme="minorHAnsi" w:hAnsiTheme="minorHAnsi" w:cstheme="minorHAnsi"/>
          <w:bCs/>
          <w:lang w:eastAsia="ja-JP"/>
        </w:rPr>
        <w:t xml:space="preserve">. </w:t>
      </w:r>
    </w:p>
    <w:p w14:paraId="1BC46F8A" w14:textId="77777777" w:rsidR="00085D2A" w:rsidRPr="007646EB" w:rsidRDefault="00085D2A" w:rsidP="00085D2A">
      <w:pPr>
        <w:keepNext/>
        <w:spacing w:line="360" w:lineRule="auto"/>
        <w:jc w:val="both"/>
        <w:rPr>
          <w:rFonts w:asciiTheme="minorHAnsi" w:hAnsiTheme="minorHAnsi" w:cstheme="minorHAnsi"/>
          <w:bCs/>
          <w:lang w:eastAsia="ja-JP"/>
        </w:rPr>
      </w:pPr>
    </w:p>
    <w:p w14:paraId="3020F53F" w14:textId="18AEDDC4" w:rsidR="007646EB" w:rsidRPr="007646EB" w:rsidRDefault="007646EB" w:rsidP="00085D2A">
      <w:pPr>
        <w:keepNext/>
        <w:spacing w:line="360" w:lineRule="auto"/>
        <w:jc w:val="both"/>
        <w:rPr>
          <w:rFonts w:asciiTheme="minorHAnsi" w:hAnsiTheme="minorHAnsi" w:cstheme="minorHAnsi"/>
          <w:bCs/>
          <w:lang w:eastAsia="ja-JP"/>
        </w:rPr>
      </w:pPr>
      <w:r w:rsidRPr="007646EB">
        <w:rPr>
          <w:rFonts w:asciiTheme="minorHAnsi" w:hAnsiTheme="minorHAnsi" w:cstheme="minorHAnsi"/>
          <w:bCs/>
          <w:lang w:eastAsia="ja-JP"/>
        </w:rPr>
        <w:t xml:space="preserve">Digital technologies including wearable devices and software including mobile applications have transformed healthcare </w:t>
      </w:r>
      <w:r w:rsidR="000840EB">
        <w:rPr>
          <w:rFonts w:asciiTheme="minorHAnsi" w:hAnsiTheme="minorHAnsi" w:cstheme="minorHAnsi"/>
          <w:bCs/>
          <w:lang w:eastAsia="ja-JP"/>
        </w:rPr>
        <w:t xml:space="preserve">in </w:t>
      </w:r>
      <w:r w:rsidR="00085D2A">
        <w:rPr>
          <w:rFonts w:asciiTheme="minorHAnsi" w:hAnsiTheme="minorHAnsi" w:cstheme="minorHAnsi"/>
          <w:bCs/>
          <w:lang w:eastAsia="ja-JP"/>
        </w:rPr>
        <w:t>many</w:t>
      </w:r>
      <w:r w:rsidR="000840EB">
        <w:rPr>
          <w:rFonts w:asciiTheme="minorHAnsi" w:hAnsiTheme="minorHAnsi" w:cstheme="minorHAnsi"/>
          <w:bCs/>
          <w:lang w:eastAsia="ja-JP"/>
        </w:rPr>
        <w:t xml:space="preserve"> parts of the </w:t>
      </w:r>
      <w:r w:rsidR="0044685B">
        <w:rPr>
          <w:rFonts w:asciiTheme="minorHAnsi" w:hAnsiTheme="minorHAnsi" w:cstheme="minorHAnsi"/>
          <w:bCs/>
          <w:lang w:eastAsia="ja-JP"/>
        </w:rPr>
        <w:t xml:space="preserve">world </w:t>
      </w:r>
      <w:r w:rsidR="0044685B" w:rsidRPr="007646EB">
        <w:rPr>
          <w:rFonts w:asciiTheme="minorHAnsi" w:hAnsiTheme="minorHAnsi" w:cstheme="minorHAnsi"/>
          <w:bCs/>
          <w:lang w:eastAsia="ja-JP"/>
        </w:rPr>
        <w:t>to</w:t>
      </w:r>
      <w:r w:rsidRPr="007646EB">
        <w:rPr>
          <w:rFonts w:asciiTheme="minorHAnsi" w:hAnsiTheme="minorHAnsi" w:cstheme="minorHAnsi"/>
          <w:bCs/>
          <w:lang w:eastAsia="ja-JP"/>
        </w:rPr>
        <w:t xml:space="preserve"> be patient-centric. Consumers are </w:t>
      </w:r>
      <w:r w:rsidR="00794CE8">
        <w:rPr>
          <w:rFonts w:asciiTheme="minorHAnsi" w:hAnsiTheme="minorHAnsi" w:cstheme="minorHAnsi"/>
          <w:bCs/>
          <w:lang w:eastAsia="ja-JP"/>
        </w:rPr>
        <w:lastRenderedPageBreak/>
        <w:t xml:space="preserve">increasingly </w:t>
      </w:r>
      <w:r w:rsidRPr="007646EB">
        <w:rPr>
          <w:rFonts w:asciiTheme="minorHAnsi" w:hAnsiTheme="minorHAnsi" w:cstheme="minorHAnsi"/>
          <w:bCs/>
          <w:lang w:eastAsia="ja-JP"/>
        </w:rPr>
        <w:t xml:space="preserve">using preventive </w:t>
      </w:r>
      <w:r w:rsidR="00794CE8">
        <w:rPr>
          <w:rFonts w:asciiTheme="minorHAnsi" w:hAnsiTheme="minorHAnsi" w:cstheme="minorHAnsi"/>
          <w:bCs/>
          <w:lang w:eastAsia="ja-JP"/>
        </w:rPr>
        <w:t xml:space="preserve">monitoring </w:t>
      </w:r>
      <w:r w:rsidR="00AF2880">
        <w:rPr>
          <w:rFonts w:asciiTheme="minorHAnsi" w:hAnsiTheme="minorHAnsi" w:cstheme="minorHAnsi"/>
          <w:bCs/>
          <w:lang w:eastAsia="ja-JP"/>
        </w:rPr>
        <w:t xml:space="preserve">and </w:t>
      </w:r>
      <w:r w:rsidRPr="007646EB">
        <w:rPr>
          <w:rFonts w:asciiTheme="minorHAnsi" w:hAnsiTheme="minorHAnsi" w:cstheme="minorHAnsi"/>
          <w:bCs/>
          <w:lang w:eastAsia="ja-JP"/>
        </w:rPr>
        <w:t xml:space="preserve">care to improve and </w:t>
      </w:r>
      <w:r w:rsidR="003A61D2" w:rsidRPr="007646EB">
        <w:rPr>
          <w:rFonts w:asciiTheme="minorHAnsi" w:hAnsiTheme="minorHAnsi" w:cstheme="minorHAnsi"/>
          <w:bCs/>
          <w:lang w:eastAsia="ja-JP"/>
        </w:rPr>
        <w:t>maintain</w:t>
      </w:r>
      <w:r w:rsidRPr="007646EB">
        <w:rPr>
          <w:rFonts w:asciiTheme="minorHAnsi" w:hAnsiTheme="minorHAnsi" w:cstheme="minorHAnsi"/>
          <w:bCs/>
          <w:lang w:eastAsia="ja-JP"/>
        </w:rPr>
        <w:t xml:space="preserve"> their health </w:t>
      </w:r>
      <w:r w:rsidR="00085D2A">
        <w:rPr>
          <w:rFonts w:asciiTheme="minorHAnsi" w:hAnsiTheme="minorHAnsi" w:cstheme="minorHAnsi"/>
          <w:bCs/>
          <w:lang w:eastAsia="ja-JP"/>
        </w:rPr>
        <w:t xml:space="preserve">and </w:t>
      </w:r>
      <w:r w:rsidRPr="007646EB">
        <w:rPr>
          <w:rFonts w:asciiTheme="minorHAnsi" w:hAnsiTheme="minorHAnsi" w:cstheme="minorHAnsi"/>
          <w:bCs/>
          <w:lang w:eastAsia="ja-JP"/>
        </w:rPr>
        <w:t xml:space="preserve">to </w:t>
      </w:r>
      <w:r w:rsidR="000412A3">
        <w:rPr>
          <w:rFonts w:asciiTheme="minorHAnsi" w:hAnsiTheme="minorHAnsi" w:cstheme="minorHAnsi"/>
          <w:bCs/>
          <w:lang w:eastAsia="ja-JP"/>
        </w:rPr>
        <w:t xml:space="preserve">mitigate </w:t>
      </w:r>
      <w:r w:rsidRPr="007646EB">
        <w:rPr>
          <w:rFonts w:asciiTheme="minorHAnsi" w:hAnsiTheme="minorHAnsi" w:cstheme="minorHAnsi"/>
          <w:bCs/>
          <w:lang w:eastAsia="ja-JP"/>
        </w:rPr>
        <w:t xml:space="preserve">or avoid </w:t>
      </w:r>
      <w:r w:rsidR="00CD39DF">
        <w:rPr>
          <w:rFonts w:asciiTheme="minorHAnsi" w:hAnsiTheme="minorHAnsi" w:cstheme="minorHAnsi"/>
          <w:bCs/>
          <w:lang w:eastAsia="ja-JP"/>
        </w:rPr>
        <w:t>the onset of illness.</w:t>
      </w:r>
      <w:r w:rsidRPr="007646EB">
        <w:rPr>
          <w:rFonts w:asciiTheme="minorHAnsi" w:hAnsiTheme="minorHAnsi" w:cstheme="minorHAnsi"/>
          <w:bCs/>
          <w:lang w:eastAsia="ja-JP"/>
        </w:rPr>
        <w:t xml:space="preserve"> In recent years, the scope of self-monitoring devices for consumers which used to be mainly blood glucose and blood pressure measurements, has expanded to include heart rate, blood oxygen saturation, ECG, arrhythmia and various </w:t>
      </w:r>
      <w:r w:rsidR="00CD39DF">
        <w:rPr>
          <w:rFonts w:asciiTheme="minorHAnsi" w:hAnsiTheme="minorHAnsi" w:cstheme="minorHAnsi"/>
          <w:bCs/>
          <w:lang w:eastAsia="ja-JP"/>
        </w:rPr>
        <w:t xml:space="preserve">other </w:t>
      </w:r>
      <w:r w:rsidRPr="007646EB">
        <w:rPr>
          <w:rFonts w:asciiTheme="minorHAnsi" w:hAnsiTheme="minorHAnsi" w:cstheme="minorHAnsi"/>
          <w:bCs/>
          <w:lang w:eastAsia="ja-JP"/>
        </w:rPr>
        <w:t>physiological parameters. This</w:t>
      </w:r>
      <w:r w:rsidR="00D47E0B">
        <w:rPr>
          <w:rFonts w:asciiTheme="minorHAnsi" w:hAnsiTheme="minorHAnsi" w:cstheme="minorHAnsi"/>
          <w:bCs/>
          <w:lang w:eastAsia="ja-JP"/>
        </w:rPr>
        <w:t>,</w:t>
      </w:r>
      <w:r w:rsidRPr="007646EB">
        <w:rPr>
          <w:rFonts w:asciiTheme="minorHAnsi" w:hAnsiTheme="minorHAnsi" w:cstheme="minorHAnsi"/>
          <w:bCs/>
          <w:lang w:eastAsia="ja-JP"/>
        </w:rPr>
        <w:t xml:space="preserve"> </w:t>
      </w:r>
      <w:r w:rsidR="000840EB">
        <w:rPr>
          <w:rFonts w:asciiTheme="minorHAnsi" w:hAnsiTheme="minorHAnsi" w:cstheme="minorHAnsi"/>
          <w:bCs/>
          <w:lang w:eastAsia="ja-JP"/>
        </w:rPr>
        <w:t>together with the permanently increasing extent of available medical information in the Internet</w:t>
      </w:r>
      <w:r w:rsidR="00D47E0B">
        <w:rPr>
          <w:rFonts w:asciiTheme="minorHAnsi" w:hAnsiTheme="minorHAnsi" w:cstheme="minorHAnsi"/>
          <w:bCs/>
          <w:lang w:eastAsia="ja-JP"/>
        </w:rPr>
        <w:t>,</w:t>
      </w:r>
      <w:r w:rsidR="000840EB">
        <w:rPr>
          <w:rFonts w:asciiTheme="minorHAnsi" w:hAnsiTheme="minorHAnsi" w:cstheme="minorHAnsi"/>
          <w:bCs/>
          <w:lang w:eastAsia="ja-JP"/>
        </w:rPr>
        <w:t xml:space="preserve"> </w:t>
      </w:r>
      <w:r w:rsidRPr="007646EB">
        <w:rPr>
          <w:rFonts w:asciiTheme="minorHAnsi" w:hAnsiTheme="minorHAnsi" w:cstheme="minorHAnsi"/>
          <w:bCs/>
          <w:lang w:eastAsia="ja-JP"/>
        </w:rPr>
        <w:t xml:space="preserve">has empowered patients to be more engaged in their healthcare decisions and even disagree with their doctors’ diagnosis or prescribed treatments (e.g. choice of implants, health screening, surgery). </w:t>
      </w:r>
    </w:p>
    <w:p w14:paraId="2966C29C" w14:textId="2D0E193F" w:rsidR="007646EB" w:rsidRDefault="007646EB" w:rsidP="00085D2A">
      <w:pPr>
        <w:spacing w:line="360" w:lineRule="auto"/>
        <w:jc w:val="both"/>
        <w:rPr>
          <w:rFonts w:asciiTheme="minorHAnsi" w:hAnsiTheme="minorHAnsi" w:cstheme="minorHAnsi"/>
          <w:bCs/>
          <w:lang w:eastAsia="ja-JP"/>
        </w:rPr>
      </w:pPr>
    </w:p>
    <w:p w14:paraId="10EB4A86" w14:textId="2D96B8D8" w:rsidR="00085D2A" w:rsidRDefault="00085D2A" w:rsidP="00085D2A">
      <w:pPr>
        <w:spacing w:line="360" w:lineRule="auto"/>
        <w:jc w:val="both"/>
        <w:rPr>
          <w:rFonts w:asciiTheme="minorHAnsi" w:hAnsiTheme="minorHAnsi" w:cstheme="minorHAnsi"/>
          <w:bCs/>
          <w:lang w:eastAsia="ja-JP"/>
        </w:rPr>
      </w:pPr>
    </w:p>
    <w:p w14:paraId="0A3DF8DC" w14:textId="22F035AE" w:rsidR="00085D2A" w:rsidRDefault="00085D2A" w:rsidP="00914C92">
      <w:pPr>
        <w:spacing w:line="360" w:lineRule="auto"/>
        <w:rPr>
          <w:rFonts w:asciiTheme="minorHAnsi" w:hAnsiTheme="minorHAnsi" w:cstheme="minorHAnsi"/>
          <w:bCs/>
          <w:lang w:eastAsia="ja-JP"/>
        </w:rPr>
      </w:pPr>
    </w:p>
    <w:p w14:paraId="744815B2" w14:textId="606857D3" w:rsidR="00085D2A" w:rsidRDefault="00085D2A" w:rsidP="00914C92">
      <w:pPr>
        <w:spacing w:line="360" w:lineRule="auto"/>
        <w:rPr>
          <w:rFonts w:asciiTheme="minorHAnsi" w:hAnsiTheme="minorHAnsi" w:cstheme="minorHAnsi"/>
          <w:bCs/>
          <w:lang w:eastAsia="ja-JP"/>
        </w:rPr>
      </w:pPr>
    </w:p>
    <w:p w14:paraId="1DFE2148" w14:textId="4311B25F" w:rsidR="00085D2A" w:rsidRDefault="00085D2A" w:rsidP="00914C92">
      <w:pPr>
        <w:spacing w:line="360" w:lineRule="auto"/>
        <w:rPr>
          <w:rFonts w:asciiTheme="minorHAnsi" w:hAnsiTheme="minorHAnsi" w:cstheme="minorHAnsi"/>
          <w:bCs/>
          <w:lang w:eastAsia="ja-JP"/>
        </w:rPr>
      </w:pPr>
    </w:p>
    <w:p w14:paraId="18F4B677" w14:textId="180FF2AC" w:rsidR="00085D2A" w:rsidRDefault="00085D2A" w:rsidP="00914C92">
      <w:pPr>
        <w:spacing w:line="360" w:lineRule="auto"/>
        <w:rPr>
          <w:rFonts w:asciiTheme="minorHAnsi" w:hAnsiTheme="minorHAnsi" w:cstheme="minorHAnsi"/>
          <w:bCs/>
          <w:lang w:eastAsia="ja-JP"/>
        </w:rPr>
      </w:pPr>
    </w:p>
    <w:p w14:paraId="36DD6157" w14:textId="56EB684F" w:rsidR="00085D2A" w:rsidRDefault="00085D2A" w:rsidP="00914C92">
      <w:pPr>
        <w:spacing w:line="360" w:lineRule="auto"/>
        <w:rPr>
          <w:rFonts w:asciiTheme="minorHAnsi" w:hAnsiTheme="minorHAnsi" w:cstheme="minorHAnsi"/>
          <w:bCs/>
          <w:lang w:eastAsia="ja-JP"/>
        </w:rPr>
      </w:pPr>
    </w:p>
    <w:p w14:paraId="200D729F" w14:textId="49CDA647" w:rsidR="00085D2A" w:rsidRDefault="00085D2A" w:rsidP="00914C92">
      <w:pPr>
        <w:spacing w:line="360" w:lineRule="auto"/>
        <w:rPr>
          <w:rFonts w:asciiTheme="minorHAnsi" w:hAnsiTheme="minorHAnsi" w:cstheme="minorHAnsi"/>
          <w:bCs/>
          <w:lang w:eastAsia="ja-JP"/>
        </w:rPr>
      </w:pPr>
    </w:p>
    <w:p w14:paraId="7170C735" w14:textId="586A29AC" w:rsidR="00085D2A" w:rsidRDefault="00085D2A" w:rsidP="00914C92">
      <w:pPr>
        <w:spacing w:line="360" w:lineRule="auto"/>
        <w:rPr>
          <w:rFonts w:asciiTheme="minorHAnsi" w:hAnsiTheme="minorHAnsi" w:cstheme="minorHAnsi"/>
          <w:bCs/>
          <w:lang w:eastAsia="ja-JP"/>
        </w:rPr>
      </w:pPr>
    </w:p>
    <w:p w14:paraId="7BCD8312" w14:textId="35D14824" w:rsidR="00085D2A" w:rsidRDefault="00085D2A" w:rsidP="00914C92">
      <w:pPr>
        <w:spacing w:line="360" w:lineRule="auto"/>
        <w:rPr>
          <w:rFonts w:asciiTheme="minorHAnsi" w:hAnsiTheme="minorHAnsi" w:cstheme="minorHAnsi"/>
          <w:bCs/>
          <w:lang w:eastAsia="ja-JP"/>
        </w:rPr>
      </w:pPr>
    </w:p>
    <w:p w14:paraId="38C94F8A" w14:textId="1D3316EE" w:rsidR="00085D2A" w:rsidRDefault="00085D2A" w:rsidP="00914C92">
      <w:pPr>
        <w:spacing w:line="360" w:lineRule="auto"/>
        <w:rPr>
          <w:rFonts w:asciiTheme="minorHAnsi" w:hAnsiTheme="minorHAnsi" w:cstheme="minorHAnsi"/>
          <w:bCs/>
          <w:lang w:eastAsia="ja-JP"/>
        </w:rPr>
      </w:pPr>
    </w:p>
    <w:p w14:paraId="4C03666D" w14:textId="469D63AD" w:rsidR="00085D2A" w:rsidRDefault="00085D2A" w:rsidP="00914C92">
      <w:pPr>
        <w:spacing w:line="360" w:lineRule="auto"/>
        <w:rPr>
          <w:rFonts w:asciiTheme="minorHAnsi" w:hAnsiTheme="minorHAnsi" w:cstheme="minorHAnsi"/>
          <w:bCs/>
          <w:lang w:eastAsia="ja-JP"/>
        </w:rPr>
      </w:pPr>
    </w:p>
    <w:p w14:paraId="1F05B54C" w14:textId="543D5981" w:rsidR="00085D2A" w:rsidRDefault="00085D2A" w:rsidP="00914C92">
      <w:pPr>
        <w:spacing w:line="360" w:lineRule="auto"/>
        <w:rPr>
          <w:rFonts w:asciiTheme="minorHAnsi" w:hAnsiTheme="minorHAnsi" w:cstheme="minorHAnsi"/>
          <w:bCs/>
          <w:lang w:eastAsia="ja-JP"/>
        </w:rPr>
      </w:pPr>
    </w:p>
    <w:p w14:paraId="509F7B76" w14:textId="200293D6" w:rsidR="00F74F95" w:rsidRDefault="00F74F95" w:rsidP="00914C92">
      <w:pPr>
        <w:spacing w:line="360" w:lineRule="auto"/>
        <w:rPr>
          <w:rFonts w:asciiTheme="minorHAnsi" w:hAnsiTheme="minorHAnsi" w:cstheme="minorHAnsi"/>
          <w:bCs/>
          <w:lang w:eastAsia="ja-JP"/>
        </w:rPr>
      </w:pPr>
    </w:p>
    <w:p w14:paraId="1DEE39A2" w14:textId="77777777" w:rsidR="00F74F95" w:rsidRDefault="00F74F95" w:rsidP="00914C92">
      <w:pPr>
        <w:spacing w:line="360" w:lineRule="auto"/>
        <w:rPr>
          <w:rFonts w:asciiTheme="minorHAnsi" w:hAnsiTheme="minorHAnsi" w:cstheme="minorHAnsi"/>
          <w:bCs/>
          <w:lang w:eastAsia="ja-JP"/>
        </w:rPr>
      </w:pP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2552E" w:rsidRPr="004B01A3" w14:paraId="0E7E2AD5" w14:textId="77777777" w:rsidTr="00735537">
        <w:tc>
          <w:tcPr>
            <w:tcW w:w="9016" w:type="dxa"/>
          </w:tcPr>
          <w:p w14:paraId="07497690" w14:textId="3DABDC24" w:rsidR="0022552E" w:rsidRDefault="0022552E" w:rsidP="00735537">
            <w:pPr>
              <w:pStyle w:val="Heading1"/>
              <w:outlineLvl w:val="0"/>
              <w:rPr>
                <w:rFonts w:asciiTheme="minorHAnsi" w:hAnsiTheme="minorHAnsi" w:cstheme="minorHAnsi"/>
                <w:b/>
                <w:sz w:val="48"/>
                <w:szCs w:val="48"/>
              </w:rPr>
            </w:pPr>
            <w:bookmarkStart w:id="7" w:name="_Toc48545800"/>
            <w:r>
              <w:rPr>
                <w:rFonts w:asciiTheme="minorHAnsi" w:hAnsiTheme="minorHAnsi" w:cstheme="minorHAnsi"/>
                <w:b/>
                <w:sz w:val="48"/>
                <w:szCs w:val="48"/>
              </w:rPr>
              <w:lastRenderedPageBreak/>
              <w:t>Developing a Regulatory Response</w:t>
            </w:r>
            <w:bookmarkEnd w:id="7"/>
          </w:p>
          <w:p w14:paraId="285636B9" w14:textId="77777777" w:rsidR="0022552E" w:rsidRPr="00484882" w:rsidRDefault="0022552E" w:rsidP="00735537">
            <w:pPr>
              <w:spacing w:before="240"/>
            </w:pPr>
          </w:p>
        </w:tc>
      </w:tr>
    </w:tbl>
    <w:p w14:paraId="3706791F" w14:textId="77777777" w:rsidR="0022552E" w:rsidRPr="00330520" w:rsidRDefault="0022552E" w:rsidP="0022552E">
      <w:pPr>
        <w:spacing w:line="360" w:lineRule="auto"/>
        <w:rPr>
          <w:rFonts w:asciiTheme="minorHAnsi" w:hAnsiTheme="minorHAnsi" w:cstheme="minorHAnsi"/>
          <w:bCs/>
          <w:sz w:val="12"/>
          <w:lang w:eastAsia="ja-JP"/>
        </w:rPr>
      </w:pPr>
    </w:p>
    <w:p w14:paraId="0DAA81F6" w14:textId="1A4BBD79" w:rsidR="0022552E" w:rsidRDefault="0022552E" w:rsidP="00085D2A">
      <w:p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While technology has </w:t>
      </w:r>
      <w:r>
        <w:rPr>
          <w:rFonts w:asciiTheme="minorHAnsi" w:hAnsiTheme="minorHAnsi" w:cstheme="minorHAnsi"/>
          <w:bCs/>
          <w:lang w:eastAsia="ja-JP"/>
        </w:rPr>
        <w:t>open</w:t>
      </w:r>
      <w:r w:rsidRPr="0022552E">
        <w:rPr>
          <w:rFonts w:asciiTheme="minorHAnsi" w:hAnsiTheme="minorHAnsi" w:cstheme="minorHAnsi"/>
          <w:bCs/>
          <w:lang w:eastAsia="ja-JP"/>
        </w:rPr>
        <w:t xml:space="preserve">ed up opportunities to incorporate new features and functionalities in modern medical devices to </w:t>
      </w:r>
      <w:r w:rsidR="001A51C5">
        <w:rPr>
          <w:rFonts w:asciiTheme="minorHAnsi" w:hAnsiTheme="minorHAnsi" w:cstheme="minorHAnsi"/>
          <w:bCs/>
          <w:lang w:eastAsia="ja-JP"/>
        </w:rPr>
        <w:t>enhance</w:t>
      </w:r>
      <w:r w:rsidR="001A51C5" w:rsidRPr="0022552E">
        <w:rPr>
          <w:rFonts w:asciiTheme="minorHAnsi" w:hAnsiTheme="minorHAnsi" w:cstheme="minorHAnsi"/>
          <w:bCs/>
          <w:lang w:eastAsia="ja-JP"/>
        </w:rPr>
        <w:t xml:space="preserve"> </w:t>
      </w:r>
      <w:r w:rsidRPr="0022552E">
        <w:rPr>
          <w:rFonts w:asciiTheme="minorHAnsi" w:hAnsiTheme="minorHAnsi" w:cstheme="minorHAnsi"/>
          <w:bCs/>
          <w:lang w:eastAsia="ja-JP"/>
        </w:rPr>
        <w:t xml:space="preserve">their performance, it has also posed additional regulatory </w:t>
      </w:r>
      <w:r w:rsidR="00F35970">
        <w:rPr>
          <w:rFonts w:asciiTheme="minorHAnsi" w:hAnsiTheme="minorHAnsi" w:cstheme="minorHAnsi"/>
          <w:bCs/>
          <w:lang w:eastAsia="ja-JP"/>
        </w:rPr>
        <w:t>challenges</w:t>
      </w:r>
      <w:r w:rsidR="00F35970" w:rsidRPr="0022552E">
        <w:rPr>
          <w:rFonts w:asciiTheme="minorHAnsi" w:hAnsiTheme="minorHAnsi" w:cstheme="minorHAnsi"/>
          <w:bCs/>
          <w:lang w:eastAsia="ja-JP"/>
        </w:rPr>
        <w:t xml:space="preserve"> </w:t>
      </w:r>
      <w:r w:rsidRPr="0022552E">
        <w:rPr>
          <w:rFonts w:asciiTheme="minorHAnsi" w:hAnsiTheme="minorHAnsi" w:cstheme="minorHAnsi"/>
          <w:bCs/>
          <w:lang w:eastAsia="ja-JP"/>
        </w:rPr>
        <w:t>such as</w:t>
      </w:r>
      <w:r>
        <w:rPr>
          <w:rFonts w:asciiTheme="minorHAnsi" w:hAnsiTheme="minorHAnsi" w:cstheme="minorHAnsi"/>
          <w:bCs/>
          <w:lang w:eastAsia="ja-JP"/>
        </w:rPr>
        <w:t>:</w:t>
      </w:r>
    </w:p>
    <w:p w14:paraId="32CF0B61" w14:textId="77777777" w:rsidR="0022552E" w:rsidRDefault="0022552E" w:rsidP="00085D2A">
      <w:pPr>
        <w:pStyle w:val="ListParagraph"/>
        <w:numPr>
          <w:ilvl w:val="0"/>
          <w:numId w:val="32"/>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accessibility, </w:t>
      </w:r>
    </w:p>
    <w:p w14:paraId="76109137" w14:textId="77777777" w:rsidR="0022552E" w:rsidRDefault="0022552E" w:rsidP="00085D2A">
      <w:pPr>
        <w:pStyle w:val="ListParagraph"/>
        <w:numPr>
          <w:ilvl w:val="0"/>
          <w:numId w:val="32"/>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cybersecurity, </w:t>
      </w:r>
    </w:p>
    <w:p w14:paraId="34D20A0C" w14:textId="58A4C762" w:rsidR="0022552E" w:rsidRDefault="0022552E" w:rsidP="00085D2A">
      <w:pPr>
        <w:pStyle w:val="ListParagraph"/>
        <w:numPr>
          <w:ilvl w:val="0"/>
          <w:numId w:val="32"/>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interoperability, </w:t>
      </w:r>
    </w:p>
    <w:p w14:paraId="1C455EFA" w14:textId="67C4CF27" w:rsidR="0022552E" w:rsidRDefault="0022552E" w:rsidP="00085D2A">
      <w:pPr>
        <w:pStyle w:val="ListParagraph"/>
        <w:numPr>
          <w:ilvl w:val="0"/>
          <w:numId w:val="32"/>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data integrity, </w:t>
      </w:r>
      <w:r>
        <w:rPr>
          <w:rFonts w:asciiTheme="minorHAnsi" w:hAnsiTheme="minorHAnsi" w:cstheme="minorHAnsi"/>
          <w:bCs/>
          <w:lang w:eastAsia="ja-JP"/>
        </w:rPr>
        <w:t xml:space="preserve">and </w:t>
      </w:r>
    </w:p>
    <w:p w14:paraId="4C53B3BF" w14:textId="78D847BF" w:rsidR="0022552E" w:rsidRPr="0022552E" w:rsidRDefault="0022552E" w:rsidP="00085D2A">
      <w:pPr>
        <w:pStyle w:val="ListParagraph"/>
        <w:numPr>
          <w:ilvl w:val="0"/>
          <w:numId w:val="32"/>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data security etc. </w:t>
      </w:r>
    </w:p>
    <w:p w14:paraId="223FD497" w14:textId="66B094D6" w:rsidR="00121F23" w:rsidRDefault="0022552E" w:rsidP="00085D2A">
      <w:p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Software and digital technologies are capable of improving their safety and effectiveness continuously. For instance, artificial intelligence</w:t>
      </w:r>
      <w:r w:rsidR="006D0B8C">
        <w:rPr>
          <w:rFonts w:asciiTheme="minorHAnsi" w:hAnsiTheme="minorHAnsi" w:cstheme="minorHAnsi"/>
          <w:bCs/>
          <w:lang w:eastAsia="ja-JP"/>
        </w:rPr>
        <w:t xml:space="preserve"> (AI)</w:t>
      </w:r>
      <w:r w:rsidRPr="0022552E">
        <w:rPr>
          <w:rFonts w:asciiTheme="minorHAnsi" w:hAnsiTheme="minorHAnsi" w:cstheme="minorHAnsi"/>
          <w:bCs/>
          <w:lang w:eastAsia="ja-JP"/>
        </w:rPr>
        <w:t xml:space="preserve"> medical devices </w:t>
      </w:r>
      <w:r w:rsidR="00B33F30">
        <w:rPr>
          <w:rFonts w:asciiTheme="minorHAnsi" w:hAnsiTheme="minorHAnsi" w:cstheme="minorHAnsi"/>
          <w:bCs/>
          <w:lang w:eastAsia="ja-JP"/>
        </w:rPr>
        <w:t xml:space="preserve">might </w:t>
      </w:r>
      <w:r w:rsidRPr="0022552E">
        <w:rPr>
          <w:rFonts w:asciiTheme="minorHAnsi" w:hAnsiTheme="minorHAnsi" w:cstheme="minorHAnsi"/>
          <w:bCs/>
          <w:lang w:eastAsia="ja-JP"/>
        </w:rPr>
        <w:t xml:space="preserve">continuously learn from </w:t>
      </w:r>
      <w:r w:rsidR="00CD39DF">
        <w:rPr>
          <w:rFonts w:asciiTheme="minorHAnsi" w:hAnsiTheme="minorHAnsi" w:cstheme="minorHAnsi"/>
          <w:bCs/>
          <w:lang w:eastAsia="ja-JP"/>
        </w:rPr>
        <w:t>training with more datasets</w:t>
      </w:r>
      <w:r w:rsidR="00CD39DF" w:rsidRPr="0022552E">
        <w:rPr>
          <w:rFonts w:asciiTheme="minorHAnsi" w:hAnsiTheme="minorHAnsi" w:cstheme="minorHAnsi"/>
          <w:bCs/>
          <w:lang w:eastAsia="ja-JP"/>
        </w:rPr>
        <w:t xml:space="preserve"> </w:t>
      </w:r>
      <w:r w:rsidRPr="0022552E">
        <w:rPr>
          <w:rFonts w:asciiTheme="minorHAnsi" w:hAnsiTheme="minorHAnsi" w:cstheme="minorHAnsi"/>
          <w:bCs/>
          <w:lang w:eastAsia="ja-JP"/>
        </w:rPr>
        <w:t xml:space="preserve">and their performance specifications are not fixed unlike hardware medical devices. This </w:t>
      </w:r>
      <w:r w:rsidR="00121F23">
        <w:rPr>
          <w:rFonts w:asciiTheme="minorHAnsi" w:hAnsiTheme="minorHAnsi" w:cstheme="minorHAnsi"/>
          <w:bCs/>
          <w:lang w:eastAsia="ja-JP"/>
        </w:rPr>
        <w:t>is</w:t>
      </w:r>
      <w:r w:rsidR="00121F23" w:rsidRPr="0022552E">
        <w:rPr>
          <w:rFonts w:asciiTheme="minorHAnsi" w:hAnsiTheme="minorHAnsi" w:cstheme="minorHAnsi"/>
          <w:bCs/>
          <w:lang w:eastAsia="ja-JP"/>
        </w:rPr>
        <w:t xml:space="preserve"> </w:t>
      </w:r>
      <w:r w:rsidRPr="0022552E">
        <w:rPr>
          <w:rFonts w:asciiTheme="minorHAnsi" w:hAnsiTheme="minorHAnsi" w:cstheme="minorHAnsi"/>
          <w:bCs/>
          <w:lang w:eastAsia="ja-JP"/>
        </w:rPr>
        <w:t>challeng</w:t>
      </w:r>
      <w:r w:rsidR="00121F23">
        <w:rPr>
          <w:rFonts w:asciiTheme="minorHAnsi" w:hAnsiTheme="minorHAnsi" w:cstheme="minorHAnsi"/>
          <w:bCs/>
          <w:lang w:eastAsia="ja-JP"/>
        </w:rPr>
        <w:t>ing</w:t>
      </w:r>
      <w:r w:rsidRPr="0022552E">
        <w:rPr>
          <w:rFonts w:asciiTheme="minorHAnsi" w:hAnsiTheme="minorHAnsi" w:cstheme="minorHAnsi"/>
          <w:bCs/>
          <w:lang w:eastAsia="ja-JP"/>
        </w:rPr>
        <w:t xml:space="preserve"> </w:t>
      </w:r>
      <w:r w:rsidR="00295019">
        <w:rPr>
          <w:rFonts w:asciiTheme="minorHAnsi" w:hAnsiTheme="minorHAnsi" w:cstheme="minorHAnsi"/>
          <w:bCs/>
          <w:lang w:eastAsia="ja-JP"/>
        </w:rPr>
        <w:t xml:space="preserve">the </w:t>
      </w:r>
      <w:r w:rsidRPr="0022552E">
        <w:rPr>
          <w:rFonts w:asciiTheme="minorHAnsi" w:hAnsiTheme="minorHAnsi" w:cstheme="minorHAnsi"/>
          <w:bCs/>
          <w:lang w:eastAsia="ja-JP"/>
        </w:rPr>
        <w:t>traditional regulatory approache</w:t>
      </w:r>
      <w:r w:rsidR="00CD39DF">
        <w:rPr>
          <w:rFonts w:asciiTheme="minorHAnsi" w:hAnsiTheme="minorHAnsi" w:cstheme="minorHAnsi"/>
          <w:bCs/>
          <w:lang w:eastAsia="ja-JP"/>
        </w:rPr>
        <w:t>s</w:t>
      </w:r>
      <w:r w:rsidRPr="0022552E">
        <w:rPr>
          <w:rFonts w:asciiTheme="minorHAnsi" w:hAnsiTheme="minorHAnsi" w:cstheme="minorHAnsi"/>
          <w:bCs/>
          <w:lang w:eastAsia="ja-JP"/>
        </w:rPr>
        <w:t xml:space="preserve"> such as change management process, </w:t>
      </w:r>
      <w:r w:rsidR="00121F23">
        <w:rPr>
          <w:rFonts w:asciiTheme="minorHAnsi" w:hAnsiTheme="minorHAnsi" w:cstheme="minorHAnsi"/>
          <w:bCs/>
          <w:lang w:eastAsia="ja-JP"/>
        </w:rPr>
        <w:t xml:space="preserve">risk management process, </w:t>
      </w:r>
      <w:r w:rsidR="002C5DD8">
        <w:rPr>
          <w:rFonts w:asciiTheme="minorHAnsi" w:hAnsiTheme="minorHAnsi" w:cstheme="minorHAnsi"/>
          <w:bCs/>
          <w:lang w:eastAsia="ja-JP"/>
        </w:rPr>
        <w:t>clinical</w:t>
      </w:r>
      <w:r w:rsidR="00121F23">
        <w:rPr>
          <w:rFonts w:asciiTheme="minorHAnsi" w:hAnsiTheme="minorHAnsi" w:cstheme="minorHAnsi"/>
          <w:bCs/>
          <w:lang w:eastAsia="ja-JP"/>
        </w:rPr>
        <w:t xml:space="preserve"> evaluation process, </w:t>
      </w:r>
      <w:r w:rsidRPr="0022552E">
        <w:rPr>
          <w:rFonts w:asciiTheme="minorHAnsi" w:hAnsiTheme="minorHAnsi" w:cstheme="minorHAnsi"/>
          <w:bCs/>
          <w:lang w:eastAsia="ja-JP"/>
        </w:rPr>
        <w:t xml:space="preserve">manufacturing facility and process controls, etc. </w:t>
      </w:r>
    </w:p>
    <w:p w14:paraId="596DA4D0" w14:textId="77777777" w:rsidR="00085D2A" w:rsidRDefault="00085D2A" w:rsidP="00085D2A">
      <w:pPr>
        <w:spacing w:line="360" w:lineRule="auto"/>
        <w:jc w:val="both"/>
        <w:rPr>
          <w:rFonts w:asciiTheme="minorHAnsi" w:hAnsiTheme="minorHAnsi" w:cstheme="minorHAnsi"/>
          <w:bCs/>
          <w:lang w:eastAsia="ja-JP"/>
        </w:rPr>
      </w:pPr>
    </w:p>
    <w:p w14:paraId="1DF0A560" w14:textId="04C6CB30" w:rsidR="0022552E" w:rsidRDefault="00085D2A" w:rsidP="00085D2A">
      <w:pPr>
        <w:spacing w:line="360" w:lineRule="auto"/>
        <w:jc w:val="both"/>
        <w:rPr>
          <w:rFonts w:asciiTheme="minorHAnsi" w:hAnsiTheme="minorHAnsi" w:cstheme="minorHAnsi"/>
          <w:bCs/>
          <w:lang w:eastAsia="ja-JP"/>
        </w:rPr>
      </w:pPr>
      <w:r>
        <w:rPr>
          <w:rFonts w:asciiTheme="minorHAnsi" w:hAnsiTheme="minorHAnsi" w:cstheme="minorHAnsi"/>
          <w:bCs/>
          <w:lang w:eastAsia="ja-JP"/>
        </w:rPr>
        <w:t xml:space="preserve">Personalised medical devices that deliver targeted or patient specific therapy for better clinical outcomes are gaining popularity. </w:t>
      </w:r>
      <w:r w:rsidR="0022552E" w:rsidRPr="0022552E">
        <w:rPr>
          <w:rFonts w:asciiTheme="minorHAnsi" w:hAnsiTheme="minorHAnsi" w:cstheme="minorHAnsi"/>
          <w:bCs/>
          <w:lang w:eastAsia="ja-JP"/>
        </w:rPr>
        <w:t>Personalised treatments including</w:t>
      </w:r>
      <w:r w:rsidR="0022552E">
        <w:rPr>
          <w:rFonts w:asciiTheme="minorHAnsi" w:hAnsiTheme="minorHAnsi" w:cstheme="minorHAnsi"/>
          <w:bCs/>
          <w:lang w:eastAsia="ja-JP"/>
        </w:rPr>
        <w:t>:</w:t>
      </w:r>
    </w:p>
    <w:p w14:paraId="5C60FE4C" w14:textId="77777777" w:rsidR="0022552E" w:rsidRDefault="0022552E" w:rsidP="00085D2A">
      <w:pPr>
        <w:pStyle w:val="ListParagraph"/>
        <w:numPr>
          <w:ilvl w:val="0"/>
          <w:numId w:val="33"/>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personalised digital therapies (e.g. cognitive behaviour therapy software for treatment of insomnia) and </w:t>
      </w:r>
    </w:p>
    <w:p w14:paraId="365C0E43" w14:textId="77777777" w:rsidR="0022552E" w:rsidRDefault="0022552E" w:rsidP="00085D2A">
      <w:pPr>
        <w:pStyle w:val="ListParagraph"/>
        <w:numPr>
          <w:ilvl w:val="0"/>
          <w:numId w:val="33"/>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personalised implants (e.g. orthopaedic implant designed and manufactured to fit an individual patient’s anatomy) </w:t>
      </w:r>
    </w:p>
    <w:p w14:paraId="2DAE6284" w14:textId="74DBCC7C" w:rsidR="0022552E" w:rsidRPr="00442151" w:rsidRDefault="00085D2A" w:rsidP="00085D2A">
      <w:pPr>
        <w:spacing w:line="360" w:lineRule="auto"/>
        <w:jc w:val="both"/>
        <w:rPr>
          <w:rFonts w:asciiTheme="minorHAnsi" w:hAnsiTheme="minorHAnsi" w:cstheme="minorHAnsi"/>
          <w:bCs/>
          <w:lang w:eastAsia="ja-JP"/>
        </w:rPr>
      </w:pPr>
      <w:r>
        <w:rPr>
          <w:rFonts w:asciiTheme="minorHAnsi" w:hAnsiTheme="minorHAnsi" w:cstheme="minorHAnsi"/>
          <w:bCs/>
          <w:lang w:eastAsia="ja-JP"/>
        </w:rPr>
        <w:t xml:space="preserve">These </w:t>
      </w:r>
      <w:r w:rsidR="00F35970">
        <w:rPr>
          <w:rFonts w:asciiTheme="minorHAnsi" w:hAnsiTheme="minorHAnsi" w:cstheme="minorHAnsi"/>
          <w:bCs/>
          <w:lang w:eastAsia="ja-JP"/>
        </w:rPr>
        <w:t xml:space="preserve">necessitate additional considerations to </w:t>
      </w:r>
      <w:r w:rsidR="0022552E" w:rsidRPr="0022552E">
        <w:rPr>
          <w:rFonts w:asciiTheme="minorHAnsi" w:hAnsiTheme="minorHAnsi" w:cstheme="minorHAnsi"/>
          <w:bCs/>
          <w:lang w:eastAsia="ja-JP"/>
        </w:rPr>
        <w:t xml:space="preserve">traditional clinical evaluation requirements and clinical study designs. Ensuring the safety, quality and efficacy of these devices without impeding innovation will require </w:t>
      </w:r>
      <w:r w:rsidR="00F35970" w:rsidRPr="00CB0B30">
        <w:rPr>
          <w:rFonts w:asciiTheme="minorHAnsi" w:hAnsiTheme="minorHAnsi" w:cstheme="minorHAnsi"/>
          <w:bCs/>
          <w:lang w:eastAsia="ja-JP"/>
        </w:rPr>
        <w:t>suitable adapted regulatory requirements at least on the design, clinical evaluation, risk management and post market surveillance processes.</w:t>
      </w:r>
    </w:p>
    <w:p w14:paraId="1A89328D" w14:textId="79DE0BE1" w:rsidR="0022552E" w:rsidRDefault="008D2CBD" w:rsidP="00085D2A">
      <w:pPr>
        <w:spacing w:line="360" w:lineRule="auto"/>
        <w:jc w:val="both"/>
        <w:rPr>
          <w:rFonts w:asciiTheme="minorHAnsi" w:hAnsiTheme="minorHAnsi" w:cstheme="minorHAnsi"/>
          <w:bCs/>
          <w:lang w:eastAsia="ja-JP"/>
        </w:rPr>
      </w:pPr>
      <w:r w:rsidRPr="00442151">
        <w:rPr>
          <w:rFonts w:asciiTheme="minorHAnsi" w:hAnsiTheme="minorHAnsi" w:cstheme="minorHAnsi"/>
        </w:rPr>
        <w:lastRenderedPageBreak/>
        <w:t>The IMDRF M</w:t>
      </w:r>
      <w:r w:rsidR="00A33FFF">
        <w:rPr>
          <w:rFonts w:asciiTheme="minorHAnsi" w:hAnsiTheme="minorHAnsi" w:cstheme="minorHAnsi"/>
        </w:rPr>
        <w:t>anagement Committee (M</w:t>
      </w:r>
      <w:r w:rsidRPr="00442151">
        <w:rPr>
          <w:rFonts w:asciiTheme="minorHAnsi" w:hAnsiTheme="minorHAnsi" w:cstheme="minorHAnsi"/>
        </w:rPr>
        <w:t>C</w:t>
      </w:r>
      <w:r w:rsidR="00A33FFF">
        <w:rPr>
          <w:rFonts w:asciiTheme="minorHAnsi" w:hAnsiTheme="minorHAnsi" w:cstheme="minorHAnsi"/>
        </w:rPr>
        <w:t>)</w:t>
      </w:r>
      <w:r w:rsidRPr="00442151">
        <w:rPr>
          <w:rFonts w:asciiTheme="minorHAnsi" w:hAnsiTheme="minorHAnsi" w:cstheme="minorHAnsi"/>
        </w:rPr>
        <w:t xml:space="preserve"> is aware of the regulatory challenges within its global regulatory model for innovative devices. </w:t>
      </w:r>
      <w:bookmarkStart w:id="8" w:name="_Hlk54195784"/>
      <w:r w:rsidRPr="00442151">
        <w:rPr>
          <w:rFonts w:asciiTheme="minorHAnsi" w:hAnsiTheme="minorHAnsi" w:cstheme="minorHAnsi"/>
        </w:rPr>
        <w:t>In order to manage these challenges</w:t>
      </w:r>
      <w:r w:rsidR="009673AD">
        <w:rPr>
          <w:rFonts w:asciiTheme="minorHAnsi" w:hAnsiTheme="minorHAnsi" w:cstheme="minorHAnsi"/>
        </w:rPr>
        <w:t xml:space="preserve"> and to achieve</w:t>
      </w:r>
      <w:r w:rsidR="0095011C">
        <w:rPr>
          <w:rFonts w:asciiTheme="minorHAnsi" w:hAnsiTheme="minorHAnsi" w:cstheme="minorHAnsi"/>
        </w:rPr>
        <w:t xml:space="preserve"> </w:t>
      </w:r>
      <w:r w:rsidR="00674667">
        <w:rPr>
          <w:rFonts w:asciiTheme="minorHAnsi" w:hAnsiTheme="minorHAnsi" w:cstheme="minorHAnsi"/>
        </w:rPr>
        <w:t>greater</w:t>
      </w:r>
      <w:r w:rsidR="00451C36" w:rsidRPr="00442151">
        <w:rPr>
          <w:rFonts w:asciiTheme="minorHAnsi" w:hAnsiTheme="minorHAnsi" w:cstheme="minorHAnsi"/>
        </w:rPr>
        <w:t xml:space="preserve"> </w:t>
      </w:r>
      <w:r w:rsidRPr="00442151">
        <w:rPr>
          <w:rFonts w:asciiTheme="minorHAnsi" w:hAnsiTheme="minorHAnsi" w:cstheme="minorHAnsi"/>
        </w:rPr>
        <w:t>global regulatory convergence and consistency</w:t>
      </w:r>
      <w:r w:rsidR="008F43D9">
        <w:rPr>
          <w:rFonts w:asciiTheme="minorHAnsi" w:hAnsiTheme="minorHAnsi" w:cstheme="minorHAnsi"/>
        </w:rPr>
        <w:t>,</w:t>
      </w:r>
      <w:r w:rsidR="00622466">
        <w:rPr>
          <w:rFonts w:asciiTheme="minorHAnsi" w:hAnsiTheme="minorHAnsi" w:cstheme="minorHAnsi"/>
        </w:rPr>
        <w:t xml:space="preserve"> development and review </w:t>
      </w:r>
      <w:r w:rsidR="00D47E0B">
        <w:rPr>
          <w:rFonts w:asciiTheme="minorHAnsi" w:hAnsiTheme="minorHAnsi" w:cstheme="minorHAnsi"/>
        </w:rPr>
        <w:t xml:space="preserve">of </w:t>
      </w:r>
      <w:r w:rsidRPr="00442151">
        <w:rPr>
          <w:rFonts w:asciiTheme="minorHAnsi" w:hAnsiTheme="minorHAnsi" w:cstheme="minorHAnsi"/>
        </w:rPr>
        <w:t>regulatory guidance will be necessary</w:t>
      </w:r>
      <w:bookmarkEnd w:id="8"/>
      <w:r w:rsidRPr="00442151">
        <w:rPr>
          <w:rFonts w:asciiTheme="minorHAnsi" w:hAnsiTheme="minorHAnsi" w:cstheme="minorHAnsi"/>
        </w:rPr>
        <w:t xml:space="preserve">. </w:t>
      </w:r>
    </w:p>
    <w:p w14:paraId="07D0F84B" w14:textId="77777777" w:rsidR="00085D2A" w:rsidRDefault="00085D2A" w:rsidP="00085D2A">
      <w:pPr>
        <w:spacing w:line="360" w:lineRule="auto"/>
        <w:jc w:val="both"/>
        <w:rPr>
          <w:rFonts w:asciiTheme="minorHAnsi" w:hAnsiTheme="minorHAnsi" w:cstheme="minorHAnsi"/>
          <w:bCs/>
          <w:lang w:eastAsia="ja-JP"/>
        </w:rPr>
      </w:pPr>
    </w:p>
    <w:p w14:paraId="547A8580" w14:textId="3A08CD0F" w:rsidR="00F05D27" w:rsidRDefault="0022552E" w:rsidP="00085D2A">
      <w:p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I</w:t>
      </w:r>
      <w:r w:rsidRPr="0022552E" w:rsidDel="00F00565">
        <w:rPr>
          <w:rFonts w:asciiTheme="minorHAnsi" w:hAnsiTheme="minorHAnsi" w:cstheme="minorHAnsi"/>
          <w:bCs/>
          <w:lang w:eastAsia="ja-JP"/>
        </w:rPr>
        <w:t xml:space="preserve">n order to </w:t>
      </w:r>
      <w:r w:rsidRPr="0022552E">
        <w:rPr>
          <w:rFonts w:asciiTheme="minorHAnsi" w:hAnsiTheme="minorHAnsi" w:cstheme="minorHAnsi"/>
          <w:bCs/>
          <w:lang w:eastAsia="ja-JP"/>
        </w:rPr>
        <w:t xml:space="preserve">facilitate timely access to safe medical devices for patients, achieving global regulatory convergence for these emerging areas is critical. IMDRF </w:t>
      </w:r>
      <w:r w:rsidR="00F05D27">
        <w:rPr>
          <w:rFonts w:asciiTheme="minorHAnsi" w:hAnsiTheme="minorHAnsi" w:cstheme="minorHAnsi"/>
          <w:bCs/>
          <w:lang w:eastAsia="ja-JP"/>
        </w:rPr>
        <w:t xml:space="preserve">established </w:t>
      </w:r>
      <w:r w:rsidRPr="0022552E">
        <w:rPr>
          <w:rFonts w:asciiTheme="minorHAnsi" w:hAnsiTheme="minorHAnsi" w:cstheme="minorHAnsi"/>
          <w:bCs/>
          <w:lang w:eastAsia="ja-JP"/>
        </w:rPr>
        <w:t xml:space="preserve">the Software as a Medical Device (SaMD) working group that developed </w:t>
      </w:r>
      <w:r w:rsidR="00451C36" w:rsidRPr="0022552E">
        <w:rPr>
          <w:rFonts w:asciiTheme="minorHAnsi" w:hAnsiTheme="minorHAnsi" w:cstheme="minorHAnsi"/>
          <w:bCs/>
          <w:lang w:eastAsia="ja-JP"/>
        </w:rPr>
        <w:t>guidance</w:t>
      </w:r>
      <w:r w:rsidRPr="0022552E">
        <w:rPr>
          <w:rFonts w:asciiTheme="minorHAnsi" w:hAnsiTheme="minorHAnsi" w:cstheme="minorHAnsi"/>
          <w:bCs/>
          <w:lang w:eastAsia="ja-JP"/>
        </w:rPr>
        <w:t xml:space="preserve"> on the appropriate regulatory controls for SaMDs. The </w:t>
      </w:r>
      <w:r w:rsidR="00451C36" w:rsidRPr="0022552E">
        <w:rPr>
          <w:rFonts w:asciiTheme="minorHAnsi" w:hAnsiTheme="minorHAnsi" w:cstheme="minorHAnsi"/>
          <w:bCs/>
          <w:lang w:eastAsia="ja-JP"/>
        </w:rPr>
        <w:t>guidance</w:t>
      </w:r>
      <w:r w:rsidRPr="0022552E">
        <w:rPr>
          <w:rFonts w:asciiTheme="minorHAnsi" w:hAnsiTheme="minorHAnsi" w:cstheme="minorHAnsi"/>
          <w:bCs/>
          <w:lang w:eastAsia="ja-JP"/>
        </w:rPr>
        <w:t xml:space="preserve"> </w:t>
      </w:r>
      <w:r w:rsidR="008F43D9" w:rsidRPr="0022552E">
        <w:rPr>
          <w:rFonts w:asciiTheme="minorHAnsi" w:hAnsiTheme="minorHAnsi" w:cstheme="minorHAnsi"/>
          <w:bCs/>
          <w:lang w:eastAsia="ja-JP"/>
        </w:rPr>
        <w:t>has</w:t>
      </w:r>
      <w:r w:rsidRPr="0022552E">
        <w:rPr>
          <w:rFonts w:asciiTheme="minorHAnsi" w:hAnsiTheme="minorHAnsi" w:cstheme="minorHAnsi"/>
          <w:bCs/>
          <w:lang w:eastAsia="ja-JP"/>
        </w:rPr>
        <w:t xml:space="preserve"> promoted </w:t>
      </w:r>
      <w:r w:rsidR="00A33FFF">
        <w:rPr>
          <w:rFonts w:asciiTheme="minorHAnsi" w:hAnsiTheme="minorHAnsi" w:cstheme="minorHAnsi"/>
          <w:bCs/>
          <w:lang w:eastAsia="ja-JP"/>
        </w:rPr>
        <w:t>international</w:t>
      </w:r>
      <w:r w:rsidRPr="0022552E">
        <w:rPr>
          <w:rFonts w:asciiTheme="minorHAnsi" w:hAnsiTheme="minorHAnsi" w:cstheme="minorHAnsi"/>
          <w:bCs/>
          <w:lang w:eastAsia="ja-JP"/>
        </w:rPr>
        <w:t xml:space="preserve"> regulatory convergence as many countries who have finalised their SaMD regulatory approaches after this work item, have adopted or aligned with these IMDRF </w:t>
      </w:r>
      <w:r w:rsidR="004A404F" w:rsidRPr="0022552E">
        <w:rPr>
          <w:rFonts w:asciiTheme="minorHAnsi" w:hAnsiTheme="minorHAnsi" w:cstheme="minorHAnsi"/>
          <w:bCs/>
          <w:lang w:eastAsia="ja-JP"/>
        </w:rPr>
        <w:t>guidance</w:t>
      </w:r>
      <w:r w:rsidRPr="0022552E">
        <w:rPr>
          <w:rFonts w:asciiTheme="minorHAnsi" w:hAnsiTheme="minorHAnsi" w:cstheme="minorHAnsi"/>
          <w:bCs/>
          <w:lang w:eastAsia="ja-JP"/>
        </w:rPr>
        <w:t xml:space="preserve">. Some of the current IMDRF work items such as Medical Device Cybersecurity and Personalised Medical Devices are intended to promote convergence in regulatory requirements, support safe innovation and ensure better clinical outcomes for patients. </w:t>
      </w:r>
    </w:p>
    <w:p w14:paraId="3EC30B36" w14:textId="77777777" w:rsidR="00085D2A" w:rsidRDefault="00085D2A" w:rsidP="00085D2A">
      <w:pPr>
        <w:spacing w:line="360" w:lineRule="auto"/>
        <w:jc w:val="both"/>
        <w:rPr>
          <w:rFonts w:asciiTheme="minorHAnsi" w:hAnsiTheme="minorHAnsi" w:cstheme="minorHAnsi"/>
          <w:bCs/>
          <w:lang w:eastAsia="ja-JP"/>
        </w:rPr>
      </w:pPr>
    </w:p>
    <w:p w14:paraId="7D834E90" w14:textId="65C9DBC8" w:rsidR="007646EB" w:rsidRDefault="00442151" w:rsidP="00085D2A">
      <w:pPr>
        <w:spacing w:line="360" w:lineRule="auto"/>
        <w:jc w:val="both"/>
        <w:rPr>
          <w:rFonts w:asciiTheme="minorHAnsi" w:hAnsiTheme="minorHAnsi" w:cstheme="minorHAnsi"/>
          <w:bCs/>
          <w:lang w:eastAsia="ja-JP"/>
        </w:rPr>
      </w:pPr>
      <w:r w:rsidRPr="00442151">
        <w:rPr>
          <w:rFonts w:asciiTheme="minorHAnsi" w:hAnsiTheme="minorHAnsi" w:cstheme="minorHAnsi"/>
        </w:rPr>
        <w:t xml:space="preserve">IMDRF has identified regulatory challenges in the existing regulatory models, in particular for new technologies. To continue with acceleration of the international medical device regulatory convergence, the IMDRF will focus its work on those regulatory challenges as part of the strategic plan 2025, </w:t>
      </w:r>
      <w:r w:rsidR="004A404F">
        <w:rPr>
          <w:rFonts w:asciiTheme="minorHAnsi" w:hAnsiTheme="minorHAnsi" w:cstheme="minorHAnsi"/>
        </w:rPr>
        <w:t>while keeping</w:t>
      </w:r>
      <w:r w:rsidR="004A404F" w:rsidRPr="00442151">
        <w:rPr>
          <w:rFonts w:asciiTheme="minorHAnsi" w:hAnsiTheme="minorHAnsi" w:cstheme="minorHAnsi"/>
        </w:rPr>
        <w:t xml:space="preserve"> </w:t>
      </w:r>
      <w:r w:rsidRPr="00442151">
        <w:rPr>
          <w:rFonts w:asciiTheme="minorHAnsi" w:hAnsiTheme="minorHAnsi" w:cstheme="minorHAnsi"/>
        </w:rPr>
        <w:t>the IMDRF Mission</w:t>
      </w:r>
      <w:r w:rsidR="004A404F" w:rsidRPr="004A404F">
        <w:rPr>
          <w:rFonts w:asciiTheme="minorHAnsi" w:hAnsiTheme="minorHAnsi" w:cstheme="minorHAnsi"/>
        </w:rPr>
        <w:t xml:space="preserve"> </w:t>
      </w:r>
      <w:r w:rsidR="004A404F" w:rsidRPr="00442151">
        <w:rPr>
          <w:rFonts w:asciiTheme="minorHAnsi" w:hAnsiTheme="minorHAnsi" w:cstheme="minorHAnsi"/>
        </w:rPr>
        <w:t>in mind</w:t>
      </w:r>
      <w:r w:rsidR="004A404F">
        <w:rPr>
          <w:rFonts w:asciiTheme="minorHAnsi" w:hAnsiTheme="minorHAnsi" w:cstheme="minorHAnsi"/>
        </w:rPr>
        <w:t>.</w:t>
      </w:r>
    </w:p>
    <w:p w14:paraId="48DAAA51" w14:textId="77777777" w:rsidR="007646EB" w:rsidRDefault="007646EB" w:rsidP="00085D2A">
      <w:pPr>
        <w:spacing w:line="360" w:lineRule="auto"/>
        <w:jc w:val="both"/>
        <w:rPr>
          <w:rFonts w:asciiTheme="minorHAnsi" w:hAnsiTheme="minorHAnsi" w:cstheme="minorHAnsi"/>
          <w:bCs/>
          <w:lang w:eastAsia="ja-JP"/>
        </w:rPr>
      </w:pPr>
    </w:p>
    <w:p w14:paraId="241932FA" w14:textId="430AA4F3" w:rsidR="00256DFB" w:rsidRDefault="00256DFB" w:rsidP="00085D2A">
      <w:pPr>
        <w:jc w:val="both"/>
        <w:rPr>
          <w:rFonts w:asciiTheme="minorHAnsi" w:hAnsiTheme="minorHAnsi" w:cstheme="minorHAnsi"/>
          <w:bCs/>
          <w:lang w:eastAsia="ja-JP"/>
        </w:rPr>
      </w:pPr>
      <w:r>
        <w:rPr>
          <w:rFonts w:asciiTheme="minorHAnsi" w:hAnsiTheme="minorHAnsi" w:cstheme="minorHAnsi"/>
          <w:bCs/>
          <w:lang w:eastAsia="ja-JP"/>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77BDB" w:rsidRPr="007253C2" w14:paraId="30354A5C" w14:textId="77777777" w:rsidTr="004B01A3">
        <w:tc>
          <w:tcPr>
            <w:tcW w:w="9016" w:type="dxa"/>
          </w:tcPr>
          <w:p w14:paraId="4A3E0719" w14:textId="55870721" w:rsidR="00877BDB" w:rsidRPr="007253C2" w:rsidRDefault="00F7725C" w:rsidP="007253C2">
            <w:pPr>
              <w:pStyle w:val="Heading1"/>
              <w:outlineLvl w:val="0"/>
              <w:rPr>
                <w:rFonts w:asciiTheme="minorHAnsi" w:hAnsiTheme="minorHAnsi" w:cstheme="minorHAnsi"/>
                <w:b/>
                <w:sz w:val="48"/>
                <w:szCs w:val="48"/>
              </w:rPr>
            </w:pPr>
            <w:bookmarkStart w:id="9" w:name="_Toc48545802"/>
            <w:r>
              <w:rPr>
                <w:rFonts w:asciiTheme="minorHAnsi" w:hAnsiTheme="minorHAnsi" w:cstheme="minorHAnsi"/>
                <w:b/>
                <w:sz w:val="48"/>
                <w:szCs w:val="48"/>
              </w:rPr>
              <w:lastRenderedPageBreak/>
              <w:t xml:space="preserve">IMDRF </w:t>
            </w:r>
            <w:r w:rsidR="003506A1">
              <w:rPr>
                <w:rFonts w:asciiTheme="minorHAnsi" w:hAnsiTheme="minorHAnsi" w:cstheme="minorHAnsi"/>
                <w:b/>
                <w:sz w:val="48"/>
                <w:szCs w:val="48"/>
              </w:rPr>
              <w:t xml:space="preserve">Key Objectives </w:t>
            </w:r>
            <w:r>
              <w:rPr>
                <w:rFonts w:asciiTheme="minorHAnsi" w:hAnsiTheme="minorHAnsi" w:cstheme="minorHAnsi"/>
                <w:b/>
                <w:sz w:val="48"/>
                <w:szCs w:val="48"/>
              </w:rPr>
              <w:t>2021-</w:t>
            </w:r>
            <w:r w:rsidR="003506A1">
              <w:rPr>
                <w:rFonts w:asciiTheme="minorHAnsi" w:hAnsiTheme="minorHAnsi" w:cstheme="minorHAnsi"/>
                <w:b/>
                <w:sz w:val="48"/>
                <w:szCs w:val="48"/>
              </w:rPr>
              <w:t>2025</w:t>
            </w:r>
            <w:bookmarkEnd w:id="9"/>
          </w:p>
          <w:p w14:paraId="7E738153" w14:textId="77777777" w:rsidR="00877BDB" w:rsidRPr="00484882" w:rsidRDefault="00877BDB" w:rsidP="007253C2">
            <w:pPr>
              <w:pStyle w:val="Heading1"/>
              <w:outlineLvl w:val="0"/>
              <w:rPr>
                <w:rFonts w:asciiTheme="minorHAnsi" w:hAnsiTheme="minorHAnsi" w:cstheme="minorHAnsi"/>
                <w:b/>
                <w:sz w:val="24"/>
                <w:szCs w:val="24"/>
              </w:rPr>
            </w:pPr>
          </w:p>
        </w:tc>
      </w:tr>
    </w:tbl>
    <w:p w14:paraId="4FFD3B4A" w14:textId="1842FD59" w:rsidR="00C03098" w:rsidRDefault="00C03098" w:rsidP="00C03098">
      <w:pPr>
        <w:pStyle w:val="ListParagraph"/>
        <w:spacing w:line="360" w:lineRule="auto"/>
        <w:ind w:left="714"/>
        <w:rPr>
          <w:rFonts w:asciiTheme="minorHAnsi" w:hAnsiTheme="minorHAnsi" w:cstheme="minorHAnsi"/>
          <w:bCs/>
          <w:i/>
          <w:lang w:eastAsia="ja-JP"/>
        </w:rPr>
      </w:pPr>
    </w:p>
    <w:p w14:paraId="053C3ACF" w14:textId="4A60D7E0" w:rsidR="003506A1" w:rsidRDefault="003506A1" w:rsidP="00085D2A">
      <w:pPr>
        <w:pStyle w:val="ListParagraph"/>
        <w:spacing w:line="360" w:lineRule="auto"/>
        <w:ind w:left="0"/>
        <w:jc w:val="both"/>
        <w:rPr>
          <w:rFonts w:asciiTheme="minorHAnsi" w:hAnsiTheme="minorHAnsi" w:cstheme="minorHAnsi"/>
          <w:bCs/>
          <w:lang w:eastAsia="ja-JP"/>
        </w:rPr>
      </w:pPr>
      <w:r>
        <w:rPr>
          <w:rFonts w:asciiTheme="minorHAnsi" w:hAnsiTheme="minorHAnsi" w:cstheme="minorHAnsi"/>
          <w:bCs/>
          <w:lang w:eastAsia="ja-JP"/>
        </w:rPr>
        <w:t xml:space="preserve">Over the next </w:t>
      </w:r>
      <w:r w:rsidR="003305D7">
        <w:rPr>
          <w:rFonts w:asciiTheme="minorHAnsi" w:hAnsiTheme="minorHAnsi" w:cstheme="minorHAnsi"/>
          <w:bCs/>
          <w:lang w:eastAsia="ja-JP"/>
        </w:rPr>
        <w:t xml:space="preserve">five </w:t>
      </w:r>
      <w:r>
        <w:rPr>
          <w:rFonts w:asciiTheme="minorHAnsi" w:hAnsiTheme="minorHAnsi" w:cstheme="minorHAnsi"/>
          <w:bCs/>
          <w:lang w:eastAsia="ja-JP"/>
        </w:rPr>
        <w:t xml:space="preserve">years IMDRF will continue to build on its achievements </w:t>
      </w:r>
      <w:r w:rsidR="00525549">
        <w:rPr>
          <w:rFonts w:asciiTheme="minorHAnsi" w:hAnsiTheme="minorHAnsi" w:cstheme="minorHAnsi"/>
          <w:bCs/>
          <w:lang w:eastAsia="ja-JP"/>
        </w:rPr>
        <w:t>from the 2020 Strategic Plan</w:t>
      </w:r>
      <w:r w:rsidR="00D24AA4">
        <w:rPr>
          <w:rFonts w:asciiTheme="minorHAnsi" w:hAnsiTheme="minorHAnsi" w:cstheme="minorHAnsi"/>
          <w:bCs/>
          <w:lang w:eastAsia="ja-JP"/>
        </w:rPr>
        <w:t>, with an</w:t>
      </w:r>
      <w:r>
        <w:rPr>
          <w:rFonts w:asciiTheme="minorHAnsi" w:hAnsiTheme="minorHAnsi" w:cstheme="minorHAnsi"/>
          <w:bCs/>
          <w:lang w:eastAsia="ja-JP"/>
        </w:rPr>
        <w:t xml:space="preserve"> </w:t>
      </w:r>
      <w:r w:rsidR="00525549">
        <w:rPr>
          <w:rFonts w:asciiTheme="minorHAnsi" w:hAnsiTheme="minorHAnsi" w:cstheme="minorHAnsi"/>
          <w:bCs/>
          <w:lang w:eastAsia="ja-JP"/>
        </w:rPr>
        <w:t>emphasis</w:t>
      </w:r>
      <w:r w:rsidR="00D24AA4">
        <w:rPr>
          <w:rFonts w:asciiTheme="minorHAnsi" w:hAnsiTheme="minorHAnsi" w:cstheme="minorHAnsi"/>
          <w:bCs/>
          <w:lang w:eastAsia="ja-JP"/>
        </w:rPr>
        <w:t xml:space="preserve"> on</w:t>
      </w:r>
      <w:r w:rsidR="00525549">
        <w:rPr>
          <w:rFonts w:asciiTheme="minorHAnsi" w:hAnsiTheme="minorHAnsi" w:cstheme="minorHAnsi"/>
          <w:bCs/>
          <w:lang w:eastAsia="ja-JP"/>
        </w:rPr>
        <w:t xml:space="preserve"> </w:t>
      </w:r>
      <w:r>
        <w:rPr>
          <w:rFonts w:asciiTheme="minorHAnsi" w:hAnsiTheme="minorHAnsi" w:cstheme="minorHAnsi"/>
          <w:bCs/>
          <w:lang w:eastAsia="ja-JP"/>
        </w:rPr>
        <w:t>the two key objectives</w:t>
      </w:r>
      <w:r w:rsidR="002649FF">
        <w:rPr>
          <w:rFonts w:asciiTheme="minorHAnsi" w:hAnsiTheme="minorHAnsi" w:cstheme="minorHAnsi"/>
          <w:bCs/>
          <w:lang w:eastAsia="ja-JP"/>
        </w:rPr>
        <w:t xml:space="preserve"> below</w:t>
      </w:r>
      <w:r>
        <w:rPr>
          <w:rFonts w:asciiTheme="minorHAnsi" w:hAnsiTheme="minorHAnsi" w:cstheme="minorHAnsi"/>
          <w:bCs/>
          <w:lang w:eastAsia="ja-JP"/>
        </w:rPr>
        <w:t>:</w:t>
      </w:r>
    </w:p>
    <w:p w14:paraId="492395EC" w14:textId="4DC61B08" w:rsidR="003521A1" w:rsidRPr="003521A1" w:rsidRDefault="00085D2A" w:rsidP="00085D2A">
      <w:pPr>
        <w:pStyle w:val="ListParagraph"/>
        <w:numPr>
          <w:ilvl w:val="0"/>
          <w:numId w:val="18"/>
        </w:numPr>
        <w:spacing w:line="360" w:lineRule="auto"/>
        <w:jc w:val="both"/>
        <w:rPr>
          <w:rFonts w:asciiTheme="minorHAnsi" w:hAnsiTheme="minorHAnsi" w:cstheme="minorHAnsi"/>
          <w:bCs/>
          <w:i/>
          <w:lang w:eastAsia="ja-JP"/>
        </w:rPr>
      </w:pPr>
      <w:r>
        <w:rPr>
          <w:rFonts w:asciiTheme="minorHAnsi" w:hAnsiTheme="minorHAnsi" w:cstheme="minorHAnsi"/>
          <w:bCs/>
          <w:i/>
          <w:lang w:eastAsia="ja-JP"/>
        </w:rPr>
        <w:t>Manag</w:t>
      </w:r>
      <w:r w:rsidR="002649FF">
        <w:rPr>
          <w:rFonts w:asciiTheme="minorHAnsi" w:hAnsiTheme="minorHAnsi" w:cstheme="minorHAnsi"/>
          <w:bCs/>
          <w:i/>
          <w:lang w:eastAsia="ja-JP"/>
        </w:rPr>
        <w:t>ing</w:t>
      </w:r>
      <w:r>
        <w:rPr>
          <w:rFonts w:asciiTheme="minorHAnsi" w:hAnsiTheme="minorHAnsi" w:cstheme="minorHAnsi"/>
          <w:bCs/>
          <w:i/>
          <w:lang w:eastAsia="ja-JP"/>
        </w:rPr>
        <w:t xml:space="preserve"> regulatory challenges for medical devices and </w:t>
      </w:r>
      <w:r w:rsidR="00B42988">
        <w:rPr>
          <w:rFonts w:asciiTheme="minorHAnsi" w:hAnsiTheme="minorHAnsi" w:cstheme="minorHAnsi"/>
          <w:bCs/>
          <w:i/>
          <w:lang w:eastAsia="ja-JP"/>
        </w:rPr>
        <w:t xml:space="preserve">innovative </w:t>
      </w:r>
      <w:r>
        <w:rPr>
          <w:rFonts w:asciiTheme="minorHAnsi" w:hAnsiTheme="minorHAnsi" w:cstheme="minorHAnsi"/>
          <w:bCs/>
          <w:i/>
          <w:lang w:eastAsia="ja-JP"/>
        </w:rPr>
        <w:t>technologies by providing timely and appropriate guidance</w:t>
      </w:r>
    </w:p>
    <w:p w14:paraId="00B93177" w14:textId="6D01D9BF" w:rsidR="003521A1" w:rsidRPr="003521A1" w:rsidRDefault="003521A1" w:rsidP="00085D2A">
      <w:pPr>
        <w:pStyle w:val="ListParagraph"/>
        <w:numPr>
          <w:ilvl w:val="0"/>
          <w:numId w:val="18"/>
        </w:numPr>
        <w:spacing w:line="360" w:lineRule="auto"/>
        <w:jc w:val="both"/>
        <w:rPr>
          <w:rFonts w:asciiTheme="minorHAnsi" w:hAnsiTheme="minorHAnsi" w:cstheme="minorHAnsi"/>
          <w:bCs/>
          <w:i/>
          <w:lang w:eastAsia="ja-JP"/>
        </w:rPr>
      </w:pPr>
      <w:r w:rsidRPr="003521A1">
        <w:rPr>
          <w:rFonts w:asciiTheme="minorHAnsi" w:hAnsiTheme="minorHAnsi" w:cstheme="minorHAnsi"/>
          <w:bCs/>
          <w:i/>
          <w:lang w:eastAsia="ja-JP"/>
        </w:rPr>
        <w:t xml:space="preserve">Strengthening post-market surveillance for medical devices </w:t>
      </w:r>
      <w:r w:rsidR="00085D2A">
        <w:rPr>
          <w:rFonts w:asciiTheme="minorHAnsi" w:hAnsiTheme="minorHAnsi" w:cstheme="minorHAnsi"/>
          <w:bCs/>
          <w:i/>
          <w:lang w:eastAsia="ja-JP"/>
        </w:rPr>
        <w:t>and implement regulatory life cycle processes</w:t>
      </w:r>
    </w:p>
    <w:p w14:paraId="3866F6F4" w14:textId="77777777" w:rsidR="002376DD" w:rsidRPr="005E7906" w:rsidRDefault="002376DD" w:rsidP="003506A1">
      <w:pPr>
        <w:pStyle w:val="ListParagraph"/>
        <w:spacing w:line="360" w:lineRule="auto"/>
        <w:ind w:left="0"/>
        <w:rPr>
          <w:rFonts w:asciiTheme="minorHAnsi" w:hAnsiTheme="minorHAnsi" w:cstheme="minorHAnsi"/>
          <w:bCs/>
          <w:sz w:val="14"/>
          <w:lang w:eastAsia="ja-JP"/>
        </w:rPr>
      </w:pPr>
    </w:p>
    <w:p w14:paraId="5CFDF4D4" w14:textId="01677D0F" w:rsidR="00C03098" w:rsidRDefault="00525549" w:rsidP="003506A1">
      <w:pPr>
        <w:pStyle w:val="ListParagraph"/>
        <w:spacing w:line="360" w:lineRule="auto"/>
        <w:ind w:left="0"/>
        <w:rPr>
          <w:rFonts w:asciiTheme="minorHAnsi" w:hAnsiTheme="minorHAnsi" w:cstheme="minorHAnsi"/>
          <w:bCs/>
          <w:lang w:eastAsia="ja-JP"/>
        </w:rPr>
      </w:pPr>
      <w:r w:rsidRPr="00F633AC">
        <w:rPr>
          <w:rFonts w:asciiTheme="minorHAnsi" w:hAnsiTheme="minorHAnsi" w:cstheme="minorHAnsi"/>
          <w:noProof/>
          <w:lang w:eastAsia="en-AU"/>
        </w:rPr>
        <mc:AlternateContent>
          <mc:Choice Requires="wps">
            <w:drawing>
              <wp:inline distT="0" distB="0" distL="0" distR="0" wp14:anchorId="355D7F58" wp14:editId="188DAD26">
                <wp:extent cx="5745480" cy="602826"/>
                <wp:effectExtent l="0" t="0" r="26670" b="260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602826"/>
                        </a:xfrm>
                        <a:prstGeom prst="rect">
                          <a:avLst/>
                        </a:prstGeom>
                        <a:solidFill>
                          <a:srgbClr val="A5B592">
                            <a:lumMod val="20000"/>
                            <a:lumOff val="80000"/>
                          </a:srgbClr>
                        </a:solidFill>
                        <a:ln w="9525">
                          <a:solidFill>
                            <a:srgbClr val="000000"/>
                          </a:solidFill>
                          <a:miter lim="800000"/>
                          <a:headEnd/>
                          <a:tailEnd/>
                        </a:ln>
                      </wps:spPr>
                      <wps:txbx>
                        <w:txbxContent>
                          <w:p w14:paraId="2E7363C3" w14:textId="6B2ED024" w:rsidR="00525549" w:rsidRPr="00410B5A" w:rsidRDefault="00085D2A" w:rsidP="00410B5A">
                            <w:pPr>
                              <w:pStyle w:val="ListParagraph"/>
                              <w:numPr>
                                <w:ilvl w:val="0"/>
                                <w:numId w:val="18"/>
                              </w:numPr>
                              <w:spacing w:line="360" w:lineRule="auto"/>
                              <w:ind w:left="0"/>
                              <w:rPr>
                                <w:rFonts w:asciiTheme="minorHAnsi" w:hAnsiTheme="minorHAnsi" w:cstheme="minorHAnsi"/>
                                <w:bCs/>
                                <w:lang w:eastAsia="ja-JP"/>
                              </w:rPr>
                            </w:pPr>
                            <w:r>
                              <w:rPr>
                                <w:rFonts w:asciiTheme="minorHAnsi" w:hAnsiTheme="minorHAnsi" w:cstheme="minorHAnsi"/>
                                <w:b/>
                                <w:bCs/>
                                <w:i/>
                                <w:lang w:eastAsia="ja-JP"/>
                              </w:rPr>
                              <w:t xml:space="preserve">1. </w:t>
                            </w:r>
                            <w:r w:rsidR="00410B5A" w:rsidRPr="00410B5A">
                              <w:rPr>
                                <w:rFonts w:asciiTheme="minorHAnsi" w:hAnsiTheme="minorHAnsi" w:cstheme="minorHAnsi"/>
                                <w:b/>
                                <w:bCs/>
                                <w:i/>
                                <w:lang w:eastAsia="ja-JP"/>
                              </w:rPr>
                              <w:t>Manag</w:t>
                            </w:r>
                            <w:r w:rsidR="002649FF">
                              <w:rPr>
                                <w:rFonts w:asciiTheme="minorHAnsi" w:hAnsiTheme="minorHAnsi" w:cstheme="minorHAnsi"/>
                                <w:b/>
                                <w:bCs/>
                                <w:i/>
                                <w:lang w:eastAsia="ja-JP"/>
                              </w:rPr>
                              <w:t>ing</w:t>
                            </w:r>
                            <w:r w:rsidR="00410B5A" w:rsidRPr="00410B5A">
                              <w:rPr>
                                <w:rFonts w:asciiTheme="minorHAnsi" w:hAnsiTheme="minorHAnsi" w:cstheme="minorHAnsi"/>
                                <w:b/>
                                <w:bCs/>
                                <w:i/>
                                <w:lang w:eastAsia="ja-JP"/>
                              </w:rPr>
                              <w:t xml:space="preserve"> </w:t>
                            </w:r>
                            <w:r w:rsidR="00410B5A">
                              <w:rPr>
                                <w:rFonts w:asciiTheme="minorHAnsi" w:hAnsiTheme="minorHAnsi" w:cstheme="minorHAnsi"/>
                                <w:b/>
                                <w:bCs/>
                                <w:i/>
                                <w:lang w:eastAsia="ja-JP"/>
                              </w:rPr>
                              <w:t>r</w:t>
                            </w:r>
                            <w:r w:rsidR="00410B5A" w:rsidRPr="00410B5A">
                              <w:rPr>
                                <w:rFonts w:asciiTheme="minorHAnsi" w:hAnsiTheme="minorHAnsi" w:cstheme="minorHAnsi"/>
                                <w:b/>
                                <w:bCs/>
                                <w:i/>
                                <w:lang w:eastAsia="ja-JP"/>
                              </w:rPr>
                              <w:t xml:space="preserve">egulatory </w:t>
                            </w:r>
                            <w:r w:rsidR="00410B5A">
                              <w:rPr>
                                <w:rFonts w:asciiTheme="minorHAnsi" w:hAnsiTheme="minorHAnsi" w:cstheme="minorHAnsi"/>
                                <w:b/>
                                <w:bCs/>
                                <w:i/>
                                <w:lang w:eastAsia="ja-JP"/>
                              </w:rPr>
                              <w:t>c</w:t>
                            </w:r>
                            <w:r w:rsidR="00410B5A" w:rsidRPr="00410B5A">
                              <w:rPr>
                                <w:rFonts w:asciiTheme="minorHAnsi" w:hAnsiTheme="minorHAnsi" w:cstheme="minorHAnsi"/>
                                <w:b/>
                                <w:bCs/>
                                <w:i/>
                                <w:lang w:eastAsia="ja-JP"/>
                              </w:rPr>
                              <w:t>hallenges for</w:t>
                            </w:r>
                            <w:r w:rsidR="00410B5A">
                              <w:rPr>
                                <w:rFonts w:asciiTheme="minorHAnsi" w:hAnsiTheme="minorHAnsi" w:cstheme="minorHAnsi"/>
                                <w:b/>
                                <w:bCs/>
                                <w:i/>
                                <w:lang w:eastAsia="ja-JP"/>
                              </w:rPr>
                              <w:t xml:space="preserve"> medical devices</w:t>
                            </w:r>
                            <w:r w:rsidR="00410B5A" w:rsidRPr="00410B5A">
                              <w:rPr>
                                <w:rFonts w:asciiTheme="minorHAnsi" w:hAnsiTheme="minorHAnsi" w:cstheme="minorHAnsi"/>
                                <w:b/>
                                <w:bCs/>
                                <w:i/>
                                <w:lang w:eastAsia="ja-JP"/>
                              </w:rPr>
                              <w:t xml:space="preserve"> and </w:t>
                            </w:r>
                            <w:r w:rsidR="00B42988">
                              <w:rPr>
                                <w:rFonts w:asciiTheme="minorHAnsi" w:hAnsiTheme="minorHAnsi" w:cstheme="minorHAnsi"/>
                                <w:b/>
                                <w:bCs/>
                                <w:i/>
                                <w:lang w:eastAsia="ja-JP"/>
                              </w:rPr>
                              <w:t xml:space="preserve">innovative </w:t>
                            </w:r>
                            <w:r w:rsidR="00410B5A">
                              <w:rPr>
                                <w:rFonts w:asciiTheme="minorHAnsi" w:hAnsiTheme="minorHAnsi" w:cstheme="minorHAnsi"/>
                                <w:b/>
                                <w:bCs/>
                                <w:i/>
                                <w:lang w:eastAsia="ja-JP"/>
                              </w:rPr>
                              <w:t>t</w:t>
                            </w:r>
                            <w:r w:rsidR="00410B5A" w:rsidRPr="00410B5A">
                              <w:rPr>
                                <w:rFonts w:asciiTheme="minorHAnsi" w:hAnsiTheme="minorHAnsi" w:cstheme="minorHAnsi"/>
                                <w:b/>
                                <w:bCs/>
                                <w:i/>
                                <w:lang w:eastAsia="ja-JP"/>
                              </w:rPr>
                              <w:t>echnologies</w:t>
                            </w:r>
                            <w:r w:rsidR="00410B5A">
                              <w:rPr>
                                <w:rFonts w:asciiTheme="minorHAnsi" w:hAnsiTheme="minorHAnsi" w:cstheme="minorHAnsi"/>
                                <w:b/>
                                <w:bCs/>
                                <w:i/>
                                <w:lang w:eastAsia="ja-JP"/>
                              </w:rPr>
                              <w:t xml:space="preserve"> by providing timely and appropriate guidance</w:t>
                            </w:r>
                            <w:r w:rsidR="00410B5A" w:rsidRPr="00410B5A">
                              <w:rPr>
                                <w:rFonts w:asciiTheme="minorHAnsi" w:hAnsiTheme="minorHAnsi" w:cstheme="minorHAnsi"/>
                                <w:b/>
                                <w:bCs/>
                                <w:i/>
                                <w:lang w:eastAsia="ja-JP"/>
                              </w:rPr>
                              <w:t xml:space="preserve"> </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5D7F58" id="Text Box 2" o:spid="_x0000_s1028" type="#_x0000_t202" style="width:452.4pt;height:4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" fillcolor="#edf0e9">
                <v:textbox>
                  <w:txbxContent>
                    <w:p w14:paraId="2E7363C3" w14:textId="6B2ED024" w:rsidR="00525549" w:rsidRPr="00410B5A" w:rsidRDefault="00085D2A" w:rsidP="00410B5A">
                      <w:pPr>
                        <w:pStyle w:val="ListParagraph"/>
                        <w:numPr>
                          <w:ilvl w:val="0"/>
                          <w:numId w:val="18"/>
                        </w:numPr>
                        <w:spacing w:line="360" w:lineRule="auto"/>
                        <w:ind w:left="0"/>
                        <w:rPr>
                          <w:rFonts w:asciiTheme="minorHAnsi" w:hAnsiTheme="minorHAnsi" w:cstheme="minorHAnsi"/>
                          <w:bCs/>
                          <w:lang w:eastAsia="ja-JP"/>
                        </w:rPr>
                      </w:pPr>
                      <w:r>
                        <w:rPr>
                          <w:rFonts w:asciiTheme="minorHAnsi" w:hAnsiTheme="minorHAnsi" w:cstheme="minorHAnsi"/>
                          <w:b/>
                          <w:bCs/>
                          <w:i/>
                          <w:lang w:eastAsia="ja-JP"/>
                        </w:rPr>
                        <w:t xml:space="preserve">1. </w:t>
                      </w:r>
                      <w:r w:rsidR="00410B5A" w:rsidRPr="00410B5A">
                        <w:rPr>
                          <w:rFonts w:asciiTheme="minorHAnsi" w:hAnsiTheme="minorHAnsi" w:cstheme="minorHAnsi"/>
                          <w:b/>
                          <w:bCs/>
                          <w:i/>
                          <w:lang w:eastAsia="ja-JP"/>
                        </w:rPr>
                        <w:t>Manag</w:t>
                      </w:r>
                      <w:r w:rsidR="002649FF">
                        <w:rPr>
                          <w:rFonts w:asciiTheme="minorHAnsi" w:hAnsiTheme="minorHAnsi" w:cstheme="minorHAnsi"/>
                          <w:b/>
                          <w:bCs/>
                          <w:i/>
                          <w:lang w:eastAsia="ja-JP"/>
                        </w:rPr>
                        <w:t>ing</w:t>
                      </w:r>
                      <w:r w:rsidR="00410B5A" w:rsidRPr="00410B5A">
                        <w:rPr>
                          <w:rFonts w:asciiTheme="minorHAnsi" w:hAnsiTheme="minorHAnsi" w:cstheme="minorHAnsi"/>
                          <w:b/>
                          <w:bCs/>
                          <w:i/>
                          <w:lang w:eastAsia="ja-JP"/>
                        </w:rPr>
                        <w:t xml:space="preserve"> </w:t>
                      </w:r>
                      <w:r w:rsidR="00410B5A">
                        <w:rPr>
                          <w:rFonts w:asciiTheme="minorHAnsi" w:hAnsiTheme="minorHAnsi" w:cstheme="minorHAnsi"/>
                          <w:b/>
                          <w:bCs/>
                          <w:i/>
                          <w:lang w:eastAsia="ja-JP"/>
                        </w:rPr>
                        <w:t>r</w:t>
                      </w:r>
                      <w:r w:rsidR="00410B5A" w:rsidRPr="00410B5A">
                        <w:rPr>
                          <w:rFonts w:asciiTheme="minorHAnsi" w:hAnsiTheme="minorHAnsi" w:cstheme="minorHAnsi"/>
                          <w:b/>
                          <w:bCs/>
                          <w:i/>
                          <w:lang w:eastAsia="ja-JP"/>
                        </w:rPr>
                        <w:t xml:space="preserve">egulatory </w:t>
                      </w:r>
                      <w:r w:rsidR="00410B5A">
                        <w:rPr>
                          <w:rFonts w:asciiTheme="minorHAnsi" w:hAnsiTheme="minorHAnsi" w:cstheme="minorHAnsi"/>
                          <w:b/>
                          <w:bCs/>
                          <w:i/>
                          <w:lang w:eastAsia="ja-JP"/>
                        </w:rPr>
                        <w:t>c</w:t>
                      </w:r>
                      <w:r w:rsidR="00410B5A" w:rsidRPr="00410B5A">
                        <w:rPr>
                          <w:rFonts w:asciiTheme="minorHAnsi" w:hAnsiTheme="minorHAnsi" w:cstheme="minorHAnsi"/>
                          <w:b/>
                          <w:bCs/>
                          <w:i/>
                          <w:lang w:eastAsia="ja-JP"/>
                        </w:rPr>
                        <w:t>hallenges for</w:t>
                      </w:r>
                      <w:r w:rsidR="00410B5A">
                        <w:rPr>
                          <w:rFonts w:asciiTheme="minorHAnsi" w:hAnsiTheme="minorHAnsi" w:cstheme="minorHAnsi"/>
                          <w:b/>
                          <w:bCs/>
                          <w:i/>
                          <w:lang w:eastAsia="ja-JP"/>
                        </w:rPr>
                        <w:t xml:space="preserve"> medical devices</w:t>
                      </w:r>
                      <w:r w:rsidR="00410B5A" w:rsidRPr="00410B5A">
                        <w:rPr>
                          <w:rFonts w:asciiTheme="minorHAnsi" w:hAnsiTheme="minorHAnsi" w:cstheme="minorHAnsi"/>
                          <w:b/>
                          <w:bCs/>
                          <w:i/>
                          <w:lang w:eastAsia="ja-JP"/>
                        </w:rPr>
                        <w:t xml:space="preserve"> and </w:t>
                      </w:r>
                      <w:r w:rsidR="00B42988">
                        <w:rPr>
                          <w:rFonts w:asciiTheme="minorHAnsi" w:hAnsiTheme="minorHAnsi" w:cstheme="minorHAnsi"/>
                          <w:b/>
                          <w:bCs/>
                          <w:i/>
                          <w:lang w:eastAsia="ja-JP"/>
                        </w:rPr>
                        <w:t xml:space="preserve">innovative </w:t>
                      </w:r>
                      <w:r w:rsidR="00410B5A">
                        <w:rPr>
                          <w:rFonts w:asciiTheme="minorHAnsi" w:hAnsiTheme="minorHAnsi" w:cstheme="minorHAnsi"/>
                          <w:b/>
                          <w:bCs/>
                          <w:i/>
                          <w:lang w:eastAsia="ja-JP"/>
                        </w:rPr>
                        <w:t>t</w:t>
                      </w:r>
                      <w:r w:rsidR="00410B5A" w:rsidRPr="00410B5A">
                        <w:rPr>
                          <w:rFonts w:asciiTheme="minorHAnsi" w:hAnsiTheme="minorHAnsi" w:cstheme="minorHAnsi"/>
                          <w:b/>
                          <w:bCs/>
                          <w:i/>
                          <w:lang w:eastAsia="ja-JP"/>
                        </w:rPr>
                        <w:t>echnologies</w:t>
                      </w:r>
                      <w:r w:rsidR="00410B5A">
                        <w:rPr>
                          <w:rFonts w:asciiTheme="minorHAnsi" w:hAnsiTheme="minorHAnsi" w:cstheme="minorHAnsi"/>
                          <w:b/>
                          <w:bCs/>
                          <w:i/>
                          <w:lang w:eastAsia="ja-JP"/>
                        </w:rPr>
                        <w:t xml:space="preserve"> by providing timely and appropriate guidance</w:t>
                      </w:r>
                      <w:r w:rsidR="00410B5A" w:rsidRPr="00410B5A">
                        <w:rPr>
                          <w:rFonts w:asciiTheme="minorHAnsi" w:hAnsiTheme="minorHAnsi" w:cstheme="minorHAnsi"/>
                          <w:b/>
                          <w:bCs/>
                          <w:i/>
                          <w:lang w:eastAsia="ja-JP"/>
                        </w:rPr>
                        <w:t xml:space="preserve"> </w:t>
                      </w:r>
                    </w:p>
                  </w:txbxContent>
                </v:textbox>
                <w10:anchorlock/>
              </v:shape>
            </w:pict>
          </mc:Fallback>
        </mc:AlternateContent>
      </w:r>
    </w:p>
    <w:p w14:paraId="26499EEC" w14:textId="77777777" w:rsidR="005E7906" w:rsidRPr="005E7906" w:rsidRDefault="005E7906" w:rsidP="00085D2A">
      <w:pPr>
        <w:pStyle w:val="ListParagraph"/>
        <w:spacing w:line="360" w:lineRule="auto"/>
        <w:ind w:left="0"/>
        <w:jc w:val="both"/>
        <w:rPr>
          <w:rFonts w:asciiTheme="minorHAnsi" w:hAnsiTheme="minorHAnsi" w:cstheme="minorHAnsi"/>
          <w:bCs/>
          <w:sz w:val="12"/>
          <w:lang w:eastAsia="ja-JP"/>
        </w:rPr>
      </w:pPr>
    </w:p>
    <w:p w14:paraId="596E33BF" w14:textId="7CE23AAC" w:rsidR="003521A1" w:rsidRPr="003521A1" w:rsidRDefault="003521A1" w:rsidP="00085D2A">
      <w:pPr>
        <w:pStyle w:val="ListParagraph"/>
        <w:spacing w:line="360" w:lineRule="auto"/>
        <w:ind w:left="0"/>
        <w:jc w:val="both"/>
        <w:rPr>
          <w:rFonts w:asciiTheme="minorHAnsi" w:hAnsiTheme="minorHAnsi" w:cstheme="minorHAnsi"/>
          <w:bCs/>
          <w:lang w:eastAsia="ja-JP"/>
        </w:rPr>
      </w:pPr>
      <w:r w:rsidRPr="003521A1">
        <w:rPr>
          <w:rFonts w:asciiTheme="minorHAnsi" w:hAnsiTheme="minorHAnsi" w:cstheme="minorHAnsi"/>
          <w:bCs/>
          <w:lang w:eastAsia="ja-JP"/>
        </w:rPr>
        <w:t xml:space="preserve">Treatment delayed could be </w:t>
      </w:r>
      <w:r w:rsidR="00A33FFF">
        <w:rPr>
          <w:rFonts w:asciiTheme="minorHAnsi" w:hAnsiTheme="minorHAnsi" w:cstheme="minorHAnsi"/>
          <w:bCs/>
          <w:lang w:eastAsia="ja-JP"/>
        </w:rPr>
        <w:t>t</w:t>
      </w:r>
      <w:r w:rsidRPr="003521A1">
        <w:rPr>
          <w:rFonts w:asciiTheme="minorHAnsi" w:hAnsiTheme="minorHAnsi" w:cstheme="minorHAnsi"/>
          <w:bCs/>
          <w:lang w:eastAsia="ja-JP"/>
        </w:rPr>
        <w:t>reatment denied especially for critically ill patients. Therefore, in addition to ensuring the quality, safety and eff</w:t>
      </w:r>
      <w:r w:rsidR="007A70DF">
        <w:rPr>
          <w:rFonts w:asciiTheme="minorHAnsi" w:hAnsiTheme="minorHAnsi" w:cstheme="minorHAnsi"/>
          <w:bCs/>
          <w:lang w:eastAsia="ja-JP"/>
        </w:rPr>
        <w:t>ectiveness</w:t>
      </w:r>
      <w:r w:rsidRPr="003521A1">
        <w:rPr>
          <w:rFonts w:asciiTheme="minorHAnsi" w:hAnsiTheme="minorHAnsi" w:cstheme="minorHAnsi"/>
          <w:bCs/>
          <w:lang w:eastAsia="ja-JP"/>
        </w:rPr>
        <w:t xml:space="preserve"> of medical devices, regulators should also be facilitators ensuring patients have timely access to essential medical devices.</w:t>
      </w:r>
      <w:r w:rsidR="00E8555F">
        <w:rPr>
          <w:rFonts w:asciiTheme="minorHAnsi" w:hAnsiTheme="minorHAnsi" w:cstheme="minorHAnsi"/>
          <w:bCs/>
          <w:lang w:eastAsia="ja-JP"/>
        </w:rPr>
        <w:t xml:space="preserve"> Fosterin</w:t>
      </w:r>
      <w:r w:rsidR="007277FD">
        <w:rPr>
          <w:rFonts w:asciiTheme="minorHAnsi" w:hAnsiTheme="minorHAnsi" w:cstheme="minorHAnsi"/>
          <w:bCs/>
          <w:lang w:eastAsia="ja-JP"/>
        </w:rPr>
        <w:t>g</w:t>
      </w:r>
      <w:r w:rsidR="00E8555F">
        <w:rPr>
          <w:rFonts w:asciiTheme="minorHAnsi" w:hAnsiTheme="minorHAnsi" w:cstheme="minorHAnsi"/>
          <w:bCs/>
          <w:lang w:eastAsia="ja-JP"/>
        </w:rPr>
        <w:t xml:space="preserve"> </w:t>
      </w:r>
      <w:r w:rsidR="00900392">
        <w:rPr>
          <w:rFonts w:asciiTheme="minorHAnsi" w:hAnsiTheme="minorHAnsi" w:cstheme="minorHAnsi"/>
          <w:bCs/>
          <w:lang w:eastAsia="ja-JP"/>
        </w:rPr>
        <w:t xml:space="preserve">a </w:t>
      </w:r>
      <w:r w:rsidR="00900392" w:rsidRPr="003521A1">
        <w:rPr>
          <w:rFonts w:asciiTheme="minorHAnsi" w:hAnsiTheme="minorHAnsi" w:cstheme="minorHAnsi"/>
          <w:bCs/>
          <w:lang w:eastAsia="ja-JP"/>
        </w:rPr>
        <w:t>transparent</w:t>
      </w:r>
      <w:r w:rsidRPr="003521A1">
        <w:rPr>
          <w:rFonts w:asciiTheme="minorHAnsi" w:hAnsiTheme="minorHAnsi" w:cstheme="minorHAnsi"/>
          <w:bCs/>
          <w:lang w:eastAsia="ja-JP"/>
        </w:rPr>
        <w:t xml:space="preserve">, well-defined regulatory </w:t>
      </w:r>
      <w:r w:rsidR="00E8555F">
        <w:rPr>
          <w:rFonts w:asciiTheme="minorHAnsi" w:hAnsiTheme="minorHAnsi" w:cstheme="minorHAnsi"/>
          <w:bCs/>
          <w:lang w:eastAsia="ja-JP"/>
        </w:rPr>
        <w:t>process</w:t>
      </w:r>
      <w:r w:rsidR="00E8555F" w:rsidRPr="003521A1">
        <w:rPr>
          <w:rFonts w:asciiTheme="minorHAnsi" w:hAnsiTheme="minorHAnsi" w:cstheme="minorHAnsi"/>
          <w:bCs/>
          <w:lang w:eastAsia="ja-JP"/>
        </w:rPr>
        <w:t xml:space="preserve"> </w:t>
      </w:r>
      <w:r w:rsidR="00E8555F" w:rsidRPr="008F43D9">
        <w:rPr>
          <w:rFonts w:asciiTheme="minorHAnsi" w:hAnsiTheme="minorHAnsi" w:cstheme="minorHAnsi"/>
        </w:rPr>
        <w:t xml:space="preserve">to demonstrate safety and </w:t>
      </w:r>
      <w:r w:rsidR="007277FD" w:rsidRPr="008F43D9">
        <w:rPr>
          <w:rFonts w:asciiTheme="minorHAnsi" w:hAnsiTheme="minorHAnsi" w:cstheme="minorHAnsi"/>
        </w:rPr>
        <w:t>effectiveness</w:t>
      </w:r>
      <w:r w:rsidR="00E8555F" w:rsidRPr="008F43D9">
        <w:rPr>
          <w:rFonts w:asciiTheme="minorHAnsi" w:hAnsiTheme="minorHAnsi" w:cstheme="minorHAnsi"/>
        </w:rPr>
        <w:t xml:space="preserve"> </w:t>
      </w:r>
      <w:r w:rsidRPr="003521A1">
        <w:rPr>
          <w:rFonts w:asciiTheme="minorHAnsi" w:hAnsiTheme="minorHAnsi" w:cstheme="minorHAnsi"/>
          <w:bCs/>
          <w:lang w:eastAsia="ja-JP"/>
        </w:rPr>
        <w:t xml:space="preserve">could significantly speed up the total time taken for safe </w:t>
      </w:r>
      <w:r w:rsidR="007277FD">
        <w:rPr>
          <w:rFonts w:asciiTheme="minorHAnsi" w:hAnsiTheme="minorHAnsi" w:cstheme="minorHAnsi"/>
          <w:bCs/>
          <w:lang w:eastAsia="ja-JP"/>
        </w:rPr>
        <w:t xml:space="preserve">and </w:t>
      </w:r>
      <w:r w:rsidR="00410B5A">
        <w:rPr>
          <w:rFonts w:asciiTheme="minorHAnsi" w:hAnsiTheme="minorHAnsi" w:cstheme="minorHAnsi"/>
          <w:bCs/>
          <w:lang w:eastAsia="ja-JP"/>
        </w:rPr>
        <w:t>priority</w:t>
      </w:r>
      <w:r w:rsidR="007277FD">
        <w:rPr>
          <w:rFonts w:asciiTheme="minorHAnsi" w:hAnsiTheme="minorHAnsi" w:cstheme="minorHAnsi"/>
          <w:bCs/>
          <w:lang w:eastAsia="ja-JP"/>
        </w:rPr>
        <w:t xml:space="preserve"> medical device </w:t>
      </w:r>
      <w:r w:rsidRPr="003521A1">
        <w:rPr>
          <w:rFonts w:asciiTheme="minorHAnsi" w:hAnsiTheme="minorHAnsi" w:cstheme="minorHAnsi"/>
          <w:bCs/>
          <w:lang w:eastAsia="ja-JP"/>
        </w:rPr>
        <w:t>innovations to reach patients. IMDRF will continue to proactively identify useful innovative areas and set up working groups to develop clear guidance to support prospective regulatory convergence in these areas.</w:t>
      </w:r>
    </w:p>
    <w:p w14:paraId="40B5EF9F" w14:textId="77777777" w:rsidR="00A970FF" w:rsidRDefault="00A970FF" w:rsidP="00085D2A">
      <w:pPr>
        <w:widowControl w:val="0"/>
        <w:pBdr>
          <w:bottom w:val="single" w:sz="6" w:space="1" w:color="auto"/>
        </w:pBdr>
        <w:spacing w:line="360" w:lineRule="auto"/>
        <w:jc w:val="both"/>
        <w:rPr>
          <w:rFonts w:asciiTheme="minorHAnsi" w:hAnsiTheme="minorHAnsi" w:cstheme="minorHAnsi"/>
          <w:bCs/>
          <w:lang w:eastAsia="ja-JP"/>
        </w:rPr>
      </w:pPr>
    </w:p>
    <w:p w14:paraId="6A125507" w14:textId="114692CB" w:rsidR="00A970FF" w:rsidRDefault="003521A1" w:rsidP="00085D2A">
      <w:pPr>
        <w:widowControl w:val="0"/>
        <w:pBdr>
          <w:bottom w:val="single" w:sz="6" w:space="1" w:color="auto"/>
        </w:pBdr>
        <w:spacing w:line="360" w:lineRule="auto"/>
        <w:jc w:val="both"/>
        <w:rPr>
          <w:rFonts w:asciiTheme="minorHAnsi" w:hAnsiTheme="minorHAnsi" w:cstheme="minorHAnsi"/>
          <w:bCs/>
          <w:lang w:eastAsia="ja-JP"/>
        </w:rPr>
      </w:pPr>
      <w:r w:rsidRPr="003521A1">
        <w:rPr>
          <w:rFonts w:asciiTheme="minorHAnsi" w:hAnsiTheme="minorHAnsi" w:cstheme="minorHAnsi"/>
          <w:bCs/>
          <w:lang w:eastAsia="ja-JP"/>
        </w:rPr>
        <w:t xml:space="preserve">IMDRF will </w:t>
      </w:r>
      <w:r w:rsidR="002F068C">
        <w:rPr>
          <w:rFonts w:asciiTheme="minorHAnsi" w:hAnsiTheme="minorHAnsi" w:cstheme="minorHAnsi"/>
          <w:bCs/>
          <w:lang w:eastAsia="ja-JP"/>
        </w:rPr>
        <w:t xml:space="preserve">continue to </w:t>
      </w:r>
      <w:r w:rsidRPr="003521A1">
        <w:rPr>
          <w:rFonts w:asciiTheme="minorHAnsi" w:hAnsiTheme="minorHAnsi" w:cstheme="minorHAnsi"/>
          <w:bCs/>
          <w:lang w:eastAsia="ja-JP"/>
        </w:rPr>
        <w:t>work collaboratively within the MC and also with various external stakeholders</w:t>
      </w:r>
      <w:r w:rsidR="00A970FF">
        <w:rPr>
          <w:rFonts w:asciiTheme="minorHAnsi" w:hAnsiTheme="minorHAnsi" w:cstheme="minorHAnsi"/>
          <w:bCs/>
          <w:vertAlign w:val="superscript"/>
          <w:lang w:eastAsia="ja-JP"/>
        </w:rPr>
        <w:t>3</w:t>
      </w:r>
      <w:r w:rsidRPr="003521A1">
        <w:rPr>
          <w:rFonts w:asciiTheme="minorHAnsi" w:hAnsiTheme="minorHAnsi" w:cstheme="minorHAnsi"/>
          <w:bCs/>
          <w:lang w:eastAsia="ja-JP"/>
        </w:rPr>
        <w:t xml:space="preserve"> and partners to share information and knowledge on an on-going basis. </w:t>
      </w:r>
      <w:r w:rsidR="002F068C">
        <w:rPr>
          <w:rFonts w:asciiTheme="minorHAnsi" w:hAnsiTheme="minorHAnsi" w:cstheme="minorHAnsi"/>
          <w:bCs/>
          <w:lang w:eastAsia="ja-JP"/>
        </w:rPr>
        <w:t>This includes</w:t>
      </w:r>
      <w:r w:rsidRPr="003521A1">
        <w:rPr>
          <w:rFonts w:asciiTheme="minorHAnsi" w:hAnsiTheme="minorHAnsi" w:cstheme="minorHAnsi"/>
          <w:bCs/>
          <w:lang w:eastAsia="ja-JP"/>
        </w:rPr>
        <w:t xml:space="preserve"> working with standards</w:t>
      </w:r>
      <w:r w:rsidR="002F068C">
        <w:rPr>
          <w:rFonts w:asciiTheme="minorHAnsi" w:hAnsiTheme="minorHAnsi" w:cstheme="minorHAnsi"/>
          <w:bCs/>
          <w:lang w:eastAsia="ja-JP"/>
        </w:rPr>
        <w:t xml:space="preserve"> setting</w:t>
      </w:r>
      <w:r w:rsidRPr="003521A1">
        <w:rPr>
          <w:rFonts w:asciiTheme="minorHAnsi" w:hAnsiTheme="minorHAnsi" w:cstheme="minorHAnsi"/>
          <w:bCs/>
          <w:lang w:eastAsia="ja-JP"/>
        </w:rPr>
        <w:t xml:space="preserve"> bod</w:t>
      </w:r>
      <w:r w:rsidR="007A70DF">
        <w:rPr>
          <w:rFonts w:asciiTheme="minorHAnsi" w:hAnsiTheme="minorHAnsi" w:cstheme="minorHAnsi"/>
          <w:bCs/>
          <w:lang w:eastAsia="ja-JP"/>
        </w:rPr>
        <w:t>ies</w:t>
      </w:r>
      <w:r w:rsidRPr="003521A1">
        <w:rPr>
          <w:rFonts w:asciiTheme="minorHAnsi" w:hAnsiTheme="minorHAnsi" w:cstheme="minorHAnsi"/>
          <w:bCs/>
          <w:lang w:eastAsia="ja-JP"/>
        </w:rPr>
        <w:t xml:space="preserve"> to play an active role in ensuring that international standards continue to be effective tools in conforming to essential principles for safety and performance for medical devices.</w:t>
      </w:r>
    </w:p>
    <w:p w14:paraId="4AD9FBC8" w14:textId="77777777" w:rsidR="005E7906" w:rsidRPr="005E7906" w:rsidRDefault="005E7906" w:rsidP="00085D2A">
      <w:pPr>
        <w:widowControl w:val="0"/>
        <w:pBdr>
          <w:bottom w:val="single" w:sz="6" w:space="1" w:color="auto"/>
        </w:pBdr>
        <w:spacing w:line="360" w:lineRule="auto"/>
        <w:jc w:val="both"/>
        <w:rPr>
          <w:rFonts w:asciiTheme="minorHAnsi" w:hAnsiTheme="minorHAnsi" w:cstheme="minorHAnsi"/>
          <w:bCs/>
          <w:sz w:val="18"/>
          <w:lang w:eastAsia="ja-JP"/>
        </w:rPr>
      </w:pPr>
    </w:p>
    <w:p w14:paraId="6992901F" w14:textId="7A2C6DB2" w:rsidR="00A970FF" w:rsidRPr="00295019" w:rsidRDefault="00A970FF" w:rsidP="008F43D9">
      <w:pPr>
        <w:widowControl w:val="0"/>
        <w:spacing w:after="0" w:line="240" w:lineRule="auto"/>
        <w:jc w:val="both"/>
        <w:rPr>
          <w:rFonts w:asciiTheme="minorHAnsi" w:hAnsiTheme="minorHAnsi" w:cstheme="minorHAnsi"/>
          <w:sz w:val="20"/>
          <w:szCs w:val="20"/>
        </w:rPr>
      </w:pPr>
      <w:r w:rsidRPr="008F43D9">
        <w:rPr>
          <w:rStyle w:val="FootnoteReference"/>
          <w:rFonts w:asciiTheme="minorHAnsi" w:hAnsiTheme="minorHAnsi" w:cstheme="minorHAnsi"/>
          <w:sz w:val="20"/>
          <w:szCs w:val="20"/>
        </w:rPr>
        <w:t>3</w:t>
      </w:r>
      <w:r w:rsidRPr="008F43D9">
        <w:rPr>
          <w:rFonts w:asciiTheme="minorHAnsi" w:hAnsiTheme="minorHAnsi" w:cstheme="minorHAnsi"/>
          <w:sz w:val="20"/>
          <w:szCs w:val="20"/>
        </w:rPr>
        <w:t xml:space="preserve"> </w:t>
      </w:r>
      <w:r w:rsidRPr="00295019">
        <w:rPr>
          <w:rFonts w:asciiTheme="minorHAnsi" w:hAnsiTheme="minorHAnsi" w:cstheme="minorHAnsi"/>
          <w:sz w:val="20"/>
          <w:szCs w:val="20"/>
        </w:rPr>
        <w:t>medical devices industries, other regulators, international organizations, standards development organizations, patient and professional associations, and academia, in IMDRF working groups, as appropriate.</w:t>
      </w:r>
    </w:p>
    <w:p w14:paraId="16FBBEC2" w14:textId="68594B2F" w:rsidR="00CA675A" w:rsidRDefault="003521A1" w:rsidP="00085D2A">
      <w:pPr>
        <w:widowControl w:val="0"/>
        <w:spacing w:line="360" w:lineRule="auto"/>
        <w:jc w:val="both"/>
        <w:rPr>
          <w:rFonts w:asciiTheme="minorHAnsi" w:hAnsiTheme="minorHAnsi" w:cstheme="minorHAnsi"/>
          <w:bCs/>
          <w:lang w:eastAsia="ja-JP"/>
        </w:rPr>
      </w:pPr>
      <w:r w:rsidRPr="003521A1">
        <w:rPr>
          <w:rFonts w:asciiTheme="minorHAnsi" w:hAnsiTheme="minorHAnsi" w:cstheme="minorHAnsi"/>
          <w:bCs/>
          <w:lang w:eastAsia="ja-JP"/>
        </w:rPr>
        <w:lastRenderedPageBreak/>
        <w:t xml:space="preserve"> IMDRF </w:t>
      </w:r>
      <w:r w:rsidR="00295019">
        <w:rPr>
          <w:rFonts w:asciiTheme="minorHAnsi" w:hAnsiTheme="minorHAnsi" w:cstheme="minorHAnsi"/>
          <w:bCs/>
          <w:lang w:eastAsia="ja-JP"/>
        </w:rPr>
        <w:t>also seeks to</w:t>
      </w:r>
      <w:r w:rsidRPr="003521A1">
        <w:rPr>
          <w:rFonts w:asciiTheme="minorHAnsi" w:hAnsiTheme="minorHAnsi" w:cstheme="minorHAnsi"/>
          <w:bCs/>
          <w:lang w:eastAsia="ja-JP"/>
        </w:rPr>
        <w:t xml:space="preserve"> promot</w:t>
      </w:r>
      <w:r w:rsidR="00295019">
        <w:rPr>
          <w:rFonts w:asciiTheme="minorHAnsi" w:hAnsiTheme="minorHAnsi" w:cstheme="minorHAnsi"/>
          <w:bCs/>
          <w:lang w:eastAsia="ja-JP"/>
        </w:rPr>
        <w:t>e further</w:t>
      </w:r>
      <w:r w:rsidRPr="003521A1">
        <w:rPr>
          <w:rFonts w:asciiTheme="minorHAnsi" w:hAnsiTheme="minorHAnsi" w:cstheme="minorHAnsi"/>
          <w:bCs/>
          <w:lang w:eastAsia="ja-JP"/>
        </w:rPr>
        <w:t xml:space="preserve"> development of useful and relevant international standards for innovative technologies in medical devices to enhance their safety and effectiveness. </w:t>
      </w:r>
    </w:p>
    <w:p w14:paraId="1DD42C2D" w14:textId="5C066DD9" w:rsidR="003521A1" w:rsidRDefault="00295019" w:rsidP="00085D2A">
      <w:pPr>
        <w:widowControl w:val="0"/>
        <w:spacing w:line="360" w:lineRule="auto"/>
        <w:jc w:val="both"/>
        <w:rPr>
          <w:rFonts w:asciiTheme="minorHAnsi" w:hAnsiTheme="minorHAnsi" w:cstheme="minorHAnsi"/>
          <w:bCs/>
          <w:lang w:eastAsia="ja-JP"/>
        </w:rPr>
      </w:pPr>
      <w:r>
        <w:rPr>
          <w:rFonts w:asciiTheme="minorHAnsi" w:hAnsiTheme="minorHAnsi" w:cstheme="minorHAnsi"/>
          <w:bCs/>
          <w:lang w:eastAsia="ja-JP"/>
        </w:rPr>
        <w:t xml:space="preserve">In addition, </w:t>
      </w:r>
      <w:r w:rsidR="003521A1" w:rsidRPr="003521A1">
        <w:rPr>
          <w:rFonts w:asciiTheme="minorHAnsi" w:hAnsiTheme="minorHAnsi" w:cstheme="minorHAnsi"/>
          <w:bCs/>
          <w:lang w:eastAsia="ja-JP"/>
        </w:rPr>
        <w:t xml:space="preserve">IMDRF has also embarked on a challenging journey towards achieving a single pre-market review process for medical devices. </w:t>
      </w:r>
      <w:r w:rsidR="00A33FFF">
        <w:rPr>
          <w:rFonts w:asciiTheme="minorHAnsi" w:hAnsiTheme="minorHAnsi" w:cstheme="minorHAnsi"/>
          <w:bCs/>
          <w:lang w:eastAsia="ja-JP"/>
        </w:rPr>
        <w:t>We are c</w:t>
      </w:r>
      <w:r w:rsidR="003521A1" w:rsidRPr="003521A1">
        <w:rPr>
          <w:rFonts w:asciiTheme="minorHAnsi" w:hAnsiTheme="minorHAnsi" w:cstheme="minorHAnsi"/>
          <w:bCs/>
          <w:lang w:eastAsia="ja-JP"/>
        </w:rPr>
        <w:t xml:space="preserve">urrently developing the building blocks and working towards all MC members receiving the same set of information in the pre-market submissions. </w:t>
      </w:r>
    </w:p>
    <w:p w14:paraId="35140924" w14:textId="5CAF826B" w:rsidR="00A970FF" w:rsidRDefault="00A970FF" w:rsidP="00085D2A">
      <w:pPr>
        <w:widowControl w:val="0"/>
        <w:spacing w:line="360" w:lineRule="auto"/>
        <w:jc w:val="both"/>
        <w:rPr>
          <w:rFonts w:asciiTheme="minorHAnsi" w:hAnsiTheme="minorHAnsi" w:cstheme="minorHAnsi"/>
          <w:bCs/>
          <w:lang w:eastAsia="ja-JP"/>
        </w:rPr>
      </w:pPr>
    </w:p>
    <w:p w14:paraId="542B22A1" w14:textId="6001BB2C" w:rsidR="00A970FF" w:rsidRDefault="00A970FF" w:rsidP="00085D2A">
      <w:pPr>
        <w:widowControl w:val="0"/>
        <w:spacing w:line="360" w:lineRule="auto"/>
        <w:jc w:val="both"/>
        <w:rPr>
          <w:rFonts w:asciiTheme="minorHAnsi" w:hAnsiTheme="minorHAnsi" w:cstheme="minorHAnsi"/>
          <w:bCs/>
          <w:lang w:eastAsia="ja-JP"/>
        </w:rPr>
      </w:pPr>
    </w:p>
    <w:p w14:paraId="3D766F6F" w14:textId="3A2C0F43" w:rsidR="00A970FF" w:rsidRDefault="00A970FF" w:rsidP="00085D2A">
      <w:pPr>
        <w:widowControl w:val="0"/>
        <w:spacing w:line="360" w:lineRule="auto"/>
        <w:jc w:val="both"/>
        <w:rPr>
          <w:rFonts w:asciiTheme="minorHAnsi" w:hAnsiTheme="minorHAnsi" w:cstheme="minorHAnsi"/>
          <w:bCs/>
          <w:lang w:eastAsia="ja-JP"/>
        </w:rPr>
      </w:pPr>
    </w:p>
    <w:p w14:paraId="47524CEA" w14:textId="4DF7F3B8" w:rsidR="00A970FF" w:rsidRDefault="00A970FF" w:rsidP="00085D2A">
      <w:pPr>
        <w:widowControl w:val="0"/>
        <w:spacing w:line="360" w:lineRule="auto"/>
        <w:jc w:val="both"/>
        <w:rPr>
          <w:rFonts w:asciiTheme="minorHAnsi" w:hAnsiTheme="minorHAnsi" w:cstheme="minorHAnsi"/>
          <w:bCs/>
          <w:lang w:eastAsia="ja-JP"/>
        </w:rPr>
      </w:pPr>
    </w:p>
    <w:p w14:paraId="3C4DBBB3" w14:textId="6634FBB6" w:rsidR="00A970FF" w:rsidRDefault="00A970FF" w:rsidP="00085D2A">
      <w:pPr>
        <w:widowControl w:val="0"/>
        <w:spacing w:line="360" w:lineRule="auto"/>
        <w:jc w:val="both"/>
        <w:rPr>
          <w:rFonts w:asciiTheme="minorHAnsi" w:hAnsiTheme="minorHAnsi" w:cstheme="minorHAnsi"/>
          <w:bCs/>
          <w:lang w:eastAsia="ja-JP"/>
        </w:rPr>
      </w:pPr>
    </w:p>
    <w:p w14:paraId="19A96E0E" w14:textId="04D0328A" w:rsidR="00A970FF" w:rsidRDefault="00A970FF" w:rsidP="00085D2A">
      <w:pPr>
        <w:widowControl w:val="0"/>
        <w:spacing w:line="360" w:lineRule="auto"/>
        <w:jc w:val="both"/>
        <w:rPr>
          <w:rFonts w:asciiTheme="minorHAnsi" w:hAnsiTheme="minorHAnsi" w:cstheme="minorHAnsi"/>
          <w:bCs/>
          <w:lang w:eastAsia="ja-JP"/>
        </w:rPr>
      </w:pPr>
    </w:p>
    <w:p w14:paraId="422F79ED" w14:textId="1D66E5CC" w:rsidR="00A970FF" w:rsidRDefault="00A970FF" w:rsidP="00085D2A">
      <w:pPr>
        <w:widowControl w:val="0"/>
        <w:spacing w:line="360" w:lineRule="auto"/>
        <w:jc w:val="both"/>
        <w:rPr>
          <w:rFonts w:asciiTheme="minorHAnsi" w:hAnsiTheme="minorHAnsi" w:cstheme="minorHAnsi"/>
          <w:bCs/>
          <w:lang w:eastAsia="ja-JP"/>
        </w:rPr>
      </w:pPr>
    </w:p>
    <w:p w14:paraId="0F8A81FA" w14:textId="0B785B5B" w:rsidR="00A970FF" w:rsidRDefault="00A970FF" w:rsidP="00085D2A">
      <w:pPr>
        <w:widowControl w:val="0"/>
        <w:spacing w:line="360" w:lineRule="auto"/>
        <w:jc w:val="both"/>
        <w:rPr>
          <w:rFonts w:asciiTheme="minorHAnsi" w:hAnsiTheme="minorHAnsi" w:cstheme="minorHAnsi"/>
          <w:bCs/>
          <w:lang w:eastAsia="ja-JP"/>
        </w:rPr>
      </w:pPr>
    </w:p>
    <w:p w14:paraId="23555940" w14:textId="3D32DE06" w:rsidR="00A970FF" w:rsidRDefault="00A970FF" w:rsidP="003521A1">
      <w:pPr>
        <w:widowControl w:val="0"/>
        <w:spacing w:line="360" w:lineRule="auto"/>
        <w:jc w:val="both"/>
        <w:rPr>
          <w:rFonts w:asciiTheme="minorHAnsi" w:hAnsiTheme="minorHAnsi" w:cstheme="minorHAnsi"/>
          <w:bCs/>
          <w:lang w:eastAsia="ja-JP"/>
        </w:rPr>
      </w:pPr>
    </w:p>
    <w:p w14:paraId="637C5A07" w14:textId="39BC0142" w:rsidR="00A970FF" w:rsidRDefault="00A970FF" w:rsidP="003521A1">
      <w:pPr>
        <w:widowControl w:val="0"/>
        <w:spacing w:line="360" w:lineRule="auto"/>
        <w:jc w:val="both"/>
        <w:rPr>
          <w:rFonts w:asciiTheme="minorHAnsi" w:hAnsiTheme="minorHAnsi" w:cstheme="minorHAnsi"/>
          <w:bCs/>
          <w:lang w:eastAsia="ja-JP"/>
        </w:rPr>
      </w:pPr>
    </w:p>
    <w:p w14:paraId="7C8900BD" w14:textId="4C59C2DC" w:rsidR="00A970FF" w:rsidRDefault="00A970FF" w:rsidP="003521A1">
      <w:pPr>
        <w:widowControl w:val="0"/>
        <w:spacing w:line="360" w:lineRule="auto"/>
        <w:jc w:val="both"/>
        <w:rPr>
          <w:rFonts w:asciiTheme="minorHAnsi" w:hAnsiTheme="minorHAnsi" w:cstheme="minorHAnsi"/>
          <w:bCs/>
          <w:lang w:eastAsia="ja-JP"/>
        </w:rPr>
      </w:pPr>
    </w:p>
    <w:p w14:paraId="2A9559B3" w14:textId="49735420" w:rsidR="00A970FF" w:rsidRDefault="00A970FF" w:rsidP="003521A1">
      <w:pPr>
        <w:widowControl w:val="0"/>
        <w:spacing w:line="360" w:lineRule="auto"/>
        <w:jc w:val="both"/>
        <w:rPr>
          <w:rFonts w:asciiTheme="minorHAnsi" w:hAnsiTheme="minorHAnsi" w:cstheme="minorHAnsi"/>
          <w:bCs/>
          <w:lang w:eastAsia="ja-JP"/>
        </w:rPr>
      </w:pPr>
    </w:p>
    <w:p w14:paraId="686F18AE" w14:textId="170CD582" w:rsidR="00A970FF" w:rsidRDefault="00A970FF" w:rsidP="003521A1">
      <w:pPr>
        <w:widowControl w:val="0"/>
        <w:spacing w:line="360" w:lineRule="auto"/>
        <w:jc w:val="both"/>
        <w:rPr>
          <w:rFonts w:asciiTheme="minorHAnsi" w:hAnsiTheme="minorHAnsi" w:cstheme="minorHAnsi"/>
          <w:bCs/>
          <w:lang w:eastAsia="ja-JP"/>
        </w:rPr>
      </w:pPr>
    </w:p>
    <w:p w14:paraId="62679731" w14:textId="55A2FE64" w:rsidR="00A970FF" w:rsidRDefault="00A970FF" w:rsidP="003521A1">
      <w:pPr>
        <w:widowControl w:val="0"/>
        <w:spacing w:line="360" w:lineRule="auto"/>
        <w:jc w:val="both"/>
        <w:rPr>
          <w:rFonts w:asciiTheme="minorHAnsi" w:hAnsiTheme="minorHAnsi" w:cstheme="minorHAnsi"/>
          <w:bCs/>
          <w:lang w:eastAsia="ja-JP"/>
        </w:rPr>
      </w:pPr>
    </w:p>
    <w:p w14:paraId="69062D8C" w14:textId="61E70F7B" w:rsidR="00A970FF" w:rsidRDefault="00A970FF" w:rsidP="003521A1">
      <w:pPr>
        <w:widowControl w:val="0"/>
        <w:spacing w:line="360" w:lineRule="auto"/>
        <w:jc w:val="both"/>
        <w:rPr>
          <w:rFonts w:asciiTheme="minorHAnsi" w:hAnsiTheme="minorHAnsi" w:cstheme="minorHAnsi"/>
          <w:bCs/>
          <w:lang w:eastAsia="ja-JP"/>
        </w:rPr>
      </w:pPr>
    </w:p>
    <w:p w14:paraId="7849C868" w14:textId="58DC37D5" w:rsidR="00A970FF" w:rsidRDefault="00A970FF" w:rsidP="003521A1">
      <w:pPr>
        <w:widowControl w:val="0"/>
        <w:spacing w:line="360" w:lineRule="auto"/>
        <w:jc w:val="both"/>
        <w:rPr>
          <w:rFonts w:asciiTheme="minorHAnsi" w:hAnsiTheme="minorHAnsi" w:cstheme="minorHAnsi"/>
          <w:bCs/>
          <w:lang w:eastAsia="ja-JP"/>
        </w:rPr>
      </w:pPr>
    </w:p>
    <w:p w14:paraId="1356D859" w14:textId="312F9DFC" w:rsidR="00A970FF" w:rsidRDefault="00A970FF" w:rsidP="003521A1">
      <w:pPr>
        <w:widowControl w:val="0"/>
        <w:spacing w:line="360" w:lineRule="auto"/>
        <w:jc w:val="both"/>
        <w:rPr>
          <w:rFonts w:asciiTheme="minorHAnsi" w:hAnsiTheme="minorHAnsi" w:cstheme="minorHAnsi"/>
          <w:bCs/>
          <w:lang w:eastAsia="ja-JP"/>
        </w:rPr>
      </w:pPr>
    </w:p>
    <w:p w14:paraId="0ACCA93D" w14:textId="3316BB3D" w:rsidR="00A970FF" w:rsidRDefault="00A970FF" w:rsidP="003521A1">
      <w:pPr>
        <w:widowControl w:val="0"/>
        <w:spacing w:line="360" w:lineRule="auto"/>
        <w:jc w:val="both"/>
        <w:rPr>
          <w:rFonts w:asciiTheme="minorHAnsi" w:hAnsiTheme="minorHAnsi" w:cstheme="minorHAnsi"/>
          <w:bCs/>
          <w:lang w:eastAsia="ja-JP"/>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E1D85" w:rsidRPr="007253C2" w14:paraId="499D19A0" w14:textId="77777777" w:rsidTr="00735537">
        <w:tc>
          <w:tcPr>
            <w:tcW w:w="9016" w:type="dxa"/>
          </w:tcPr>
          <w:p w14:paraId="67433109" w14:textId="77777777" w:rsidR="009E1D85" w:rsidRPr="007253C2" w:rsidRDefault="009E1D85" w:rsidP="00735537">
            <w:pPr>
              <w:pStyle w:val="Heading1"/>
              <w:outlineLvl w:val="0"/>
              <w:rPr>
                <w:rFonts w:asciiTheme="minorHAnsi" w:hAnsiTheme="minorHAnsi" w:cstheme="minorHAnsi"/>
                <w:b/>
                <w:sz w:val="48"/>
                <w:szCs w:val="48"/>
              </w:rPr>
            </w:pPr>
            <w:bookmarkStart w:id="10" w:name="_Toc48305440"/>
            <w:bookmarkStart w:id="11" w:name="_Toc48545803"/>
            <w:r>
              <w:rPr>
                <w:rFonts w:asciiTheme="minorHAnsi" w:hAnsiTheme="minorHAnsi" w:cstheme="minorHAnsi"/>
                <w:b/>
                <w:sz w:val="48"/>
                <w:szCs w:val="48"/>
              </w:rPr>
              <w:lastRenderedPageBreak/>
              <w:t>IMDRF Key Objectives 2021-2025</w:t>
            </w:r>
            <w:bookmarkEnd w:id="10"/>
            <w:bookmarkEnd w:id="11"/>
          </w:p>
          <w:p w14:paraId="17BD0608" w14:textId="77777777" w:rsidR="009E1D85" w:rsidRPr="00484882" w:rsidRDefault="009E1D85" w:rsidP="00735537">
            <w:pPr>
              <w:pStyle w:val="Heading1"/>
              <w:outlineLvl w:val="0"/>
              <w:rPr>
                <w:rFonts w:asciiTheme="minorHAnsi" w:hAnsiTheme="minorHAnsi" w:cstheme="minorHAnsi"/>
                <w:b/>
                <w:sz w:val="24"/>
                <w:szCs w:val="24"/>
              </w:rPr>
            </w:pPr>
          </w:p>
        </w:tc>
      </w:tr>
    </w:tbl>
    <w:p w14:paraId="61DF2273" w14:textId="77777777" w:rsidR="00085D2A" w:rsidRDefault="00085D2A" w:rsidP="009E1D85">
      <w:pPr>
        <w:pStyle w:val="ListParagraph"/>
        <w:spacing w:line="360" w:lineRule="auto"/>
        <w:ind w:left="0"/>
        <w:rPr>
          <w:rFonts w:asciiTheme="minorHAnsi" w:hAnsiTheme="minorHAnsi" w:cstheme="minorHAnsi"/>
          <w:bCs/>
          <w:lang w:eastAsia="ja-JP"/>
        </w:rPr>
      </w:pPr>
    </w:p>
    <w:p w14:paraId="4765158F" w14:textId="5AEA1972" w:rsidR="009E1D85" w:rsidRDefault="009E1D85" w:rsidP="009E1D85">
      <w:pPr>
        <w:pStyle w:val="ListParagraph"/>
        <w:spacing w:line="360" w:lineRule="auto"/>
        <w:ind w:left="0"/>
        <w:rPr>
          <w:rFonts w:asciiTheme="minorHAnsi" w:hAnsiTheme="minorHAnsi" w:cstheme="minorHAnsi"/>
          <w:bCs/>
          <w:lang w:eastAsia="ja-JP"/>
        </w:rPr>
      </w:pPr>
      <w:r w:rsidRPr="00F633AC">
        <w:rPr>
          <w:rFonts w:asciiTheme="minorHAnsi" w:hAnsiTheme="minorHAnsi" w:cstheme="minorHAnsi"/>
          <w:noProof/>
          <w:lang w:eastAsia="en-AU"/>
        </w:rPr>
        <mc:AlternateContent>
          <mc:Choice Requires="wps">
            <w:drawing>
              <wp:inline distT="0" distB="0" distL="0" distR="0" wp14:anchorId="0BF8DB61" wp14:editId="6504D634">
                <wp:extent cx="5745480" cy="602826"/>
                <wp:effectExtent l="0" t="0" r="26670" b="2603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602826"/>
                        </a:xfrm>
                        <a:prstGeom prst="rect">
                          <a:avLst/>
                        </a:prstGeom>
                        <a:solidFill>
                          <a:srgbClr val="A5B592">
                            <a:lumMod val="20000"/>
                            <a:lumOff val="80000"/>
                          </a:srgbClr>
                        </a:solidFill>
                        <a:ln w="9525">
                          <a:solidFill>
                            <a:srgbClr val="000000"/>
                          </a:solidFill>
                          <a:miter lim="800000"/>
                          <a:headEnd/>
                          <a:tailEnd/>
                        </a:ln>
                      </wps:spPr>
                      <wps:txbx>
                        <w:txbxContent>
                          <w:p w14:paraId="233F1DC0" w14:textId="40EBF709" w:rsidR="009E1D85" w:rsidRPr="00E36817" w:rsidRDefault="00085D2A" w:rsidP="00E36817">
                            <w:pPr>
                              <w:pStyle w:val="ListParagraph"/>
                              <w:numPr>
                                <w:ilvl w:val="0"/>
                                <w:numId w:val="18"/>
                              </w:numPr>
                              <w:spacing w:line="360" w:lineRule="auto"/>
                              <w:ind w:left="0"/>
                              <w:rPr>
                                <w:rFonts w:asciiTheme="minorHAnsi" w:hAnsiTheme="minorHAnsi" w:cstheme="minorHAnsi"/>
                                <w:bCs/>
                                <w:lang w:eastAsia="ja-JP"/>
                              </w:rPr>
                            </w:pPr>
                            <w:r>
                              <w:rPr>
                                <w:rFonts w:asciiTheme="minorHAnsi" w:hAnsiTheme="minorHAnsi" w:cstheme="minorHAnsi"/>
                                <w:b/>
                                <w:bCs/>
                                <w:i/>
                                <w:lang w:eastAsia="ja-JP"/>
                              </w:rPr>
                              <w:t xml:space="preserve">2. </w:t>
                            </w:r>
                            <w:r w:rsidR="009E1D85" w:rsidRPr="00E36817">
                              <w:rPr>
                                <w:rFonts w:asciiTheme="minorHAnsi" w:hAnsiTheme="minorHAnsi" w:cstheme="minorHAnsi"/>
                                <w:b/>
                                <w:bCs/>
                                <w:i/>
                                <w:lang w:eastAsia="ja-JP"/>
                              </w:rPr>
                              <w:t xml:space="preserve">Strengthening post-market surveillance for medical devices </w:t>
                            </w:r>
                            <w:r w:rsidR="00E36817" w:rsidRPr="00E36817">
                              <w:rPr>
                                <w:rFonts w:asciiTheme="minorHAnsi" w:hAnsiTheme="minorHAnsi" w:cstheme="minorHAnsi"/>
                                <w:b/>
                                <w:bCs/>
                                <w:i/>
                                <w:lang w:eastAsia="ja-JP"/>
                              </w:rPr>
                              <w:t xml:space="preserve">and implementing regulatory life cycle processes </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F8DB61" id="_x0000_s1029" type="#_x0000_t202" style="width:452.4pt;height:4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" fillcolor="#edf0e9">
                <v:textbox>
                  <w:txbxContent>
                    <w:p w14:paraId="233F1DC0" w14:textId="40EBF709" w:rsidR="009E1D85" w:rsidRPr="00E36817" w:rsidRDefault="00085D2A" w:rsidP="00E36817">
                      <w:pPr>
                        <w:pStyle w:val="ListParagraph"/>
                        <w:numPr>
                          <w:ilvl w:val="0"/>
                          <w:numId w:val="18"/>
                        </w:numPr>
                        <w:spacing w:line="360" w:lineRule="auto"/>
                        <w:ind w:left="0"/>
                        <w:rPr>
                          <w:rFonts w:asciiTheme="minorHAnsi" w:hAnsiTheme="minorHAnsi" w:cstheme="minorHAnsi"/>
                          <w:bCs/>
                          <w:lang w:eastAsia="ja-JP"/>
                        </w:rPr>
                      </w:pPr>
                      <w:r>
                        <w:rPr>
                          <w:rFonts w:asciiTheme="minorHAnsi" w:hAnsiTheme="minorHAnsi" w:cstheme="minorHAnsi"/>
                          <w:b/>
                          <w:bCs/>
                          <w:i/>
                          <w:lang w:eastAsia="ja-JP"/>
                        </w:rPr>
                        <w:t xml:space="preserve">2. </w:t>
                      </w:r>
                      <w:r w:rsidR="009E1D85" w:rsidRPr="00E36817">
                        <w:rPr>
                          <w:rFonts w:asciiTheme="minorHAnsi" w:hAnsiTheme="minorHAnsi" w:cstheme="minorHAnsi"/>
                          <w:b/>
                          <w:bCs/>
                          <w:i/>
                          <w:lang w:eastAsia="ja-JP"/>
                        </w:rPr>
                        <w:t xml:space="preserve">Strengthening post-market surveillance for medical devices </w:t>
                      </w:r>
                      <w:r w:rsidR="00E36817" w:rsidRPr="00E36817">
                        <w:rPr>
                          <w:rFonts w:asciiTheme="minorHAnsi" w:hAnsiTheme="minorHAnsi" w:cstheme="minorHAnsi"/>
                          <w:b/>
                          <w:bCs/>
                          <w:i/>
                          <w:lang w:eastAsia="ja-JP"/>
                        </w:rPr>
                        <w:t xml:space="preserve">and implementing regulatory life cycle processes </w:t>
                      </w:r>
                    </w:p>
                  </w:txbxContent>
                </v:textbox>
                <w10:anchorlock/>
              </v:shape>
            </w:pict>
          </mc:Fallback>
        </mc:AlternateContent>
      </w:r>
    </w:p>
    <w:p w14:paraId="757C7E82" w14:textId="77777777" w:rsidR="0000646D" w:rsidRPr="003D7B65" w:rsidRDefault="0000646D" w:rsidP="00085D2A">
      <w:pPr>
        <w:pStyle w:val="ListParagraph"/>
        <w:spacing w:line="360" w:lineRule="auto"/>
        <w:ind w:left="0"/>
        <w:jc w:val="both"/>
        <w:rPr>
          <w:rFonts w:asciiTheme="minorHAnsi" w:hAnsiTheme="minorHAnsi" w:cstheme="minorHAnsi"/>
          <w:bCs/>
          <w:sz w:val="16"/>
          <w:lang w:eastAsia="ja-JP"/>
        </w:rPr>
      </w:pPr>
    </w:p>
    <w:p w14:paraId="476143CA" w14:textId="44A64196" w:rsidR="009E1D85" w:rsidRDefault="009E1D85" w:rsidP="00085D2A">
      <w:pPr>
        <w:pStyle w:val="ListParagraph"/>
        <w:spacing w:line="360" w:lineRule="auto"/>
        <w:ind w:left="0"/>
        <w:jc w:val="both"/>
        <w:rPr>
          <w:rFonts w:asciiTheme="minorHAnsi" w:hAnsiTheme="minorHAnsi" w:cstheme="minorHAnsi"/>
          <w:bCs/>
          <w:lang w:eastAsia="ja-JP"/>
        </w:rPr>
      </w:pPr>
      <w:r w:rsidRPr="009E1D85">
        <w:rPr>
          <w:rFonts w:asciiTheme="minorHAnsi" w:hAnsiTheme="minorHAnsi" w:cstheme="minorHAnsi"/>
          <w:bCs/>
          <w:lang w:eastAsia="ja-JP"/>
        </w:rPr>
        <w:t xml:space="preserve">Medical devices have a relatively short development phase and controlled </w:t>
      </w:r>
      <w:r w:rsidR="00A93FA7" w:rsidRPr="009E1D85">
        <w:rPr>
          <w:rFonts w:asciiTheme="minorHAnsi" w:hAnsiTheme="minorHAnsi" w:cstheme="minorHAnsi"/>
          <w:bCs/>
          <w:lang w:eastAsia="ja-JP"/>
        </w:rPr>
        <w:t>clinical</w:t>
      </w:r>
      <w:r w:rsidRPr="009E1D85">
        <w:rPr>
          <w:rFonts w:asciiTheme="minorHAnsi" w:hAnsiTheme="minorHAnsi" w:cstheme="minorHAnsi"/>
          <w:bCs/>
          <w:lang w:eastAsia="ja-JP"/>
        </w:rPr>
        <w:t xml:space="preserve"> studies may not adequately reflect the real-world safety and effectiveness. Various factors come into play once the medical device is on the market which includes training and skill set of the users, user facility and infrastructure, environmental interference, diverse patient profiles and clinical practice differences. </w:t>
      </w:r>
      <w:r w:rsidR="0000646D">
        <w:rPr>
          <w:rFonts w:asciiTheme="minorHAnsi" w:hAnsiTheme="minorHAnsi" w:cstheme="minorHAnsi"/>
          <w:bCs/>
          <w:lang w:eastAsia="ja-JP"/>
        </w:rPr>
        <w:t>An</w:t>
      </w:r>
      <w:r w:rsidRPr="009E1D85">
        <w:rPr>
          <w:rFonts w:asciiTheme="minorHAnsi" w:hAnsiTheme="minorHAnsi" w:cstheme="minorHAnsi"/>
          <w:bCs/>
          <w:lang w:eastAsia="ja-JP"/>
        </w:rPr>
        <w:t xml:space="preserve"> effective post-market surveillance system is critical to continuously monitor feedback and implement improvements in a controlled manner under the manufacturer’s quality management system to make the medical device better in its future versions or iteration</w:t>
      </w:r>
      <w:r w:rsidRPr="00085D2A">
        <w:rPr>
          <w:rFonts w:asciiTheme="minorHAnsi" w:hAnsiTheme="minorHAnsi" w:cstheme="minorHAnsi"/>
          <w:bCs/>
          <w:lang w:eastAsia="ja-JP"/>
        </w:rPr>
        <w:t xml:space="preserve">s. </w:t>
      </w:r>
      <w:r w:rsidR="002D6BCE" w:rsidRPr="00085D2A">
        <w:rPr>
          <w:rFonts w:asciiTheme="minorHAnsi" w:hAnsiTheme="minorHAnsi" w:cstheme="minorHAnsi"/>
          <w:lang w:val="en-US"/>
        </w:rPr>
        <w:t>In order to collect post-marketing information efficiently, it is important to standardize information collected by regulators via post-market surveillance activities, such as via utilization of the Unique Device Identifier (UDI) System to precisely identify the implicated device and harmonized terminology for medical device reporting.</w:t>
      </w:r>
      <w:r w:rsidRPr="00085D2A">
        <w:rPr>
          <w:rFonts w:asciiTheme="minorHAnsi" w:hAnsiTheme="minorHAnsi" w:cstheme="minorHAnsi"/>
          <w:bCs/>
          <w:lang w:eastAsia="ja-JP"/>
        </w:rPr>
        <w:t xml:space="preserve">Where a </w:t>
      </w:r>
      <w:r w:rsidR="00E42011">
        <w:rPr>
          <w:rFonts w:asciiTheme="minorHAnsi" w:hAnsiTheme="minorHAnsi" w:cstheme="minorHAnsi"/>
          <w:bCs/>
          <w:lang w:eastAsia="ja-JP"/>
        </w:rPr>
        <w:t xml:space="preserve">defect or failure of a </w:t>
      </w:r>
      <w:r w:rsidRPr="00085D2A">
        <w:rPr>
          <w:rFonts w:asciiTheme="minorHAnsi" w:hAnsiTheme="minorHAnsi" w:cstheme="minorHAnsi"/>
          <w:bCs/>
          <w:lang w:eastAsia="ja-JP"/>
        </w:rPr>
        <w:t>device is identifie</w:t>
      </w:r>
      <w:r w:rsidRPr="009E1D85">
        <w:rPr>
          <w:rFonts w:asciiTheme="minorHAnsi" w:hAnsiTheme="minorHAnsi" w:cstheme="minorHAnsi"/>
          <w:bCs/>
          <w:lang w:eastAsia="ja-JP"/>
        </w:rPr>
        <w:t>d, appropriate actions to correct the issues identified and also measures to prevent recurrence of the defect is important</w:t>
      </w:r>
      <w:r w:rsidR="00E36817">
        <w:rPr>
          <w:rFonts w:asciiTheme="minorHAnsi" w:hAnsiTheme="minorHAnsi" w:cstheme="minorHAnsi"/>
          <w:bCs/>
          <w:lang w:eastAsia="ja-JP"/>
        </w:rPr>
        <w:t xml:space="preserve"> in the interest of patient health and safety</w:t>
      </w:r>
      <w:r w:rsidRPr="009E1D85">
        <w:rPr>
          <w:rFonts w:asciiTheme="minorHAnsi" w:hAnsiTheme="minorHAnsi" w:cstheme="minorHAnsi"/>
          <w:bCs/>
          <w:lang w:eastAsia="ja-JP"/>
        </w:rPr>
        <w:t xml:space="preserve">. </w:t>
      </w:r>
    </w:p>
    <w:p w14:paraId="48B35F0A" w14:textId="77777777" w:rsidR="009E1D85" w:rsidRPr="009E1D85" w:rsidRDefault="009E1D85" w:rsidP="00085D2A">
      <w:pPr>
        <w:pStyle w:val="ListParagraph"/>
        <w:spacing w:line="360" w:lineRule="auto"/>
        <w:ind w:left="0"/>
        <w:jc w:val="both"/>
        <w:rPr>
          <w:rFonts w:asciiTheme="minorHAnsi" w:hAnsiTheme="minorHAnsi" w:cstheme="minorHAnsi"/>
          <w:bCs/>
          <w:lang w:eastAsia="ja-JP"/>
        </w:rPr>
      </w:pPr>
    </w:p>
    <w:p w14:paraId="378196A1" w14:textId="77777777" w:rsidR="009E1D85" w:rsidRPr="009E1D85" w:rsidRDefault="009E1D85" w:rsidP="00085D2A">
      <w:pPr>
        <w:pStyle w:val="ListParagraph"/>
        <w:spacing w:line="360" w:lineRule="auto"/>
        <w:ind w:left="0"/>
        <w:jc w:val="both"/>
        <w:rPr>
          <w:rFonts w:asciiTheme="minorHAnsi" w:hAnsiTheme="minorHAnsi" w:cstheme="minorHAnsi"/>
          <w:bCs/>
          <w:lang w:eastAsia="ja-JP"/>
        </w:rPr>
      </w:pPr>
      <w:r w:rsidRPr="009E1D85">
        <w:rPr>
          <w:rFonts w:asciiTheme="minorHAnsi" w:hAnsiTheme="minorHAnsi" w:cstheme="minorHAnsi"/>
          <w:bCs/>
          <w:lang w:eastAsia="ja-JP"/>
        </w:rPr>
        <w:t xml:space="preserve">Post-market regulatory controls complement pre-market requirements for medical devices. While pre-market requirements can address known and foreseeable risks, an effective post-market surveillance is necessary to manage evolving and new risks effectively. In pursuing the strategic priorities, IMDRF would seek to assure an appropriate balance between pre-market and post-market requirements as part of a total product lifecycle regulatory approach to medical devices. </w:t>
      </w:r>
    </w:p>
    <w:p w14:paraId="46DAE1E2" w14:textId="18E43E61" w:rsidR="003521A1" w:rsidRDefault="003521A1" w:rsidP="00085D2A">
      <w:pPr>
        <w:jc w:val="both"/>
        <w:rPr>
          <w:rFonts w:asciiTheme="minorHAnsi" w:hAnsiTheme="minorHAnsi" w:cstheme="minorHAnsi"/>
          <w:bCs/>
          <w:lang w:eastAsia="ja-JP"/>
        </w:rPr>
      </w:pPr>
    </w:p>
    <w:p w14:paraId="05A0F854" w14:textId="0B63545C" w:rsidR="003521A1" w:rsidRDefault="003521A1" w:rsidP="00085D2A">
      <w:pPr>
        <w:pStyle w:val="ListParagraph"/>
        <w:spacing w:line="360" w:lineRule="auto"/>
        <w:ind w:left="0"/>
        <w:jc w:val="both"/>
        <w:rPr>
          <w:rFonts w:asciiTheme="minorHAnsi" w:hAnsiTheme="minorHAnsi" w:cstheme="minorHAnsi"/>
          <w:bCs/>
          <w:lang w:eastAsia="ja-JP"/>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25549" w:rsidRPr="007253C2" w14:paraId="6B2F24E8" w14:textId="77777777" w:rsidTr="00FB1B2F">
        <w:tc>
          <w:tcPr>
            <w:tcW w:w="9016" w:type="dxa"/>
          </w:tcPr>
          <w:p w14:paraId="06D58BC3" w14:textId="36A4353C" w:rsidR="00525549" w:rsidRPr="007253C2" w:rsidRDefault="00F7725C" w:rsidP="00FB1B2F">
            <w:pPr>
              <w:pStyle w:val="Heading1"/>
              <w:outlineLvl w:val="0"/>
              <w:rPr>
                <w:rFonts w:asciiTheme="minorHAnsi" w:hAnsiTheme="minorHAnsi" w:cstheme="minorHAnsi"/>
                <w:b/>
                <w:sz w:val="48"/>
                <w:szCs w:val="48"/>
              </w:rPr>
            </w:pPr>
            <w:bookmarkStart w:id="12" w:name="_Toc48545804"/>
            <w:r>
              <w:rPr>
                <w:rFonts w:asciiTheme="minorHAnsi" w:hAnsiTheme="minorHAnsi" w:cstheme="minorHAnsi"/>
                <w:b/>
                <w:sz w:val="48"/>
                <w:szCs w:val="48"/>
              </w:rPr>
              <w:lastRenderedPageBreak/>
              <w:t xml:space="preserve">IMDRF </w:t>
            </w:r>
            <w:r w:rsidR="00525549">
              <w:rPr>
                <w:rFonts w:asciiTheme="minorHAnsi" w:hAnsiTheme="minorHAnsi" w:cstheme="minorHAnsi"/>
                <w:b/>
                <w:sz w:val="48"/>
                <w:szCs w:val="48"/>
              </w:rPr>
              <w:t xml:space="preserve">Key Priorities </w:t>
            </w:r>
            <w:r>
              <w:rPr>
                <w:rFonts w:asciiTheme="minorHAnsi" w:hAnsiTheme="minorHAnsi" w:cstheme="minorHAnsi"/>
                <w:b/>
                <w:sz w:val="48"/>
                <w:szCs w:val="48"/>
              </w:rPr>
              <w:t>2021-</w:t>
            </w:r>
            <w:r w:rsidR="00525549">
              <w:rPr>
                <w:rFonts w:asciiTheme="minorHAnsi" w:hAnsiTheme="minorHAnsi" w:cstheme="minorHAnsi"/>
                <w:b/>
                <w:sz w:val="48"/>
                <w:szCs w:val="48"/>
              </w:rPr>
              <w:t>2025</w:t>
            </w:r>
            <w:bookmarkEnd w:id="12"/>
          </w:p>
          <w:p w14:paraId="495F6193" w14:textId="77777777" w:rsidR="00525549" w:rsidRPr="00484882" w:rsidRDefault="00525549" w:rsidP="00FB1B2F">
            <w:pPr>
              <w:pStyle w:val="Heading1"/>
              <w:outlineLvl w:val="0"/>
              <w:rPr>
                <w:rFonts w:asciiTheme="minorHAnsi" w:hAnsiTheme="minorHAnsi" w:cstheme="minorHAnsi"/>
                <w:b/>
                <w:sz w:val="24"/>
                <w:szCs w:val="24"/>
              </w:rPr>
            </w:pPr>
          </w:p>
        </w:tc>
      </w:tr>
    </w:tbl>
    <w:p w14:paraId="3023B9A3" w14:textId="77777777" w:rsidR="00525549" w:rsidRPr="003D7B65" w:rsidRDefault="00525549" w:rsidP="00C03098">
      <w:pPr>
        <w:rPr>
          <w:rFonts w:asciiTheme="minorHAnsi" w:hAnsiTheme="minorHAnsi" w:cstheme="minorHAnsi"/>
          <w:bCs/>
          <w:i/>
          <w:sz w:val="2"/>
          <w:lang w:eastAsia="ja-JP"/>
        </w:rPr>
      </w:pPr>
    </w:p>
    <w:p w14:paraId="2477BB29" w14:textId="32401D62" w:rsidR="00C03098" w:rsidRDefault="00C03098" w:rsidP="00C03098">
      <w:pPr>
        <w:rPr>
          <w:rFonts w:asciiTheme="minorHAnsi" w:hAnsiTheme="minorHAnsi" w:cstheme="minorHAnsi"/>
          <w:bCs/>
          <w:i/>
          <w:lang w:eastAsia="ja-JP"/>
        </w:rPr>
      </w:pPr>
      <w:r>
        <w:rPr>
          <w:rFonts w:asciiTheme="minorHAnsi" w:hAnsiTheme="minorHAnsi" w:cstheme="minorHAnsi"/>
          <w:bCs/>
          <w:i/>
          <w:lang w:eastAsia="ja-JP"/>
        </w:rPr>
        <w:t>T</w:t>
      </w:r>
      <w:r w:rsidRPr="00904C51">
        <w:rPr>
          <w:rFonts w:asciiTheme="minorHAnsi" w:hAnsiTheme="minorHAnsi" w:cstheme="minorHAnsi"/>
          <w:bCs/>
          <w:i/>
          <w:lang w:eastAsia="ja-JP"/>
        </w:rPr>
        <w:t>o improve accessibility to safe medical device</w:t>
      </w:r>
      <w:r>
        <w:rPr>
          <w:rFonts w:asciiTheme="minorHAnsi" w:hAnsiTheme="minorHAnsi" w:cstheme="minorHAnsi"/>
          <w:bCs/>
          <w:i/>
          <w:lang w:eastAsia="ja-JP"/>
        </w:rPr>
        <w:t xml:space="preserve">s, key areas of opportunity </w:t>
      </w:r>
      <w:r w:rsidR="0000646D">
        <w:rPr>
          <w:rFonts w:asciiTheme="minorHAnsi" w:hAnsiTheme="minorHAnsi" w:cstheme="minorHAnsi"/>
          <w:bCs/>
          <w:i/>
          <w:lang w:eastAsia="ja-JP"/>
        </w:rPr>
        <w:t>arise</w:t>
      </w:r>
      <w:r w:rsidRPr="00904C51">
        <w:rPr>
          <w:rFonts w:asciiTheme="minorHAnsi" w:hAnsiTheme="minorHAnsi" w:cstheme="minorHAnsi"/>
          <w:bCs/>
          <w:i/>
          <w:lang w:eastAsia="ja-JP"/>
        </w:rPr>
        <w:t xml:space="preserve"> in achieving greater global convergence of pre- and post-market requirements and regulatory reviews. </w:t>
      </w:r>
    </w:p>
    <w:p w14:paraId="69708E85" w14:textId="77777777" w:rsidR="00C03098" w:rsidRDefault="00C03098" w:rsidP="005F32C8">
      <w:pPr>
        <w:rPr>
          <w:rFonts w:asciiTheme="minorHAnsi" w:hAnsiTheme="minorHAnsi" w:cstheme="minorHAnsi"/>
          <w:b/>
          <w:bCs/>
          <w:sz w:val="12"/>
          <w:szCs w:val="28"/>
          <w:lang w:eastAsia="ja-JP"/>
        </w:rPr>
      </w:pPr>
    </w:p>
    <w:p w14:paraId="5498C1E7" w14:textId="20AEB55E" w:rsidR="003D7B65" w:rsidRPr="003D7B65" w:rsidRDefault="003D7B65" w:rsidP="005F32C8">
      <w:pPr>
        <w:rPr>
          <w:rFonts w:asciiTheme="minorHAnsi" w:hAnsiTheme="minorHAnsi" w:cstheme="minorHAnsi"/>
          <w:b/>
          <w:bCs/>
          <w:sz w:val="2"/>
          <w:szCs w:val="28"/>
          <w:lang w:eastAsia="ja-JP"/>
        </w:rPr>
        <w:sectPr w:rsidR="003D7B65" w:rsidRPr="003D7B65" w:rsidSect="00111253">
          <w:footerReference w:type="default" r:id="rId16"/>
          <w:type w:val="continuous"/>
          <w:pgSz w:w="11906" w:h="16838"/>
          <w:pgMar w:top="1440" w:right="1440" w:bottom="1440" w:left="1418" w:header="709" w:footer="709" w:gutter="0"/>
          <w:pgNumType w:start="1"/>
          <w:cols w:space="235"/>
          <w:titlePg/>
          <w:docGrid w:linePitch="360"/>
        </w:sectPr>
      </w:pPr>
    </w:p>
    <w:p w14:paraId="5D1523E9" w14:textId="152553EE" w:rsidR="00120348" w:rsidRPr="00904C51" w:rsidRDefault="00A84283" w:rsidP="005F32C8">
      <w:pPr>
        <w:rPr>
          <w:rFonts w:asciiTheme="minorHAnsi" w:hAnsiTheme="minorHAnsi" w:cstheme="minorHAnsi"/>
          <w:b/>
          <w:bCs/>
          <w:sz w:val="28"/>
          <w:szCs w:val="28"/>
          <w:lang w:eastAsia="ja-JP"/>
        </w:rPr>
      </w:pPr>
      <w:r>
        <w:rPr>
          <w:rFonts w:asciiTheme="minorHAnsi" w:hAnsiTheme="minorHAnsi" w:cstheme="minorHAnsi"/>
          <w:b/>
          <w:bCs/>
          <w:sz w:val="28"/>
          <w:szCs w:val="28"/>
          <w:lang w:eastAsia="ja-JP"/>
        </w:rPr>
        <w:t>P</w:t>
      </w:r>
      <w:r w:rsidR="00120348" w:rsidRPr="00904C51">
        <w:rPr>
          <w:rFonts w:asciiTheme="minorHAnsi" w:hAnsiTheme="minorHAnsi" w:cstheme="minorHAnsi"/>
          <w:b/>
          <w:bCs/>
          <w:sz w:val="28"/>
          <w:szCs w:val="28"/>
          <w:lang w:eastAsia="ja-JP"/>
        </w:rPr>
        <w:t>riority areas</w:t>
      </w:r>
    </w:p>
    <w:p w14:paraId="58F66CB3" w14:textId="77777777" w:rsidR="00BA2B31" w:rsidRDefault="00611B6B" w:rsidP="005F32C8">
      <w:pPr>
        <w:rPr>
          <w:rFonts w:asciiTheme="minorHAnsi" w:hAnsiTheme="minorHAnsi" w:cstheme="minorHAnsi"/>
          <w:bCs/>
          <w:lang w:eastAsia="ja-JP"/>
        </w:rPr>
      </w:pPr>
      <w:r>
        <w:rPr>
          <w:rFonts w:asciiTheme="minorHAnsi" w:hAnsiTheme="minorHAnsi" w:cstheme="minorHAnsi"/>
          <w:bCs/>
          <w:lang w:eastAsia="ja-JP"/>
        </w:rPr>
        <w:t>To deliver our key objectives, IMDRF will prioritise work on</w:t>
      </w:r>
      <w:r w:rsidR="00BA2B31">
        <w:rPr>
          <w:rFonts w:asciiTheme="minorHAnsi" w:hAnsiTheme="minorHAnsi" w:cstheme="minorHAnsi"/>
          <w:bCs/>
          <w:lang w:eastAsia="ja-JP"/>
        </w:rPr>
        <w:t>:</w:t>
      </w:r>
    </w:p>
    <w:p w14:paraId="70E7D719" w14:textId="4507FCF1" w:rsidR="00611B6B" w:rsidRDefault="00BA2B31" w:rsidP="00667A13">
      <w:pPr>
        <w:pStyle w:val="ListParagraph"/>
        <w:numPr>
          <w:ilvl w:val="0"/>
          <w:numId w:val="22"/>
        </w:numPr>
        <w:rPr>
          <w:rFonts w:asciiTheme="minorHAnsi" w:hAnsiTheme="minorHAnsi" w:cstheme="minorHAnsi"/>
          <w:bCs/>
          <w:lang w:eastAsia="ja-JP"/>
        </w:rPr>
      </w:pPr>
      <w:r>
        <w:rPr>
          <w:rFonts w:asciiTheme="minorHAnsi" w:hAnsiTheme="minorHAnsi" w:cstheme="minorHAnsi"/>
          <w:bCs/>
          <w:lang w:eastAsia="ja-JP"/>
        </w:rPr>
        <w:t>Pre-market</w:t>
      </w:r>
    </w:p>
    <w:p w14:paraId="5E7F93F3" w14:textId="7E4B0D98" w:rsidR="00BA2B31" w:rsidRDefault="00BA2B31" w:rsidP="00667A13">
      <w:pPr>
        <w:pStyle w:val="ListParagraph"/>
        <w:numPr>
          <w:ilvl w:val="0"/>
          <w:numId w:val="22"/>
        </w:numPr>
        <w:rPr>
          <w:rFonts w:asciiTheme="minorHAnsi" w:hAnsiTheme="minorHAnsi" w:cstheme="minorHAnsi"/>
          <w:bCs/>
          <w:lang w:eastAsia="ja-JP"/>
        </w:rPr>
      </w:pPr>
      <w:r>
        <w:rPr>
          <w:rFonts w:asciiTheme="minorHAnsi" w:hAnsiTheme="minorHAnsi" w:cstheme="minorHAnsi"/>
          <w:bCs/>
          <w:lang w:eastAsia="ja-JP"/>
        </w:rPr>
        <w:t>Post-market</w:t>
      </w:r>
    </w:p>
    <w:p w14:paraId="20558E23" w14:textId="68BAF819" w:rsidR="00E72C8E" w:rsidRDefault="00E72C8E" w:rsidP="00667A13">
      <w:pPr>
        <w:pStyle w:val="ListParagraph"/>
        <w:numPr>
          <w:ilvl w:val="0"/>
          <w:numId w:val="22"/>
        </w:numPr>
        <w:rPr>
          <w:rFonts w:asciiTheme="minorHAnsi" w:hAnsiTheme="minorHAnsi" w:cstheme="minorHAnsi"/>
          <w:bCs/>
          <w:lang w:eastAsia="ja-JP"/>
        </w:rPr>
      </w:pPr>
      <w:r>
        <w:rPr>
          <w:rFonts w:asciiTheme="minorHAnsi" w:hAnsiTheme="minorHAnsi" w:cstheme="minorHAnsi"/>
          <w:bCs/>
          <w:lang w:eastAsia="ja-JP"/>
        </w:rPr>
        <w:t>Relationships with stakeholders</w:t>
      </w:r>
    </w:p>
    <w:p w14:paraId="5DAA6E52" w14:textId="1A7EE702" w:rsidR="00FA4D1B" w:rsidRPr="00FA4D1B" w:rsidRDefault="00FA4D1B" w:rsidP="00FA4D1B">
      <w:pPr>
        <w:rPr>
          <w:rFonts w:asciiTheme="minorHAnsi" w:hAnsiTheme="minorHAnsi" w:cstheme="minorHAnsi"/>
          <w:bCs/>
          <w:lang w:eastAsia="ja-JP"/>
        </w:rPr>
      </w:pPr>
      <w:r w:rsidRPr="00FA4D1B">
        <w:rPr>
          <w:rFonts w:asciiTheme="minorHAnsi" w:hAnsiTheme="minorHAnsi" w:cstheme="minorHAnsi"/>
          <w:bCs/>
          <w:lang w:eastAsia="ja-JP"/>
        </w:rPr>
        <w:t>The priority areas are interdependent. Success will require concerted action across all these areas.</w:t>
      </w:r>
    </w:p>
    <w:p w14:paraId="0F0F9A35" w14:textId="28F6CD63" w:rsidR="00391A42" w:rsidRPr="00904C51" w:rsidRDefault="005F32C8" w:rsidP="005F32C8">
      <w:pPr>
        <w:rPr>
          <w:rFonts w:asciiTheme="minorHAnsi" w:hAnsiTheme="minorHAnsi" w:cstheme="minorHAnsi"/>
          <w:b/>
          <w:bCs/>
          <w:sz w:val="28"/>
          <w:szCs w:val="28"/>
          <w:lang w:eastAsia="ja-JP"/>
        </w:rPr>
      </w:pPr>
      <w:r w:rsidRPr="00904C51">
        <w:rPr>
          <w:rFonts w:asciiTheme="minorHAnsi" w:hAnsiTheme="minorHAnsi" w:cstheme="minorHAnsi"/>
          <w:bCs/>
          <w:lang w:eastAsia="ja-JP"/>
        </w:rPr>
        <w:br w:type="column"/>
      </w:r>
      <w:r w:rsidR="00120348" w:rsidRPr="00904C51">
        <w:rPr>
          <w:rFonts w:asciiTheme="minorHAnsi" w:hAnsiTheme="minorHAnsi" w:cstheme="minorHAnsi"/>
          <w:b/>
          <w:bCs/>
          <w:sz w:val="28"/>
          <w:szCs w:val="28"/>
          <w:lang w:eastAsia="ja-JP"/>
        </w:rPr>
        <w:t>Plan of Action</w:t>
      </w:r>
    </w:p>
    <w:p w14:paraId="407557C1" w14:textId="7D122B8C" w:rsidR="00FA4D1B" w:rsidRDefault="00FA4D1B" w:rsidP="004651A0">
      <w:pPr>
        <w:rPr>
          <w:rFonts w:asciiTheme="minorHAnsi" w:hAnsiTheme="minorHAnsi" w:cstheme="minorHAnsi"/>
          <w:bCs/>
          <w:lang w:eastAsia="ja-JP"/>
        </w:rPr>
      </w:pPr>
      <w:r w:rsidRPr="00FA4D1B">
        <w:rPr>
          <w:rFonts w:asciiTheme="minorHAnsi" w:hAnsiTheme="minorHAnsi" w:cstheme="minorHAnsi"/>
          <w:bCs/>
          <w:lang w:eastAsia="ja-JP"/>
        </w:rPr>
        <w:t xml:space="preserve">In this section we describe each of our priority areas and the initiatives that will support their achievement. The initiatives provide an ambitious but achievable program of work. However, they are not intended as a prescriptive roadmap and are not an exhaustive list of everything we will do. We know that constant change is part of our environment and we will be ready to adapt and respond to new opportunities and challenges that emerge over the next </w:t>
      </w:r>
      <w:r w:rsidR="00E25FF0">
        <w:rPr>
          <w:rFonts w:asciiTheme="minorHAnsi" w:hAnsiTheme="minorHAnsi" w:cstheme="minorHAnsi"/>
          <w:bCs/>
          <w:lang w:eastAsia="ja-JP"/>
        </w:rPr>
        <w:t>five</w:t>
      </w:r>
      <w:r w:rsidR="00E25FF0" w:rsidRPr="00FA4D1B">
        <w:rPr>
          <w:rFonts w:asciiTheme="minorHAnsi" w:hAnsiTheme="minorHAnsi" w:cstheme="minorHAnsi"/>
          <w:bCs/>
          <w:lang w:eastAsia="ja-JP"/>
        </w:rPr>
        <w:t xml:space="preserve"> </w:t>
      </w:r>
      <w:r w:rsidRPr="00FA4D1B">
        <w:rPr>
          <w:rFonts w:asciiTheme="minorHAnsi" w:hAnsiTheme="minorHAnsi" w:cstheme="minorHAnsi"/>
          <w:bCs/>
          <w:lang w:eastAsia="ja-JP"/>
        </w:rPr>
        <w:t xml:space="preserve">years. </w:t>
      </w:r>
    </w:p>
    <w:p w14:paraId="7A103136" w14:textId="60E2EC48" w:rsidR="005F32C8" w:rsidRDefault="00464D63" w:rsidP="005F32C8">
      <w:pPr>
        <w:rPr>
          <w:rFonts w:asciiTheme="minorHAnsi" w:hAnsiTheme="minorHAnsi" w:cstheme="minorHAnsi"/>
          <w:b/>
          <w:bCs/>
          <w:sz w:val="28"/>
          <w:szCs w:val="28"/>
          <w:lang w:eastAsia="ja-JP"/>
        </w:rPr>
      </w:pPr>
      <w:r w:rsidRPr="00904C51">
        <w:rPr>
          <w:rFonts w:asciiTheme="minorHAnsi" w:hAnsiTheme="minorHAnsi" w:cstheme="minorHAnsi"/>
          <w:noProof/>
          <w:lang w:eastAsia="en-AU"/>
        </w:rPr>
        <w:drawing>
          <wp:anchor distT="0" distB="0" distL="114300" distR="114300" simplePos="0" relativeHeight="251664384" behindDoc="0" locked="0" layoutInCell="1" allowOverlap="1" wp14:anchorId="6227DDBD" wp14:editId="387F3200">
            <wp:simplePos x="0" y="0"/>
            <wp:positionH relativeFrom="column">
              <wp:posOffset>837046</wp:posOffset>
            </wp:positionH>
            <wp:positionV relativeFrom="paragraph">
              <wp:posOffset>219364</wp:posOffset>
            </wp:positionV>
            <wp:extent cx="414655" cy="474345"/>
            <wp:effectExtent l="0" t="0" r="4445" b="1905"/>
            <wp:wrapThrough wrapText="bothSides">
              <wp:wrapPolygon edited="0">
                <wp:start x="0" y="0"/>
                <wp:lineTo x="0" y="20819"/>
                <wp:lineTo x="20839" y="20819"/>
                <wp:lineTo x="2083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4655" cy="474345"/>
                    </a:xfrm>
                    <a:prstGeom prst="rect">
                      <a:avLst/>
                    </a:prstGeom>
                  </pic:spPr>
                </pic:pic>
              </a:graphicData>
            </a:graphic>
            <wp14:sizeRelH relativeFrom="page">
              <wp14:pctWidth>0</wp14:pctWidth>
            </wp14:sizeRelH>
            <wp14:sizeRelV relativeFrom="page">
              <wp14:pctHeight>0</wp14:pctHeight>
            </wp14:sizeRelV>
          </wp:anchor>
        </w:drawing>
      </w:r>
      <w:r w:rsidRPr="00904C51">
        <w:rPr>
          <w:rFonts w:asciiTheme="minorHAnsi" w:hAnsiTheme="minorHAnsi" w:cstheme="minorHAnsi"/>
          <w:noProof/>
          <w:lang w:eastAsia="en-AU"/>
        </w:rPr>
        <w:drawing>
          <wp:anchor distT="0" distB="0" distL="114300" distR="114300" simplePos="0" relativeHeight="251676672" behindDoc="1" locked="0" layoutInCell="1" allowOverlap="1" wp14:anchorId="38A40A8C" wp14:editId="30D5873A">
            <wp:simplePos x="0" y="0"/>
            <wp:positionH relativeFrom="margin">
              <wp:posOffset>4181244</wp:posOffset>
            </wp:positionH>
            <wp:positionV relativeFrom="paragraph">
              <wp:posOffset>1552228</wp:posOffset>
            </wp:positionV>
            <wp:extent cx="505622" cy="337625"/>
            <wp:effectExtent l="0" t="0" r="889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5622" cy="337625"/>
                    </a:xfrm>
                    <a:prstGeom prst="rect">
                      <a:avLst/>
                    </a:prstGeom>
                  </pic:spPr>
                </pic:pic>
              </a:graphicData>
            </a:graphic>
            <wp14:sizeRelH relativeFrom="page">
              <wp14:pctWidth>0</wp14:pctWidth>
            </wp14:sizeRelH>
            <wp14:sizeRelV relativeFrom="page">
              <wp14:pctHeight>0</wp14:pctHeight>
            </wp14:sizeRelV>
          </wp:anchor>
        </w:drawing>
      </w:r>
      <w:r w:rsidR="005F32C8" w:rsidRPr="00904C51">
        <w:rPr>
          <w:rFonts w:asciiTheme="minorHAnsi" w:hAnsiTheme="minorHAnsi" w:cstheme="minorHAnsi"/>
          <w:bCs/>
          <w:lang w:eastAsia="ja-JP"/>
        </w:rPr>
        <w:br w:type="column"/>
      </w:r>
      <w:r w:rsidR="004D3D6D" w:rsidRPr="004D3D6D">
        <w:rPr>
          <w:rFonts w:asciiTheme="minorHAnsi" w:hAnsiTheme="minorHAnsi" w:cstheme="minorHAnsi"/>
          <w:b/>
          <w:bCs/>
          <w:lang w:eastAsia="ja-JP"/>
        </w:rPr>
        <w:t>M</w:t>
      </w:r>
      <w:r w:rsidR="00120348" w:rsidRPr="00904C51">
        <w:rPr>
          <w:rFonts w:asciiTheme="minorHAnsi" w:hAnsiTheme="minorHAnsi" w:cstheme="minorHAnsi"/>
          <w:b/>
          <w:bCs/>
          <w:sz w:val="28"/>
          <w:szCs w:val="28"/>
          <w:lang w:eastAsia="ja-JP"/>
        </w:rPr>
        <w:t xml:space="preserve">easures of success </w:t>
      </w:r>
    </w:p>
    <w:p w14:paraId="0B2FA79C" w14:textId="77777777" w:rsidR="00F05D27" w:rsidRDefault="00877BDB" w:rsidP="005F32C8">
      <w:pPr>
        <w:rPr>
          <w:rFonts w:asciiTheme="minorHAnsi" w:hAnsiTheme="minorHAnsi" w:cstheme="minorHAnsi"/>
          <w:bCs/>
          <w:lang w:eastAsia="ja-JP"/>
        </w:rPr>
      </w:pPr>
      <w:r w:rsidRPr="00A84283">
        <w:rPr>
          <w:rFonts w:asciiTheme="minorHAnsi" w:hAnsiTheme="minorHAnsi" w:cstheme="minorHAnsi"/>
          <w:bCs/>
          <w:lang w:eastAsia="ja-JP"/>
        </w:rPr>
        <w:t xml:space="preserve">For our Strategic Plan to be successful </w:t>
      </w:r>
      <w:r w:rsidR="00F05D27">
        <w:rPr>
          <w:rFonts w:asciiTheme="minorHAnsi" w:hAnsiTheme="minorHAnsi" w:cstheme="minorHAnsi"/>
          <w:bCs/>
          <w:lang w:eastAsia="ja-JP"/>
        </w:rPr>
        <w:t xml:space="preserve">the outcomes </w:t>
      </w:r>
      <w:r w:rsidRPr="00A84283">
        <w:rPr>
          <w:rFonts w:asciiTheme="minorHAnsi" w:hAnsiTheme="minorHAnsi" w:cstheme="minorHAnsi"/>
          <w:bCs/>
          <w:lang w:eastAsia="ja-JP"/>
        </w:rPr>
        <w:t xml:space="preserve">must also be measurable. </w:t>
      </w:r>
    </w:p>
    <w:p w14:paraId="0123BAE0" w14:textId="36C64F6E" w:rsidR="00877BDB" w:rsidRPr="00A84283" w:rsidRDefault="00F05D27" w:rsidP="005F32C8">
      <w:pPr>
        <w:rPr>
          <w:rFonts w:asciiTheme="minorHAnsi" w:hAnsiTheme="minorHAnsi" w:cstheme="minorHAnsi"/>
          <w:bCs/>
          <w:lang w:eastAsia="ja-JP"/>
        </w:rPr>
      </w:pPr>
      <w:r>
        <w:rPr>
          <w:rFonts w:asciiTheme="minorHAnsi" w:hAnsiTheme="minorHAnsi" w:cstheme="minorHAnsi"/>
          <w:bCs/>
          <w:lang w:eastAsia="ja-JP"/>
        </w:rPr>
        <w:t xml:space="preserve">The </w:t>
      </w:r>
      <w:r w:rsidR="00FA4D1B">
        <w:rPr>
          <w:rFonts w:asciiTheme="minorHAnsi" w:hAnsiTheme="minorHAnsi" w:cstheme="minorHAnsi"/>
          <w:bCs/>
          <w:lang w:eastAsia="ja-JP"/>
        </w:rPr>
        <w:t>IMDRF MC</w:t>
      </w:r>
      <w:r w:rsidR="00877BDB" w:rsidRPr="00A84283">
        <w:rPr>
          <w:rFonts w:asciiTheme="minorHAnsi" w:hAnsiTheme="minorHAnsi" w:cstheme="minorHAnsi"/>
          <w:bCs/>
          <w:lang w:eastAsia="ja-JP"/>
        </w:rPr>
        <w:t xml:space="preserve"> </w:t>
      </w:r>
      <w:r>
        <w:rPr>
          <w:rFonts w:asciiTheme="minorHAnsi" w:hAnsiTheme="minorHAnsi" w:cstheme="minorHAnsi"/>
          <w:bCs/>
          <w:lang w:eastAsia="ja-JP"/>
        </w:rPr>
        <w:t xml:space="preserve">will </w:t>
      </w:r>
      <w:r w:rsidR="00877BDB" w:rsidRPr="00A84283">
        <w:rPr>
          <w:rFonts w:asciiTheme="minorHAnsi" w:hAnsiTheme="minorHAnsi" w:cstheme="minorHAnsi"/>
          <w:bCs/>
          <w:lang w:eastAsia="ja-JP"/>
        </w:rPr>
        <w:t xml:space="preserve">monitor and report </w:t>
      </w:r>
      <w:r w:rsidR="00FA4D1B">
        <w:rPr>
          <w:rFonts w:asciiTheme="minorHAnsi" w:hAnsiTheme="minorHAnsi" w:cstheme="minorHAnsi"/>
          <w:bCs/>
          <w:lang w:eastAsia="ja-JP"/>
        </w:rPr>
        <w:t xml:space="preserve">on </w:t>
      </w:r>
      <w:r>
        <w:rPr>
          <w:rFonts w:asciiTheme="minorHAnsi" w:hAnsiTheme="minorHAnsi" w:cstheme="minorHAnsi"/>
          <w:bCs/>
          <w:lang w:eastAsia="ja-JP"/>
        </w:rPr>
        <w:t>the progress of its work and implementation of IMDRF outputs</w:t>
      </w:r>
      <w:r w:rsidR="00877BDB" w:rsidRPr="00A84283">
        <w:rPr>
          <w:rFonts w:asciiTheme="minorHAnsi" w:hAnsiTheme="minorHAnsi" w:cstheme="minorHAnsi"/>
          <w:bCs/>
          <w:lang w:eastAsia="ja-JP"/>
        </w:rPr>
        <w:t xml:space="preserve">. </w:t>
      </w:r>
    </w:p>
    <w:p w14:paraId="71698CA2" w14:textId="77777777" w:rsidR="00BA2B31" w:rsidRDefault="00BA2B31">
      <w:pPr>
        <w:rPr>
          <w:rFonts w:asciiTheme="minorHAnsi" w:hAnsiTheme="minorHAnsi" w:cstheme="minorHAnsi"/>
        </w:rPr>
        <w:sectPr w:rsidR="00BA2B31" w:rsidSect="00BA2B31">
          <w:type w:val="continuous"/>
          <w:pgSz w:w="11906" w:h="16838"/>
          <w:pgMar w:top="1440" w:right="1440" w:bottom="1440" w:left="1418" w:header="708" w:footer="708" w:gutter="0"/>
          <w:cols w:num="3" w:space="397"/>
          <w:titlePg/>
          <w:docGrid w:linePitch="360"/>
        </w:sectPr>
      </w:pPr>
    </w:p>
    <w:p w14:paraId="4A3241DA" w14:textId="15679906" w:rsidR="003F5DD3" w:rsidRPr="00904C51" w:rsidRDefault="004F5A30">
      <w:pPr>
        <w:rPr>
          <w:rFonts w:asciiTheme="minorHAnsi" w:hAnsiTheme="minorHAnsi" w:cstheme="minorHAnsi"/>
        </w:rPr>
      </w:pPr>
      <w:r w:rsidRPr="00904C51">
        <w:rPr>
          <w:rFonts w:asciiTheme="minorHAnsi" w:hAnsiTheme="minorHAnsi" w:cstheme="minorHAnsi"/>
          <w:bCs/>
          <w:noProof/>
          <w:lang w:eastAsia="en-AU"/>
        </w:rPr>
        <w:drawing>
          <wp:anchor distT="0" distB="0" distL="114300" distR="114300" simplePos="0" relativeHeight="251678720" behindDoc="1" locked="0" layoutInCell="1" allowOverlap="1" wp14:anchorId="38259412" wp14:editId="56CEBBEE">
            <wp:simplePos x="0" y="0"/>
            <wp:positionH relativeFrom="column">
              <wp:posOffset>1218738</wp:posOffset>
            </wp:positionH>
            <wp:positionV relativeFrom="paragraph">
              <wp:posOffset>1229476</wp:posOffset>
            </wp:positionV>
            <wp:extent cx="386080" cy="386080"/>
            <wp:effectExtent l="0" t="0" r="0" b="0"/>
            <wp:wrapThrough wrapText="bothSides">
              <wp:wrapPolygon edited="0">
                <wp:start x="11724" y="0"/>
                <wp:lineTo x="0" y="0"/>
                <wp:lineTo x="0" y="17053"/>
                <wp:lineTo x="1066" y="20250"/>
                <wp:lineTo x="2132" y="20250"/>
                <wp:lineTo x="8526" y="20250"/>
                <wp:lineTo x="17053" y="20250"/>
                <wp:lineTo x="20250" y="19184"/>
                <wp:lineTo x="20250" y="2132"/>
                <wp:lineTo x="18118" y="0"/>
                <wp:lineTo x="1172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work.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6080" cy="386080"/>
                    </a:xfrm>
                    <a:prstGeom prst="rect">
                      <a:avLst/>
                    </a:prstGeom>
                  </pic:spPr>
                </pic:pic>
              </a:graphicData>
            </a:graphic>
            <wp14:sizeRelH relativeFrom="margin">
              <wp14:pctWidth>0</wp14:pctWidth>
            </wp14:sizeRelH>
            <wp14:sizeRelV relativeFrom="margin">
              <wp14:pctHeight>0</wp14:pctHeight>
            </wp14:sizeRelV>
          </wp:anchor>
        </w:drawing>
      </w:r>
      <w:r w:rsidR="001A3437" w:rsidRPr="00904C51">
        <w:rPr>
          <w:rFonts w:asciiTheme="minorHAnsi" w:hAnsiTheme="minorHAnsi" w:cstheme="minorHAnsi"/>
          <w:bCs/>
          <w:noProof/>
          <w:lang w:eastAsia="en-AU"/>
        </w:rPr>
        <w:drawing>
          <wp:anchor distT="0" distB="0" distL="114300" distR="114300" simplePos="0" relativeHeight="251675648" behindDoc="1" locked="0" layoutInCell="1" allowOverlap="1" wp14:anchorId="07097D9A" wp14:editId="7C8F7127">
            <wp:simplePos x="0" y="0"/>
            <wp:positionH relativeFrom="margin">
              <wp:align>right</wp:align>
            </wp:positionH>
            <wp:positionV relativeFrom="paragraph">
              <wp:posOffset>93025</wp:posOffset>
            </wp:positionV>
            <wp:extent cx="5583116" cy="2948843"/>
            <wp:effectExtent l="0" t="57150" r="0" b="4445"/>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003F5DD3" w:rsidRPr="00904C51">
        <w:rPr>
          <w:rFonts w:asciiTheme="minorHAnsi" w:hAnsiTheme="minorHAnsi" w:cstheme="minorHAnsi"/>
        </w:rPr>
        <w:br w:type="page"/>
      </w:r>
    </w:p>
    <w:p w14:paraId="051530B9" w14:textId="77777777" w:rsidR="005F32C8" w:rsidRPr="00904C51" w:rsidRDefault="005F32C8">
      <w:pPr>
        <w:rPr>
          <w:rFonts w:asciiTheme="minorHAnsi" w:hAnsiTheme="minorHAnsi" w:cstheme="minorHAnsi"/>
          <w:sz w:val="56"/>
          <w:szCs w:val="56"/>
        </w:rPr>
        <w:sectPr w:rsidR="005F32C8" w:rsidRPr="00904C51" w:rsidSect="00CF1DD4">
          <w:type w:val="continuous"/>
          <w:pgSz w:w="11906" w:h="16838"/>
          <w:pgMar w:top="1440" w:right="1440" w:bottom="1440" w:left="1418" w:header="708" w:footer="708" w:gutter="0"/>
          <w:cols w:num="3" w:space="235"/>
          <w:titlePg/>
          <w:docGrid w:linePitch="360"/>
        </w:sect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A4D1B" w:rsidRPr="007253C2" w14:paraId="172341AB" w14:textId="77777777" w:rsidTr="00C6322B">
        <w:trPr>
          <w:trHeight w:val="993"/>
        </w:trPr>
        <w:tc>
          <w:tcPr>
            <w:tcW w:w="13892" w:type="dxa"/>
          </w:tcPr>
          <w:p w14:paraId="629CB3DF" w14:textId="77777777" w:rsidR="00FA4D1B" w:rsidRDefault="00FA4D1B" w:rsidP="00FB1B2F">
            <w:pPr>
              <w:pStyle w:val="Heading1"/>
              <w:outlineLvl w:val="0"/>
              <w:rPr>
                <w:rFonts w:asciiTheme="minorHAnsi" w:hAnsiTheme="minorHAnsi" w:cstheme="minorHAnsi"/>
                <w:b/>
                <w:sz w:val="48"/>
                <w:szCs w:val="48"/>
              </w:rPr>
            </w:pPr>
            <w:bookmarkStart w:id="13" w:name="_Toc48545805"/>
            <w:r w:rsidRPr="00904C51">
              <w:rPr>
                <w:rFonts w:asciiTheme="minorHAnsi" w:hAnsiTheme="minorHAnsi" w:cstheme="minorHAnsi"/>
                <w:noProof/>
                <w:color w:val="A5B592" w:themeColor="accent1"/>
                <w:sz w:val="96"/>
                <w:szCs w:val="96"/>
                <w:lang w:eastAsia="en-A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drawing>
                <wp:anchor distT="0" distB="0" distL="114300" distR="114300" simplePos="0" relativeHeight="251666432" behindDoc="1" locked="0" layoutInCell="1" allowOverlap="1" wp14:anchorId="536C1533" wp14:editId="77D1832A">
                  <wp:simplePos x="0" y="0"/>
                  <wp:positionH relativeFrom="margin">
                    <wp:posOffset>2939139</wp:posOffset>
                  </wp:positionH>
                  <wp:positionV relativeFrom="paragraph">
                    <wp:posOffset>66123</wp:posOffset>
                  </wp:positionV>
                  <wp:extent cx="365760" cy="418592"/>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5760" cy="418592"/>
                          </a:xfrm>
                          <a:prstGeom prst="rect">
                            <a:avLst/>
                          </a:prstGeom>
                        </pic:spPr>
                      </pic:pic>
                    </a:graphicData>
                  </a:graphic>
                  <wp14:sizeRelH relativeFrom="page">
                    <wp14:pctWidth>0</wp14:pctWidth>
                  </wp14:sizeRelH>
                  <wp14:sizeRelV relativeFrom="page">
                    <wp14:pctHeight>0</wp14:pctHeight>
                  </wp14:sizeRelV>
                </wp:anchor>
              </w:drawing>
            </w:r>
            <w:r w:rsidR="00667A13">
              <w:rPr>
                <w:rFonts w:asciiTheme="minorHAnsi" w:hAnsiTheme="minorHAnsi" w:cstheme="minorHAnsi"/>
                <w:b/>
                <w:sz w:val="48"/>
                <w:szCs w:val="48"/>
              </w:rPr>
              <w:t xml:space="preserve">Priority 1: </w:t>
            </w:r>
            <w:r>
              <w:rPr>
                <w:rFonts w:asciiTheme="minorHAnsi" w:hAnsiTheme="minorHAnsi" w:cstheme="minorHAnsi"/>
                <w:b/>
                <w:sz w:val="48"/>
                <w:szCs w:val="48"/>
              </w:rPr>
              <w:t>Pre-Market</w:t>
            </w:r>
            <w:bookmarkEnd w:id="13"/>
          </w:p>
          <w:p w14:paraId="08D965CE" w14:textId="741B9E81" w:rsidR="00484882" w:rsidRPr="00484882" w:rsidRDefault="00484882" w:rsidP="00484882"/>
        </w:tc>
      </w:tr>
    </w:tbl>
    <w:p w14:paraId="56DA156D" w14:textId="77777777" w:rsidR="00D0241B" w:rsidRPr="00D0241B" w:rsidRDefault="00D0241B" w:rsidP="00484882">
      <w:pPr>
        <w:rPr>
          <w:rFonts w:asciiTheme="minorHAnsi" w:eastAsia="Microsoft YaHei Light" w:hAnsiTheme="minorHAnsi" w:cstheme="minorHAnsi"/>
          <w:b/>
          <w:bCs/>
          <w:sz w:val="14"/>
          <w:lang w:eastAsia="ja-JP"/>
        </w:rPr>
      </w:pPr>
    </w:p>
    <w:p w14:paraId="1CFFE536" w14:textId="48D9CCD8" w:rsidR="00DA6079" w:rsidRDefault="00DA6079" w:rsidP="00484882">
      <w:pPr>
        <w:rPr>
          <w:rFonts w:asciiTheme="minorHAnsi" w:eastAsia="Microsoft YaHei Light" w:hAnsiTheme="minorHAnsi" w:cstheme="minorHAnsi"/>
          <w:b/>
          <w:bCs/>
          <w:sz w:val="28"/>
          <w:lang w:eastAsia="ja-JP"/>
        </w:rPr>
      </w:pPr>
      <w:r w:rsidRPr="00F74F95">
        <w:rPr>
          <w:rFonts w:asciiTheme="minorHAnsi" w:eastAsia="Microsoft YaHei Light" w:hAnsiTheme="minorHAnsi" w:cstheme="minorHAnsi"/>
          <w:b/>
          <w:bCs/>
          <w:sz w:val="28"/>
          <w:lang w:eastAsia="ja-JP"/>
        </w:rPr>
        <w:t xml:space="preserve">Develop a risk calibrated regulatory approach </w:t>
      </w:r>
      <w:r w:rsidR="00067C12" w:rsidRPr="00F74F95">
        <w:rPr>
          <w:rFonts w:asciiTheme="minorHAnsi" w:eastAsia="Microsoft YaHei Light" w:hAnsiTheme="minorHAnsi" w:cstheme="minorHAnsi"/>
          <w:b/>
          <w:bCs/>
          <w:sz w:val="28"/>
          <w:lang w:eastAsia="ja-JP"/>
        </w:rPr>
        <w:t xml:space="preserve">for innovations </w:t>
      </w:r>
      <w:r w:rsidRPr="00F74F95">
        <w:rPr>
          <w:rFonts w:asciiTheme="minorHAnsi" w:eastAsia="Microsoft YaHei Light" w:hAnsiTheme="minorHAnsi" w:cstheme="minorHAnsi"/>
          <w:b/>
          <w:bCs/>
          <w:sz w:val="28"/>
          <w:lang w:eastAsia="ja-JP"/>
        </w:rPr>
        <w:t xml:space="preserve">and </w:t>
      </w:r>
      <w:r w:rsidR="00067C12" w:rsidRPr="00F74F95">
        <w:rPr>
          <w:rFonts w:asciiTheme="minorHAnsi" w:eastAsia="Microsoft YaHei Light" w:hAnsiTheme="minorHAnsi" w:cstheme="minorHAnsi"/>
          <w:b/>
          <w:bCs/>
          <w:sz w:val="28"/>
          <w:lang w:eastAsia="ja-JP"/>
        </w:rPr>
        <w:t xml:space="preserve">promote </w:t>
      </w:r>
      <w:r w:rsidRPr="00F74F95">
        <w:rPr>
          <w:rFonts w:asciiTheme="minorHAnsi" w:eastAsia="Microsoft YaHei Light" w:hAnsiTheme="minorHAnsi" w:cstheme="minorHAnsi"/>
          <w:b/>
          <w:bCs/>
          <w:sz w:val="28"/>
          <w:lang w:eastAsia="ja-JP"/>
        </w:rPr>
        <w:t>harmonized pre-market review requirements for medical devices</w:t>
      </w:r>
      <w:r w:rsidR="007253C2" w:rsidRPr="00F74F95">
        <w:rPr>
          <w:rFonts w:asciiTheme="minorHAnsi" w:eastAsia="Microsoft YaHei Light" w:hAnsiTheme="minorHAnsi" w:cstheme="minorHAnsi"/>
          <w:b/>
          <w:bCs/>
          <w:sz w:val="28"/>
          <w:lang w:eastAsia="ja-JP"/>
        </w:rPr>
        <w:t>.</w:t>
      </w:r>
    </w:p>
    <w:p w14:paraId="2B32FEE8" w14:textId="77777777" w:rsidR="00D0241B" w:rsidRPr="00D0241B" w:rsidRDefault="00D0241B" w:rsidP="00484882">
      <w:pPr>
        <w:rPr>
          <w:rFonts w:asciiTheme="minorHAnsi" w:eastAsia="Microsoft YaHei Light" w:hAnsiTheme="minorHAnsi" w:cstheme="minorHAnsi"/>
          <w:b/>
          <w:bCs/>
          <w:sz w:val="14"/>
          <w:lang w:eastAsia="ja-JP"/>
        </w:rPr>
      </w:pPr>
    </w:p>
    <w:p w14:paraId="6741FF37" w14:textId="64678160" w:rsidR="00830966" w:rsidRDefault="00830966" w:rsidP="00085D2A">
      <w:pPr>
        <w:jc w:val="both"/>
        <w:rPr>
          <w:rFonts w:asciiTheme="minorHAnsi" w:hAnsiTheme="minorHAnsi" w:cstheme="minorHAnsi"/>
          <w:bCs/>
          <w:lang w:eastAsia="ja-JP"/>
        </w:rPr>
      </w:pPr>
      <w:r w:rsidRPr="00050BFE">
        <w:rPr>
          <w:rFonts w:asciiTheme="minorHAnsi" w:hAnsiTheme="minorHAnsi" w:cstheme="minorHAnsi"/>
          <w:bCs/>
          <w:lang w:eastAsia="ja-JP"/>
        </w:rPr>
        <w:t xml:space="preserve">The innovation landscape is rapidly evolving and this calls for more tailored and fit for purpose regulatory requirements. </w:t>
      </w:r>
      <w:r w:rsidRPr="00484882">
        <w:rPr>
          <w:rFonts w:asciiTheme="minorHAnsi" w:hAnsiTheme="minorHAnsi" w:cstheme="minorHAnsi"/>
          <w:bCs/>
          <w:lang w:eastAsia="ja-JP"/>
        </w:rPr>
        <w:t>Promoting</w:t>
      </w:r>
      <w:r w:rsidRPr="00B34690">
        <w:rPr>
          <w:rFonts w:asciiTheme="minorHAnsi" w:hAnsiTheme="minorHAnsi" w:cstheme="minorHAnsi"/>
          <w:bCs/>
          <w:lang w:eastAsia="ja-JP"/>
        </w:rPr>
        <w:t xml:space="preserve"> harmonized pre-market review requirements will improve transparency and predictability to stakeholders enabling timely access to safe and effective</w:t>
      </w:r>
      <w:r w:rsidR="00597F79">
        <w:rPr>
          <w:rFonts w:asciiTheme="minorHAnsi" w:hAnsiTheme="minorHAnsi" w:cstheme="minorHAnsi"/>
          <w:bCs/>
          <w:lang w:eastAsia="ja-JP"/>
        </w:rPr>
        <w:t xml:space="preserve"> medical devices</w:t>
      </w:r>
      <w:r w:rsidRPr="00B34690">
        <w:rPr>
          <w:rFonts w:asciiTheme="minorHAnsi" w:hAnsiTheme="minorHAnsi" w:cstheme="minorHAnsi"/>
          <w:bCs/>
          <w:lang w:eastAsia="ja-JP"/>
        </w:rPr>
        <w:t xml:space="preserve"> for patients.</w:t>
      </w:r>
    </w:p>
    <w:p w14:paraId="04BCD16C" w14:textId="77777777" w:rsidR="00D0241B" w:rsidRDefault="00D0241B" w:rsidP="00085D2A">
      <w:pPr>
        <w:jc w:val="both"/>
        <w:rPr>
          <w:rFonts w:asciiTheme="minorHAnsi" w:hAnsiTheme="minorHAnsi" w:cstheme="minorHAnsi"/>
          <w:bCs/>
          <w:lang w:eastAsia="ja-JP"/>
        </w:rPr>
      </w:pPr>
    </w:p>
    <w:p w14:paraId="7B53C5F4" w14:textId="05BED34D" w:rsidR="00292F16" w:rsidRDefault="00292F16" w:rsidP="00085D2A">
      <w:pPr>
        <w:jc w:val="both"/>
        <w:rPr>
          <w:rFonts w:asciiTheme="minorHAnsi" w:hAnsiTheme="minorHAnsi" w:cstheme="minorHAnsi"/>
          <w:bCs/>
          <w:lang w:eastAsia="ja-JP"/>
        </w:rPr>
      </w:pPr>
      <w:r>
        <w:rPr>
          <w:rFonts w:asciiTheme="minorHAnsi" w:hAnsiTheme="minorHAnsi" w:cstheme="minorHAnsi"/>
          <w:bCs/>
          <w:lang w:eastAsia="ja-JP"/>
        </w:rPr>
        <w:t xml:space="preserve">For </w:t>
      </w:r>
      <w:r w:rsidR="000E78A2">
        <w:rPr>
          <w:rFonts w:asciiTheme="minorHAnsi" w:hAnsiTheme="minorHAnsi" w:cstheme="minorHAnsi"/>
          <w:bCs/>
          <w:lang w:eastAsia="ja-JP"/>
        </w:rPr>
        <w:t>each topic</w:t>
      </w:r>
      <w:r>
        <w:rPr>
          <w:rFonts w:asciiTheme="minorHAnsi" w:hAnsiTheme="minorHAnsi" w:cstheme="minorHAnsi"/>
          <w:bCs/>
          <w:lang w:eastAsia="ja-JP"/>
        </w:rPr>
        <w:t>, the following steps will occur to deliver IMDRF outputs:</w:t>
      </w:r>
    </w:p>
    <w:p w14:paraId="57DE11E2" w14:textId="77777777" w:rsidR="00292F16" w:rsidRDefault="00292F16" w:rsidP="00085D2A">
      <w:pPr>
        <w:pStyle w:val="ListParagraph"/>
        <w:numPr>
          <w:ilvl w:val="0"/>
          <w:numId w:val="41"/>
        </w:numPr>
        <w:jc w:val="both"/>
        <w:rPr>
          <w:rFonts w:asciiTheme="minorHAnsi" w:hAnsiTheme="minorHAnsi" w:cstheme="minorHAnsi"/>
          <w:bCs/>
          <w:lang w:eastAsia="ja-JP"/>
        </w:rPr>
      </w:pPr>
      <w:r>
        <w:rPr>
          <w:rFonts w:asciiTheme="minorHAnsi" w:hAnsiTheme="minorHAnsi" w:cstheme="minorHAnsi"/>
          <w:bCs/>
          <w:lang w:eastAsia="ja-JP"/>
        </w:rPr>
        <w:t>Consultation undertaken with stakeholders</w:t>
      </w:r>
    </w:p>
    <w:p w14:paraId="7D60E8D5" w14:textId="77777777" w:rsidR="00292F16" w:rsidRDefault="00292F16" w:rsidP="00085D2A">
      <w:pPr>
        <w:pStyle w:val="ListParagraph"/>
        <w:numPr>
          <w:ilvl w:val="0"/>
          <w:numId w:val="41"/>
        </w:numPr>
        <w:jc w:val="both"/>
        <w:rPr>
          <w:rFonts w:asciiTheme="minorHAnsi" w:hAnsiTheme="minorHAnsi" w:cstheme="minorHAnsi"/>
          <w:bCs/>
          <w:lang w:eastAsia="ja-JP"/>
        </w:rPr>
      </w:pPr>
      <w:r>
        <w:rPr>
          <w:rFonts w:asciiTheme="minorHAnsi" w:hAnsiTheme="minorHAnsi" w:cstheme="minorHAnsi"/>
          <w:bCs/>
          <w:lang w:eastAsia="ja-JP"/>
        </w:rPr>
        <w:t>Drafting of a proposal for MC consideration</w:t>
      </w:r>
    </w:p>
    <w:p w14:paraId="09D13C80" w14:textId="77777777" w:rsidR="00292F16" w:rsidRDefault="00292F16" w:rsidP="00085D2A">
      <w:pPr>
        <w:pStyle w:val="ListParagraph"/>
        <w:numPr>
          <w:ilvl w:val="0"/>
          <w:numId w:val="41"/>
        </w:numPr>
        <w:jc w:val="both"/>
        <w:rPr>
          <w:rFonts w:asciiTheme="minorHAnsi" w:hAnsiTheme="minorHAnsi" w:cstheme="minorHAnsi"/>
          <w:bCs/>
          <w:lang w:eastAsia="ja-JP"/>
        </w:rPr>
      </w:pPr>
      <w:r>
        <w:rPr>
          <w:rFonts w:asciiTheme="minorHAnsi" w:hAnsiTheme="minorHAnsi" w:cstheme="minorHAnsi"/>
          <w:bCs/>
          <w:lang w:eastAsia="ja-JP"/>
        </w:rPr>
        <w:t>MC agreement and publishing of IMDRF outputs</w:t>
      </w:r>
    </w:p>
    <w:p w14:paraId="3B0ABD90" w14:textId="5ABAC24C" w:rsidR="00292F16" w:rsidRDefault="00292F16" w:rsidP="00085D2A">
      <w:pPr>
        <w:pStyle w:val="ListParagraph"/>
        <w:numPr>
          <w:ilvl w:val="0"/>
          <w:numId w:val="41"/>
        </w:numPr>
        <w:jc w:val="both"/>
        <w:rPr>
          <w:rFonts w:asciiTheme="minorHAnsi" w:hAnsiTheme="minorHAnsi" w:cstheme="minorHAnsi"/>
          <w:bCs/>
          <w:lang w:eastAsia="ja-JP"/>
        </w:rPr>
      </w:pPr>
      <w:r>
        <w:rPr>
          <w:rFonts w:asciiTheme="minorHAnsi" w:hAnsiTheme="minorHAnsi" w:cstheme="minorHAnsi"/>
          <w:bCs/>
          <w:lang w:eastAsia="ja-JP"/>
        </w:rPr>
        <w:t>Implementation considerations and adoption by IMDRF members</w:t>
      </w:r>
    </w:p>
    <w:p w14:paraId="49BCC1F0" w14:textId="77777777" w:rsidR="00D0241B" w:rsidRPr="00292F16" w:rsidRDefault="00D0241B" w:rsidP="00D0241B">
      <w:pPr>
        <w:pStyle w:val="ListParagraph"/>
        <w:jc w:val="both"/>
        <w:rPr>
          <w:rFonts w:asciiTheme="minorHAnsi" w:hAnsiTheme="minorHAnsi" w:cstheme="minorHAnsi"/>
          <w:bCs/>
          <w:lang w:eastAsia="ja-JP"/>
        </w:rPr>
      </w:pPr>
    </w:p>
    <w:tbl>
      <w:tblPr>
        <w:tblStyle w:val="GridTable5Dark-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292F16" w:rsidRPr="00D0241B" w14:paraId="07C563E8" w14:textId="6DA2EC5D" w:rsidTr="00292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1" w:type="dxa"/>
          </w:tcPr>
          <w:p w14:paraId="4905CE81" w14:textId="51FCE481" w:rsidR="00292F16" w:rsidRPr="00D0241B" w:rsidRDefault="00292F16" w:rsidP="00292F16">
            <w:pPr>
              <w:rPr>
                <w:rFonts w:ascii="Calibri" w:hAnsi="Calibri" w:cs="Calibri"/>
                <w:szCs w:val="22"/>
              </w:rPr>
            </w:pPr>
            <w:r w:rsidRPr="00D0241B">
              <w:rPr>
                <w:rFonts w:asciiTheme="minorHAnsi" w:hAnsiTheme="minorHAnsi" w:cstheme="minorHAnsi"/>
                <w:bCs w:val="0"/>
                <w:szCs w:val="22"/>
                <w:lang w:eastAsia="ja-JP"/>
              </w:rPr>
              <w:br w:type="page"/>
              <w:t>P</w:t>
            </w:r>
            <w:r w:rsidRPr="00D0241B">
              <w:rPr>
                <w:rFonts w:ascii="Calibri" w:hAnsi="Calibri" w:cs="Calibri"/>
                <w:szCs w:val="22"/>
              </w:rPr>
              <w:t>RIORITY AREA: Pre-market</w:t>
            </w:r>
          </w:p>
        </w:tc>
      </w:tr>
      <w:tr w:rsidR="00292F16" w:rsidRPr="00D0241B" w14:paraId="35559503" w14:textId="61C59B73" w:rsidTr="0029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1" w:type="dxa"/>
          </w:tcPr>
          <w:p w14:paraId="3A966744" w14:textId="72AAB0B9" w:rsidR="00292F16" w:rsidRPr="00D0241B" w:rsidRDefault="00292F16" w:rsidP="004A0175">
            <w:pPr>
              <w:rPr>
                <w:rFonts w:ascii="Calibri" w:hAnsi="Calibri" w:cs="Calibri"/>
                <w:szCs w:val="22"/>
              </w:rPr>
            </w:pPr>
            <w:r w:rsidRPr="00D0241B">
              <w:rPr>
                <w:rFonts w:ascii="Calibri" w:hAnsi="Calibri" w:cs="Calibri"/>
                <w:szCs w:val="22"/>
              </w:rPr>
              <w:t>Topic: Personalized Medical Devices</w:t>
            </w:r>
          </w:p>
          <w:p w14:paraId="37046715" w14:textId="5E45DDA7" w:rsidR="00292F16" w:rsidRPr="00D0241B" w:rsidRDefault="00292F16" w:rsidP="004A0175">
            <w:pPr>
              <w:rPr>
                <w:rFonts w:ascii="Calibri" w:hAnsi="Calibri" w:cs="Calibri"/>
                <w:b w:val="0"/>
                <w:i/>
                <w:szCs w:val="22"/>
              </w:rPr>
            </w:pPr>
            <w:r w:rsidRPr="00D0241B">
              <w:rPr>
                <w:rFonts w:asciiTheme="minorHAnsi" w:hAnsiTheme="minorHAnsi" w:cstheme="minorHAnsi"/>
                <w:b w:val="0"/>
                <w:i/>
                <w:szCs w:val="22"/>
                <w:lang w:eastAsia="ja-JP"/>
              </w:rPr>
              <w:t xml:space="preserve">A tailored regulatory approach that takes into consideration the unique characteristics and risks of each of these types of devices, which is significantly different from other standard </w:t>
            </w:r>
            <w:r w:rsidR="008F43D9" w:rsidRPr="00D0241B">
              <w:rPr>
                <w:rFonts w:asciiTheme="minorHAnsi" w:hAnsiTheme="minorHAnsi" w:cstheme="minorHAnsi"/>
                <w:b w:val="0"/>
                <w:i/>
                <w:szCs w:val="22"/>
                <w:lang w:eastAsia="ja-JP"/>
              </w:rPr>
              <w:t>mass-produced</w:t>
            </w:r>
            <w:r w:rsidRPr="00D0241B">
              <w:rPr>
                <w:rFonts w:asciiTheme="minorHAnsi" w:hAnsiTheme="minorHAnsi" w:cstheme="minorHAnsi"/>
                <w:b w:val="0"/>
                <w:i/>
                <w:szCs w:val="22"/>
                <w:lang w:eastAsia="ja-JP"/>
              </w:rPr>
              <w:t xml:space="preserve"> medical devices has been proposed.</w:t>
            </w:r>
          </w:p>
        </w:tc>
      </w:tr>
      <w:tr w:rsidR="00292F16" w:rsidRPr="00D0241B" w14:paraId="09EBCDC6" w14:textId="3BD0D006" w:rsidTr="00292F16">
        <w:tc>
          <w:tcPr>
            <w:cnfStyle w:val="001000000000" w:firstRow="0" w:lastRow="0" w:firstColumn="1" w:lastColumn="0" w:oddVBand="0" w:evenVBand="0" w:oddHBand="0" w:evenHBand="0" w:firstRowFirstColumn="0" w:firstRowLastColumn="0" w:lastRowFirstColumn="0" w:lastRowLastColumn="0"/>
            <w:tcW w:w="12191" w:type="dxa"/>
          </w:tcPr>
          <w:p w14:paraId="2F4258A7" w14:textId="267DA083" w:rsidR="00292F16" w:rsidRPr="00D0241B" w:rsidRDefault="00292F16" w:rsidP="004A0175">
            <w:pPr>
              <w:rPr>
                <w:rFonts w:ascii="Calibri" w:hAnsi="Calibri" w:cs="Calibri"/>
                <w:szCs w:val="22"/>
              </w:rPr>
            </w:pPr>
            <w:r w:rsidRPr="00D0241B">
              <w:rPr>
                <w:rFonts w:ascii="Calibri" w:hAnsi="Calibri" w:cs="Calibri"/>
                <w:szCs w:val="22"/>
              </w:rPr>
              <w:t>Topic: Software as a Medical Device</w:t>
            </w:r>
          </w:p>
          <w:p w14:paraId="1F4FB9DD" w14:textId="77777777" w:rsidR="00292F16" w:rsidRPr="00D0241B" w:rsidRDefault="00292F16" w:rsidP="004A0175">
            <w:pPr>
              <w:rPr>
                <w:rFonts w:ascii="Calibri" w:hAnsi="Calibri" w:cs="Calibri"/>
                <w:b w:val="0"/>
                <w:i/>
                <w:szCs w:val="22"/>
              </w:rPr>
            </w:pPr>
            <w:r w:rsidRPr="00D0241B">
              <w:rPr>
                <w:rFonts w:asciiTheme="minorHAnsi" w:hAnsiTheme="minorHAnsi" w:cstheme="minorHAnsi"/>
                <w:b w:val="0"/>
                <w:i/>
                <w:szCs w:val="22"/>
                <w:lang w:eastAsia="ja-JP"/>
              </w:rPr>
              <w:t>Develop international definitions, risk category framework, and quality management system.</w:t>
            </w:r>
          </w:p>
        </w:tc>
      </w:tr>
      <w:tr w:rsidR="00292F16" w:rsidRPr="00D0241B" w14:paraId="5229920E" w14:textId="495D6982" w:rsidTr="0029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1" w:type="dxa"/>
          </w:tcPr>
          <w:p w14:paraId="3641C886" w14:textId="10A2D07C" w:rsidR="00292F16" w:rsidRPr="00D0241B" w:rsidRDefault="00292F16" w:rsidP="004A0175">
            <w:pPr>
              <w:rPr>
                <w:rFonts w:ascii="Calibri" w:hAnsi="Calibri" w:cs="Calibri"/>
                <w:szCs w:val="22"/>
              </w:rPr>
            </w:pPr>
            <w:r w:rsidRPr="00D0241B">
              <w:rPr>
                <w:rFonts w:ascii="Calibri" w:hAnsi="Calibri" w:cs="Calibri"/>
                <w:szCs w:val="22"/>
              </w:rPr>
              <w:t>Topic: Regulated Product Submissions</w:t>
            </w:r>
          </w:p>
          <w:p w14:paraId="14B67AE0" w14:textId="77777777" w:rsidR="00292F16" w:rsidRPr="00D0241B" w:rsidRDefault="00292F16" w:rsidP="004A0175">
            <w:pPr>
              <w:rPr>
                <w:rFonts w:ascii="Calibri" w:hAnsi="Calibri" w:cs="Calibri"/>
                <w:b w:val="0"/>
                <w:i/>
                <w:szCs w:val="22"/>
              </w:rPr>
            </w:pPr>
            <w:r w:rsidRPr="00D0241B">
              <w:rPr>
                <w:rFonts w:asciiTheme="minorHAnsi" w:hAnsiTheme="minorHAnsi" w:cstheme="minorHAnsi"/>
                <w:b w:val="0"/>
                <w:i/>
                <w:szCs w:val="22"/>
                <w:lang w:eastAsia="ja-JP"/>
              </w:rPr>
              <w:t>‘Early-stage’ development of Regulatory Product Submissions including, ToC for non-IVD market authorization and IVD market authorization.</w:t>
            </w:r>
          </w:p>
        </w:tc>
      </w:tr>
      <w:tr w:rsidR="00292F16" w:rsidRPr="00D0241B" w14:paraId="2305EF3D" w14:textId="28434721" w:rsidTr="00292F16">
        <w:tc>
          <w:tcPr>
            <w:cnfStyle w:val="001000000000" w:firstRow="0" w:lastRow="0" w:firstColumn="1" w:lastColumn="0" w:oddVBand="0" w:evenVBand="0" w:oddHBand="0" w:evenHBand="0" w:firstRowFirstColumn="0" w:firstRowLastColumn="0" w:lastRowFirstColumn="0" w:lastRowLastColumn="0"/>
            <w:tcW w:w="12191" w:type="dxa"/>
          </w:tcPr>
          <w:p w14:paraId="1FD50458" w14:textId="53BE6D61" w:rsidR="00292F16" w:rsidRPr="00D0241B" w:rsidRDefault="00292F16" w:rsidP="004A0175">
            <w:pPr>
              <w:rPr>
                <w:rFonts w:ascii="Calibri" w:hAnsi="Calibri" w:cs="Calibri"/>
                <w:szCs w:val="22"/>
              </w:rPr>
            </w:pPr>
            <w:r w:rsidRPr="00D0241B">
              <w:rPr>
                <w:rFonts w:ascii="Calibri" w:hAnsi="Calibri" w:cs="Calibri"/>
                <w:szCs w:val="22"/>
              </w:rPr>
              <w:t>Topic: Medical Device Evidence Evaluation</w:t>
            </w:r>
          </w:p>
          <w:p w14:paraId="4A1474F7" w14:textId="77777777" w:rsidR="00292F16" w:rsidRPr="00D0241B" w:rsidRDefault="00292F16" w:rsidP="004A0175">
            <w:pPr>
              <w:rPr>
                <w:rFonts w:ascii="Calibri" w:hAnsi="Calibri" w:cs="Calibri"/>
                <w:b w:val="0"/>
                <w:i/>
                <w:szCs w:val="22"/>
              </w:rPr>
            </w:pPr>
            <w:r w:rsidRPr="00D0241B">
              <w:rPr>
                <w:rFonts w:asciiTheme="minorHAnsi" w:hAnsiTheme="minorHAnsi" w:cstheme="minorHAnsi"/>
                <w:b w:val="0"/>
                <w:i/>
                <w:szCs w:val="22"/>
                <w:lang w:eastAsia="ja-JP"/>
              </w:rPr>
              <w:t>Improve Quantity and Quality of Clinical Data.</w:t>
            </w:r>
          </w:p>
        </w:tc>
      </w:tr>
      <w:tr w:rsidR="00261533" w:rsidRPr="00D0241B" w14:paraId="324E8A0F" w14:textId="77777777" w:rsidTr="0029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1" w:type="dxa"/>
          </w:tcPr>
          <w:p w14:paraId="48CF8DF3" w14:textId="77777777" w:rsidR="00261533" w:rsidRPr="00D0241B" w:rsidRDefault="00261533" w:rsidP="00261533">
            <w:pPr>
              <w:rPr>
                <w:rFonts w:ascii="Calibri" w:hAnsi="Calibri" w:cs="Calibri"/>
                <w:szCs w:val="22"/>
              </w:rPr>
            </w:pPr>
            <w:r w:rsidRPr="00D0241B">
              <w:rPr>
                <w:rFonts w:ascii="Calibri" w:hAnsi="Calibri" w:cs="Calibri"/>
                <w:szCs w:val="22"/>
              </w:rPr>
              <w:t>Topic: Good Regulatory Review Practice</w:t>
            </w:r>
          </w:p>
          <w:p w14:paraId="1956CEF7" w14:textId="5D856C2E" w:rsidR="00261533" w:rsidRPr="00D0241B" w:rsidRDefault="00261533" w:rsidP="00261533">
            <w:pPr>
              <w:rPr>
                <w:rFonts w:ascii="Calibri" w:hAnsi="Calibri" w:cs="Calibri"/>
                <w:szCs w:val="22"/>
              </w:rPr>
            </w:pPr>
            <w:r w:rsidRPr="00D0241B">
              <w:rPr>
                <w:rFonts w:asciiTheme="minorHAnsi" w:hAnsiTheme="minorHAnsi" w:cstheme="minorHAnsi"/>
                <w:b w:val="0"/>
                <w:i/>
                <w:szCs w:val="22"/>
                <w:lang w:eastAsia="ja-JP"/>
              </w:rPr>
              <w:t>Develop Good Review Practices for pre-market reviews/evaluations.</w:t>
            </w:r>
          </w:p>
        </w:tc>
      </w:tr>
      <w:tr w:rsidR="00292F16" w:rsidRPr="00D0241B" w14:paraId="15D5E7EF" w14:textId="5220816F" w:rsidTr="00292F16">
        <w:tc>
          <w:tcPr>
            <w:cnfStyle w:val="001000000000" w:firstRow="0" w:lastRow="0" w:firstColumn="1" w:lastColumn="0" w:oddVBand="0" w:evenVBand="0" w:oddHBand="0" w:evenHBand="0" w:firstRowFirstColumn="0" w:firstRowLastColumn="0" w:lastRowFirstColumn="0" w:lastRowLastColumn="0"/>
            <w:tcW w:w="12191" w:type="dxa"/>
          </w:tcPr>
          <w:p w14:paraId="39675E28" w14:textId="77777777" w:rsidR="00292F16" w:rsidRPr="00D0241B" w:rsidRDefault="00261533" w:rsidP="004A0175">
            <w:pPr>
              <w:rPr>
                <w:rFonts w:ascii="Calibri" w:hAnsi="Calibri" w:cs="Calibri"/>
                <w:b w:val="0"/>
                <w:bCs w:val="0"/>
                <w:szCs w:val="22"/>
              </w:rPr>
            </w:pPr>
            <w:r w:rsidRPr="00D0241B">
              <w:rPr>
                <w:rFonts w:ascii="Calibri" w:hAnsi="Calibri" w:cs="Calibri"/>
                <w:szCs w:val="22"/>
              </w:rPr>
              <w:t>Topic: Artificial Intelligence Medical Devices (AIMDs)</w:t>
            </w:r>
          </w:p>
          <w:p w14:paraId="62399F76" w14:textId="5CF9362F" w:rsidR="00261533" w:rsidRPr="00D0241B" w:rsidRDefault="00261533" w:rsidP="004A0175">
            <w:pPr>
              <w:rPr>
                <w:rFonts w:ascii="Calibri" w:hAnsi="Calibri" w:cs="Calibri"/>
                <w:b w:val="0"/>
                <w:i/>
                <w:szCs w:val="22"/>
              </w:rPr>
            </w:pPr>
            <w:r w:rsidRPr="00D0241B">
              <w:rPr>
                <w:rFonts w:ascii="Calibri" w:hAnsi="Calibri" w:cs="Calibri"/>
                <w:b w:val="0"/>
                <w:i/>
                <w:szCs w:val="22"/>
              </w:rPr>
              <w:t>Develop a harmonised approach to the management of artificial intelligence (AI) medical devices.</w:t>
            </w:r>
          </w:p>
        </w:tc>
      </w:tr>
    </w:tbl>
    <w:tbl>
      <w:tblPr>
        <w:tblStyle w:val="TableGrid"/>
        <w:tblpPr w:leftFromText="180" w:rightFromText="180" w:vertAnchor="text" w:horzAnchor="margin" w:tblpY="-2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84882" w:rsidRPr="007253C2" w14:paraId="0D32EF59" w14:textId="77777777" w:rsidTr="00484882">
        <w:tc>
          <w:tcPr>
            <w:tcW w:w="13892" w:type="dxa"/>
          </w:tcPr>
          <w:p w14:paraId="6F7752F1" w14:textId="701D446F" w:rsidR="00484882" w:rsidRDefault="00484882" w:rsidP="00484882">
            <w:pPr>
              <w:pStyle w:val="Heading1"/>
              <w:outlineLvl w:val="0"/>
              <w:rPr>
                <w:rFonts w:asciiTheme="minorHAnsi" w:hAnsiTheme="minorHAnsi" w:cstheme="minorHAnsi"/>
                <w:b/>
                <w:sz w:val="48"/>
                <w:szCs w:val="48"/>
              </w:rPr>
            </w:pPr>
            <w:bookmarkStart w:id="14" w:name="_Toc48545806"/>
            <w:r w:rsidRPr="00904C51">
              <w:rPr>
                <w:rFonts w:asciiTheme="minorHAnsi" w:hAnsiTheme="minorHAnsi" w:cstheme="minorHAnsi"/>
                <w:noProof/>
                <w:lang w:eastAsia="en-AU"/>
              </w:rPr>
              <w:lastRenderedPageBreak/>
              <w:drawing>
                <wp:anchor distT="0" distB="0" distL="114300" distR="114300" simplePos="0" relativeHeight="251680768" behindDoc="1" locked="0" layoutInCell="1" allowOverlap="1" wp14:anchorId="7614E69F" wp14:editId="4461A0C5">
                  <wp:simplePos x="0" y="0"/>
                  <wp:positionH relativeFrom="margin">
                    <wp:posOffset>2994246</wp:posOffset>
                  </wp:positionH>
                  <wp:positionV relativeFrom="paragraph">
                    <wp:posOffset>73356</wp:posOffset>
                  </wp:positionV>
                  <wp:extent cx="505622" cy="337625"/>
                  <wp:effectExtent l="0" t="0" r="889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5622" cy="3376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8"/>
                <w:szCs w:val="48"/>
              </w:rPr>
              <w:t>Priority 2: Post-Market</w:t>
            </w:r>
            <w:bookmarkEnd w:id="14"/>
          </w:p>
          <w:p w14:paraId="4FB5D180" w14:textId="77777777" w:rsidR="00484882" w:rsidRPr="00E26BDB" w:rsidRDefault="00484882" w:rsidP="00484882"/>
        </w:tc>
      </w:tr>
    </w:tbl>
    <w:p w14:paraId="134A9D1E" w14:textId="307A31C9" w:rsidR="00085D2A" w:rsidRDefault="00085D2A">
      <w:pPr>
        <w:rPr>
          <w:rFonts w:asciiTheme="minorHAnsi" w:eastAsia="Microsoft YaHei Light" w:hAnsiTheme="minorHAnsi" w:cstheme="minorHAnsi"/>
          <w:b/>
          <w:bCs/>
          <w:sz w:val="6"/>
          <w:lang w:eastAsia="ja-JP"/>
        </w:rPr>
      </w:pPr>
    </w:p>
    <w:p w14:paraId="3BA819DC" w14:textId="2FAA361F" w:rsidR="00602A2C" w:rsidRDefault="00602A2C">
      <w:pPr>
        <w:rPr>
          <w:rFonts w:asciiTheme="minorHAnsi" w:eastAsia="Microsoft YaHei Light" w:hAnsiTheme="minorHAnsi" w:cstheme="minorHAnsi"/>
          <w:b/>
          <w:bCs/>
          <w:sz w:val="28"/>
          <w:lang w:eastAsia="ja-JP"/>
        </w:rPr>
      </w:pPr>
      <w:r w:rsidRPr="00085D2A">
        <w:rPr>
          <w:rFonts w:asciiTheme="minorHAnsi" w:eastAsia="Microsoft YaHei Light" w:hAnsiTheme="minorHAnsi" w:cstheme="minorHAnsi"/>
          <w:b/>
          <w:bCs/>
          <w:sz w:val="28"/>
          <w:lang w:eastAsia="ja-JP"/>
        </w:rPr>
        <w:t>Leverage post-market monitoring and surveillance to ensure accessibility to safe and effective innovations for patients</w:t>
      </w:r>
      <w:r w:rsidR="00E26BDB" w:rsidRPr="00085D2A">
        <w:rPr>
          <w:rFonts w:asciiTheme="minorHAnsi" w:eastAsia="Microsoft YaHei Light" w:hAnsiTheme="minorHAnsi" w:cstheme="minorHAnsi"/>
          <w:b/>
          <w:bCs/>
          <w:sz w:val="28"/>
          <w:lang w:eastAsia="ja-JP"/>
        </w:rPr>
        <w:t>.</w:t>
      </w:r>
    </w:p>
    <w:p w14:paraId="2FEAFD42" w14:textId="77777777" w:rsidR="00D0241B" w:rsidRPr="003D7B65" w:rsidRDefault="00D0241B">
      <w:pPr>
        <w:rPr>
          <w:rFonts w:asciiTheme="minorHAnsi" w:eastAsia="Microsoft YaHei Light" w:hAnsiTheme="minorHAnsi" w:cstheme="minorHAnsi"/>
          <w:b/>
          <w:bCs/>
          <w:sz w:val="14"/>
          <w:lang w:eastAsia="ja-JP"/>
        </w:rPr>
      </w:pPr>
    </w:p>
    <w:p w14:paraId="1C20C3DD" w14:textId="72EB1107" w:rsidR="00830966" w:rsidRDefault="00830966" w:rsidP="00085D2A">
      <w:pPr>
        <w:jc w:val="both"/>
        <w:rPr>
          <w:rFonts w:asciiTheme="minorHAnsi" w:hAnsiTheme="minorHAnsi" w:cstheme="minorHAnsi"/>
          <w:bCs/>
          <w:lang w:eastAsia="ja-JP"/>
        </w:rPr>
      </w:pPr>
      <w:r w:rsidRPr="00E26BDB">
        <w:rPr>
          <w:rFonts w:asciiTheme="minorHAnsi" w:hAnsiTheme="minorHAnsi" w:cstheme="minorHAnsi"/>
          <w:bCs/>
          <w:lang w:eastAsia="ja-JP"/>
        </w:rPr>
        <w:t>Post-market regulatory controls complement pre-market requirements for medical devices. While pre-market requirements can address known and foreseeable risks, an effective post-market surveillance is necessary to manage evolving and new risks effectively. In pursuing the strategic priorities, IMDRF would seek to assure an appropriate balance between pre-market and post-market requirements as part of a total product lifecycle regulatory approach to medical devices.</w:t>
      </w:r>
    </w:p>
    <w:p w14:paraId="2F6ACCC2" w14:textId="77777777" w:rsidR="00D0241B" w:rsidRDefault="00D0241B" w:rsidP="00085D2A">
      <w:pPr>
        <w:jc w:val="both"/>
        <w:rPr>
          <w:rFonts w:asciiTheme="minorHAnsi" w:hAnsiTheme="minorHAnsi" w:cstheme="minorHAnsi"/>
          <w:bCs/>
          <w:lang w:eastAsia="ja-JP"/>
        </w:rPr>
      </w:pPr>
    </w:p>
    <w:p w14:paraId="6B04F9FD" w14:textId="4293CC78" w:rsidR="00292F16" w:rsidRDefault="00292F16" w:rsidP="00085D2A">
      <w:pPr>
        <w:jc w:val="both"/>
        <w:rPr>
          <w:rFonts w:asciiTheme="minorHAnsi" w:hAnsiTheme="minorHAnsi" w:cstheme="minorHAnsi"/>
          <w:bCs/>
          <w:lang w:eastAsia="ja-JP"/>
        </w:rPr>
      </w:pPr>
      <w:r>
        <w:rPr>
          <w:rFonts w:asciiTheme="minorHAnsi" w:hAnsiTheme="minorHAnsi" w:cstheme="minorHAnsi"/>
          <w:bCs/>
          <w:lang w:eastAsia="ja-JP"/>
        </w:rPr>
        <w:t xml:space="preserve">For </w:t>
      </w:r>
      <w:r w:rsidR="00340DE2">
        <w:rPr>
          <w:rFonts w:asciiTheme="minorHAnsi" w:hAnsiTheme="minorHAnsi" w:cstheme="minorHAnsi"/>
          <w:bCs/>
          <w:lang w:eastAsia="ja-JP"/>
        </w:rPr>
        <w:t>each topic</w:t>
      </w:r>
      <w:r>
        <w:rPr>
          <w:rFonts w:asciiTheme="minorHAnsi" w:hAnsiTheme="minorHAnsi" w:cstheme="minorHAnsi"/>
          <w:bCs/>
          <w:lang w:eastAsia="ja-JP"/>
        </w:rPr>
        <w:t>, the following steps will occur to deliver IMDRF outputs:</w:t>
      </w:r>
    </w:p>
    <w:p w14:paraId="38F745CA" w14:textId="77777777" w:rsidR="00292F16" w:rsidRDefault="00292F16" w:rsidP="00085D2A">
      <w:pPr>
        <w:pStyle w:val="ListParagraph"/>
        <w:numPr>
          <w:ilvl w:val="0"/>
          <w:numId w:val="41"/>
        </w:numPr>
        <w:jc w:val="both"/>
        <w:rPr>
          <w:rFonts w:asciiTheme="minorHAnsi" w:hAnsiTheme="minorHAnsi" w:cstheme="minorHAnsi"/>
          <w:bCs/>
          <w:lang w:eastAsia="ja-JP"/>
        </w:rPr>
      </w:pPr>
      <w:r>
        <w:rPr>
          <w:rFonts w:asciiTheme="minorHAnsi" w:hAnsiTheme="minorHAnsi" w:cstheme="minorHAnsi"/>
          <w:bCs/>
          <w:lang w:eastAsia="ja-JP"/>
        </w:rPr>
        <w:t>Consultation undertaken with stakeholders</w:t>
      </w:r>
    </w:p>
    <w:p w14:paraId="013D1900" w14:textId="77777777" w:rsidR="00292F16" w:rsidRDefault="00292F16" w:rsidP="00085D2A">
      <w:pPr>
        <w:pStyle w:val="ListParagraph"/>
        <w:numPr>
          <w:ilvl w:val="0"/>
          <w:numId w:val="41"/>
        </w:numPr>
        <w:jc w:val="both"/>
        <w:rPr>
          <w:rFonts w:asciiTheme="minorHAnsi" w:hAnsiTheme="minorHAnsi" w:cstheme="minorHAnsi"/>
          <w:bCs/>
          <w:lang w:eastAsia="ja-JP"/>
        </w:rPr>
      </w:pPr>
      <w:r>
        <w:rPr>
          <w:rFonts w:asciiTheme="minorHAnsi" w:hAnsiTheme="minorHAnsi" w:cstheme="minorHAnsi"/>
          <w:bCs/>
          <w:lang w:eastAsia="ja-JP"/>
        </w:rPr>
        <w:t>Drafting of a proposal for MC consideration</w:t>
      </w:r>
    </w:p>
    <w:p w14:paraId="1FF4B479" w14:textId="77777777" w:rsidR="00292F16" w:rsidRDefault="00292F16" w:rsidP="00085D2A">
      <w:pPr>
        <w:pStyle w:val="ListParagraph"/>
        <w:numPr>
          <w:ilvl w:val="0"/>
          <w:numId w:val="41"/>
        </w:numPr>
        <w:jc w:val="both"/>
        <w:rPr>
          <w:rFonts w:asciiTheme="minorHAnsi" w:hAnsiTheme="minorHAnsi" w:cstheme="minorHAnsi"/>
          <w:bCs/>
          <w:lang w:eastAsia="ja-JP"/>
        </w:rPr>
      </w:pPr>
      <w:r>
        <w:rPr>
          <w:rFonts w:asciiTheme="minorHAnsi" w:hAnsiTheme="minorHAnsi" w:cstheme="minorHAnsi"/>
          <w:bCs/>
          <w:lang w:eastAsia="ja-JP"/>
        </w:rPr>
        <w:t>MC agreement and publishing of IMDRF outputs</w:t>
      </w:r>
    </w:p>
    <w:p w14:paraId="09BC4487" w14:textId="2F3DF6EF" w:rsidR="00292F16" w:rsidRDefault="00292F16" w:rsidP="00085D2A">
      <w:pPr>
        <w:pStyle w:val="ListParagraph"/>
        <w:numPr>
          <w:ilvl w:val="0"/>
          <w:numId w:val="41"/>
        </w:numPr>
        <w:jc w:val="both"/>
        <w:rPr>
          <w:rFonts w:asciiTheme="minorHAnsi" w:hAnsiTheme="minorHAnsi" w:cstheme="minorHAnsi"/>
          <w:bCs/>
          <w:lang w:eastAsia="ja-JP"/>
        </w:rPr>
      </w:pPr>
      <w:r>
        <w:rPr>
          <w:rFonts w:asciiTheme="minorHAnsi" w:hAnsiTheme="minorHAnsi" w:cstheme="minorHAnsi"/>
          <w:bCs/>
          <w:lang w:eastAsia="ja-JP"/>
        </w:rPr>
        <w:t>Implementation considerations and adoption by IMDRF members</w:t>
      </w:r>
    </w:p>
    <w:p w14:paraId="7736FB19" w14:textId="77777777" w:rsidR="00D0241B" w:rsidRPr="00292F16" w:rsidRDefault="00D0241B" w:rsidP="00D0241B">
      <w:pPr>
        <w:pStyle w:val="ListParagraph"/>
        <w:jc w:val="both"/>
        <w:rPr>
          <w:rFonts w:asciiTheme="minorHAnsi" w:hAnsiTheme="minorHAnsi" w:cstheme="minorHAnsi"/>
          <w:bCs/>
          <w:lang w:eastAsia="ja-JP"/>
        </w:rPr>
      </w:pPr>
    </w:p>
    <w:tbl>
      <w:tblPr>
        <w:tblStyle w:val="GridTable5Dark-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292F16" w:rsidRPr="00D0241B" w14:paraId="3C546D75" w14:textId="4C85B289" w:rsidTr="00292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4" w:type="dxa"/>
          </w:tcPr>
          <w:p w14:paraId="1A3631C8" w14:textId="2331C3B9" w:rsidR="00292F16" w:rsidRPr="00D0241B" w:rsidRDefault="00292F16" w:rsidP="00292F16">
            <w:pPr>
              <w:rPr>
                <w:rFonts w:ascii="Calibri" w:hAnsi="Calibri" w:cs="Calibri"/>
                <w:szCs w:val="22"/>
              </w:rPr>
            </w:pPr>
            <w:r w:rsidRPr="00D0241B">
              <w:rPr>
                <w:rFonts w:ascii="Calibri" w:hAnsi="Calibri" w:cs="Calibri"/>
                <w:szCs w:val="22"/>
              </w:rPr>
              <w:t>PRIORITY AREA: Post-Market</w:t>
            </w:r>
          </w:p>
        </w:tc>
      </w:tr>
      <w:tr w:rsidR="00292F16" w:rsidRPr="00D0241B" w14:paraId="62BC0004" w14:textId="036BE192" w:rsidTr="0029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4" w:type="dxa"/>
          </w:tcPr>
          <w:p w14:paraId="0DF7FC05" w14:textId="67D25E62" w:rsidR="00292F16" w:rsidRPr="00D0241B" w:rsidRDefault="00292F16" w:rsidP="004A0175">
            <w:pPr>
              <w:rPr>
                <w:rFonts w:asciiTheme="minorHAnsi" w:hAnsiTheme="minorHAnsi" w:cstheme="minorHAnsi"/>
                <w:szCs w:val="22"/>
                <w:lang w:eastAsia="ja-JP"/>
              </w:rPr>
            </w:pPr>
            <w:r w:rsidRPr="00D0241B">
              <w:rPr>
                <w:rFonts w:ascii="Calibri" w:hAnsi="Calibri" w:cs="Calibri"/>
                <w:szCs w:val="22"/>
              </w:rPr>
              <w:t>Topic: Cyber Security</w:t>
            </w:r>
          </w:p>
          <w:p w14:paraId="7D8C0F79" w14:textId="220CCB4F" w:rsidR="00292F16" w:rsidRPr="00D0241B" w:rsidRDefault="00292F16" w:rsidP="001D45EC">
            <w:pPr>
              <w:rPr>
                <w:rFonts w:ascii="Calibri" w:hAnsi="Calibri" w:cs="Calibri"/>
                <w:b w:val="0"/>
                <w:szCs w:val="22"/>
              </w:rPr>
            </w:pPr>
            <w:r w:rsidRPr="00D0241B">
              <w:rPr>
                <w:rFonts w:asciiTheme="minorHAnsi" w:hAnsiTheme="minorHAnsi" w:cstheme="minorHAnsi"/>
                <w:b w:val="0"/>
                <w:i/>
                <w:szCs w:val="22"/>
                <w:lang w:eastAsia="ja-JP"/>
              </w:rPr>
              <w:t>A life cycle approach to effectively manage cybersecurity risks in medical devices.  Striking the right balance between pre-market and post-market requirements.</w:t>
            </w:r>
          </w:p>
        </w:tc>
      </w:tr>
      <w:tr w:rsidR="00292F16" w:rsidRPr="00D0241B" w14:paraId="7A781BBD" w14:textId="4BCC8E62" w:rsidTr="00292F16">
        <w:tc>
          <w:tcPr>
            <w:cnfStyle w:val="001000000000" w:firstRow="0" w:lastRow="0" w:firstColumn="1" w:lastColumn="0" w:oddVBand="0" w:evenVBand="0" w:oddHBand="0" w:evenHBand="0" w:firstRowFirstColumn="0" w:firstRowLastColumn="0" w:lastRowFirstColumn="0" w:lastRowLastColumn="0"/>
            <w:tcW w:w="12474" w:type="dxa"/>
          </w:tcPr>
          <w:p w14:paraId="61597FA7" w14:textId="0EF39BDF" w:rsidR="00292F16" w:rsidRPr="00D0241B" w:rsidRDefault="00292F16" w:rsidP="004A0175">
            <w:pPr>
              <w:rPr>
                <w:rFonts w:ascii="Calibri" w:hAnsi="Calibri" w:cs="Calibri"/>
                <w:szCs w:val="22"/>
              </w:rPr>
            </w:pPr>
            <w:r w:rsidRPr="00D0241B">
              <w:rPr>
                <w:rFonts w:ascii="Calibri" w:hAnsi="Calibri" w:cs="Calibri"/>
                <w:szCs w:val="22"/>
              </w:rPr>
              <w:t>Topic: Adverse Event Terminology</w:t>
            </w:r>
          </w:p>
          <w:p w14:paraId="41832094" w14:textId="77777777" w:rsidR="00292F16" w:rsidRPr="00D0241B" w:rsidRDefault="00292F16" w:rsidP="004A0175">
            <w:pPr>
              <w:rPr>
                <w:rFonts w:ascii="Calibri" w:hAnsi="Calibri" w:cs="Calibri"/>
                <w:b w:val="0"/>
                <w:szCs w:val="22"/>
              </w:rPr>
            </w:pPr>
            <w:r w:rsidRPr="00D0241B">
              <w:rPr>
                <w:rFonts w:asciiTheme="minorHAnsi" w:hAnsiTheme="minorHAnsi" w:cstheme="minorHAnsi"/>
                <w:b w:val="0"/>
                <w:i/>
                <w:szCs w:val="22"/>
                <w:lang w:eastAsia="ja-JP"/>
              </w:rPr>
              <w:t>Harmonize adverse event terminology to expand terminology and systems being used to code information relating to medical device adverse events.</w:t>
            </w:r>
          </w:p>
        </w:tc>
      </w:tr>
      <w:tr w:rsidR="00292F16" w:rsidRPr="00D0241B" w14:paraId="52C955AB" w14:textId="07642704" w:rsidTr="0029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4" w:type="dxa"/>
          </w:tcPr>
          <w:p w14:paraId="6CCD151F" w14:textId="660A4F37" w:rsidR="00292F16" w:rsidRPr="00D0241B" w:rsidRDefault="00292F16" w:rsidP="004A0175">
            <w:pPr>
              <w:rPr>
                <w:rFonts w:ascii="Calibri" w:hAnsi="Calibri" w:cs="Calibri"/>
                <w:szCs w:val="22"/>
              </w:rPr>
            </w:pPr>
            <w:r w:rsidRPr="00D0241B">
              <w:rPr>
                <w:rFonts w:ascii="Calibri" w:hAnsi="Calibri" w:cs="Calibri"/>
                <w:szCs w:val="22"/>
              </w:rPr>
              <w:t>Topic: Unique Device Identifiers</w:t>
            </w:r>
          </w:p>
          <w:p w14:paraId="12B04305" w14:textId="77777777" w:rsidR="00292F16" w:rsidRPr="00D0241B" w:rsidRDefault="00292F16" w:rsidP="004A0175">
            <w:pPr>
              <w:rPr>
                <w:rFonts w:ascii="Calibri" w:hAnsi="Calibri" w:cs="Calibri"/>
                <w:b w:val="0"/>
                <w:szCs w:val="22"/>
              </w:rPr>
            </w:pPr>
            <w:r w:rsidRPr="00D0241B">
              <w:rPr>
                <w:rFonts w:asciiTheme="minorHAnsi" w:hAnsiTheme="minorHAnsi" w:cstheme="minorHAnsi"/>
                <w:b w:val="0"/>
                <w:i/>
                <w:szCs w:val="22"/>
                <w:lang w:eastAsia="ja-JP"/>
              </w:rPr>
              <w:t>Development of non-binding rules for creating, using, and maintaining unique device identifiers and related activities.</w:t>
            </w:r>
          </w:p>
        </w:tc>
      </w:tr>
    </w:tbl>
    <w:p w14:paraId="7C687E65" w14:textId="6DB3F221" w:rsidR="00A52A1C" w:rsidRDefault="00A52A1C">
      <w:pPr>
        <w:rPr>
          <w:rFonts w:asciiTheme="minorHAnsi" w:hAnsiTheme="minorHAnsi" w:cstheme="minorHAnsi"/>
          <w:bCs/>
          <w:lang w:eastAsia="ja-JP"/>
        </w:rPr>
      </w:pPr>
    </w:p>
    <w:p w14:paraId="34C33E4A" w14:textId="77777777" w:rsidR="00292F16" w:rsidRDefault="00292F16" w:rsidP="00D0241B">
      <w:pPr>
        <w:rPr>
          <w:rFonts w:asciiTheme="minorHAnsi" w:hAnsiTheme="minorHAnsi" w:cstheme="minorHAnsi"/>
          <w:bCs/>
          <w:lang w:eastAsia="ja-JP"/>
        </w:rPr>
      </w:pPr>
    </w:p>
    <w:p w14:paraId="588D8A93" w14:textId="77777777" w:rsidR="00D0241B" w:rsidRDefault="00D0241B" w:rsidP="00D0241B">
      <w:pPr>
        <w:rPr>
          <w:rFonts w:asciiTheme="minorHAnsi" w:hAnsiTheme="minorHAnsi" w:cstheme="minorHAnsi"/>
          <w:bCs/>
          <w:lang w:eastAsia="ja-JP"/>
        </w:rPr>
      </w:pPr>
    </w:p>
    <w:p w14:paraId="2161A53B" w14:textId="77777777" w:rsidR="00D0241B" w:rsidRDefault="00D0241B" w:rsidP="00D0241B">
      <w:pPr>
        <w:rPr>
          <w:rFonts w:asciiTheme="minorHAnsi" w:hAnsiTheme="minorHAnsi" w:cstheme="minorHAnsi"/>
          <w:bCs/>
          <w:lang w:eastAsia="ja-JP"/>
        </w:rPr>
      </w:pPr>
    </w:p>
    <w:p w14:paraId="0E3391B7" w14:textId="77777777" w:rsidR="00D0241B" w:rsidRDefault="00D0241B" w:rsidP="00D0241B">
      <w:pPr>
        <w:rPr>
          <w:rFonts w:asciiTheme="minorHAnsi" w:hAnsiTheme="minorHAnsi" w:cstheme="minorHAnsi"/>
          <w:bCs/>
          <w:lang w:eastAsia="ja-JP"/>
        </w:rPr>
      </w:pPr>
    </w:p>
    <w:p w14:paraId="534AB74C" w14:textId="77777777" w:rsidR="00D0241B" w:rsidRDefault="00D0241B" w:rsidP="00D0241B">
      <w:pPr>
        <w:rPr>
          <w:rFonts w:asciiTheme="minorHAnsi" w:hAnsiTheme="minorHAnsi" w:cstheme="minorHAnsi"/>
          <w:bCs/>
          <w:lang w:eastAsia="ja-JP"/>
        </w:rPr>
      </w:pPr>
    </w:p>
    <w:p w14:paraId="266546EE" w14:textId="77777777" w:rsidR="00D0241B" w:rsidRDefault="00D0241B" w:rsidP="00D0241B">
      <w:pPr>
        <w:rPr>
          <w:rFonts w:asciiTheme="minorHAnsi" w:hAnsiTheme="minorHAnsi" w:cstheme="minorHAnsi"/>
          <w:bCs/>
          <w:lang w:eastAsia="ja-JP"/>
        </w:rPr>
      </w:pPr>
    </w:p>
    <w:p w14:paraId="4DB2A250" w14:textId="470E257F" w:rsidR="00D0241B" w:rsidRPr="00D0241B" w:rsidRDefault="00D0241B" w:rsidP="00D0241B">
      <w:pPr>
        <w:rPr>
          <w:rFonts w:asciiTheme="minorHAnsi" w:hAnsiTheme="minorHAnsi" w:cstheme="minorHAnsi"/>
          <w:bCs/>
          <w:lang w:eastAsia="ja-JP"/>
        </w:rPr>
        <w:sectPr w:rsidR="00D0241B" w:rsidRPr="00D0241B" w:rsidSect="00D0241B">
          <w:type w:val="continuous"/>
          <w:pgSz w:w="11906" w:h="16838" w:code="9"/>
          <w:pgMar w:top="1440" w:right="1440" w:bottom="1440" w:left="1440" w:header="709" w:footer="709" w:gutter="0"/>
          <w:cols w:space="709"/>
          <w:docGrid w:linePitch="360"/>
        </w:sectPr>
      </w:pPr>
    </w:p>
    <w:tbl>
      <w:tblPr>
        <w:tblStyle w:val="TableGrid"/>
        <w:tblpPr w:leftFromText="180" w:rightFromText="180" w:vertAnchor="text" w:tblpY="-12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72C8E" w:rsidRPr="00604C32" w14:paraId="1C148772" w14:textId="77777777" w:rsidTr="00E72C8E">
        <w:trPr>
          <w:trHeight w:val="993"/>
        </w:trPr>
        <w:tc>
          <w:tcPr>
            <w:tcW w:w="9016" w:type="dxa"/>
          </w:tcPr>
          <w:p w14:paraId="1373BD88" w14:textId="04E26F8F" w:rsidR="00E72C8E" w:rsidRPr="00604C32" w:rsidRDefault="00E72C8E" w:rsidP="00E72C8E">
            <w:pPr>
              <w:keepNext/>
              <w:keepLines/>
              <w:spacing w:before="240"/>
              <w:outlineLvl w:val="0"/>
              <w:rPr>
                <w:rFonts w:asciiTheme="minorHAnsi" w:eastAsiaTheme="majorEastAsia" w:hAnsiTheme="minorHAnsi" w:cstheme="minorHAnsi"/>
                <w:b/>
                <w:color w:val="7C9163" w:themeColor="accent1" w:themeShade="BF"/>
                <w:sz w:val="48"/>
                <w:szCs w:val="48"/>
              </w:rPr>
            </w:pPr>
            <w:bookmarkStart w:id="15" w:name="Relationships_Stakeholders"/>
            <w:bookmarkStart w:id="16" w:name="_Toc48545807"/>
            <w:r w:rsidRPr="00904C51">
              <w:rPr>
                <w:rFonts w:asciiTheme="minorHAnsi" w:hAnsiTheme="minorHAnsi" w:cstheme="minorHAnsi"/>
                <w:noProof/>
                <w:color w:val="A5B592" w:themeColor="accent1"/>
                <w:sz w:val="68"/>
                <w:szCs w:val="68"/>
                <w:lang w:eastAsia="en-A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drawing>
                <wp:anchor distT="0" distB="0" distL="114300" distR="114300" simplePos="0" relativeHeight="251663360" behindDoc="1" locked="0" layoutInCell="1" allowOverlap="1" wp14:anchorId="52E8C467" wp14:editId="2E5ECC65">
                  <wp:simplePos x="0" y="0"/>
                  <wp:positionH relativeFrom="leftMargin">
                    <wp:posOffset>5523328</wp:posOffset>
                  </wp:positionH>
                  <wp:positionV relativeFrom="paragraph">
                    <wp:posOffset>89975</wp:posOffset>
                  </wp:positionV>
                  <wp:extent cx="523875" cy="5238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work.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ajorEastAsia" w:hAnsiTheme="minorHAnsi" w:cstheme="minorHAnsi"/>
                <w:b/>
                <w:color w:val="7C9163" w:themeColor="accent1" w:themeShade="BF"/>
                <w:sz w:val="48"/>
                <w:szCs w:val="48"/>
              </w:rPr>
              <w:t xml:space="preserve">Priority 3: </w:t>
            </w:r>
            <w:r w:rsidRPr="00604C32">
              <w:rPr>
                <w:rFonts w:asciiTheme="minorHAnsi" w:eastAsiaTheme="majorEastAsia" w:hAnsiTheme="minorHAnsi" w:cstheme="minorHAnsi"/>
                <w:b/>
                <w:color w:val="7C9163" w:themeColor="accent1" w:themeShade="BF"/>
                <w:sz w:val="48"/>
                <w:szCs w:val="48"/>
              </w:rPr>
              <w:t>Relationships with Stakeholders</w:t>
            </w:r>
            <w:bookmarkEnd w:id="15"/>
            <w:bookmarkEnd w:id="16"/>
          </w:p>
          <w:p w14:paraId="5A3AC7EC" w14:textId="77777777" w:rsidR="00E72C8E" w:rsidRPr="00484882" w:rsidRDefault="00E72C8E" w:rsidP="00E72C8E">
            <w:pPr>
              <w:spacing w:after="160" w:line="259" w:lineRule="auto"/>
            </w:pPr>
          </w:p>
        </w:tc>
      </w:tr>
    </w:tbl>
    <w:p w14:paraId="74AFDF0A" w14:textId="676DB93F" w:rsidR="00604C32" w:rsidRDefault="00604C32" w:rsidP="00050B16">
      <w:pPr>
        <w:rPr>
          <w:rFonts w:asciiTheme="minorHAnsi" w:hAnsiTheme="minorHAnsi" w:cstheme="minorHAnsi"/>
          <w:bCs/>
          <w:lang w:eastAsia="ja-JP"/>
        </w:rPr>
      </w:pPr>
    </w:p>
    <w:p w14:paraId="59BDC5DD" w14:textId="55FC7FBF" w:rsidR="0022552E" w:rsidRDefault="0022552E" w:rsidP="00085D2A">
      <w:pPr>
        <w:pStyle w:val="ListParagraph"/>
        <w:spacing w:line="360" w:lineRule="auto"/>
        <w:ind w:left="0"/>
        <w:jc w:val="both"/>
        <w:rPr>
          <w:rFonts w:asciiTheme="minorHAnsi" w:hAnsiTheme="minorHAnsi" w:cstheme="minorHAnsi"/>
          <w:bCs/>
          <w:lang w:eastAsia="ja-JP"/>
        </w:rPr>
      </w:pPr>
      <w:r w:rsidRPr="0022552E">
        <w:rPr>
          <w:rFonts w:asciiTheme="minorHAnsi" w:hAnsiTheme="minorHAnsi" w:cstheme="minorHAnsi"/>
          <w:bCs/>
          <w:lang w:eastAsia="ja-JP"/>
        </w:rPr>
        <w:t>IMDRF values transparency and inclusiveness. IMDRF will continue to promote close communication about IMDRF activities and outputs with stakeholders, such as</w:t>
      </w:r>
      <w:r>
        <w:rPr>
          <w:rFonts w:asciiTheme="minorHAnsi" w:hAnsiTheme="minorHAnsi" w:cstheme="minorHAnsi"/>
          <w:bCs/>
          <w:lang w:eastAsia="ja-JP"/>
        </w:rPr>
        <w:t>:</w:t>
      </w:r>
    </w:p>
    <w:p w14:paraId="65CB815F" w14:textId="77777777" w:rsidR="0022552E" w:rsidRDefault="0022552E" w:rsidP="00085D2A">
      <w:pPr>
        <w:pStyle w:val="ListParagraph"/>
        <w:numPr>
          <w:ilvl w:val="0"/>
          <w:numId w:val="31"/>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medical devices industries, </w:t>
      </w:r>
    </w:p>
    <w:p w14:paraId="68311C34" w14:textId="77777777" w:rsidR="0022552E" w:rsidRDefault="0022552E" w:rsidP="00085D2A">
      <w:pPr>
        <w:pStyle w:val="ListParagraph"/>
        <w:numPr>
          <w:ilvl w:val="0"/>
          <w:numId w:val="31"/>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other regulators, </w:t>
      </w:r>
    </w:p>
    <w:p w14:paraId="7926C5FA" w14:textId="77777777" w:rsidR="0022552E" w:rsidRDefault="0022552E" w:rsidP="00085D2A">
      <w:pPr>
        <w:pStyle w:val="ListParagraph"/>
        <w:numPr>
          <w:ilvl w:val="0"/>
          <w:numId w:val="31"/>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international organizations, </w:t>
      </w:r>
    </w:p>
    <w:p w14:paraId="3444DC0C" w14:textId="77777777" w:rsidR="0022552E" w:rsidRDefault="0022552E" w:rsidP="00085D2A">
      <w:pPr>
        <w:pStyle w:val="ListParagraph"/>
        <w:numPr>
          <w:ilvl w:val="0"/>
          <w:numId w:val="31"/>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standards development organizations, </w:t>
      </w:r>
    </w:p>
    <w:p w14:paraId="2039E3B1" w14:textId="77777777" w:rsidR="0022552E" w:rsidRDefault="0022552E" w:rsidP="00085D2A">
      <w:pPr>
        <w:pStyle w:val="ListParagraph"/>
        <w:numPr>
          <w:ilvl w:val="0"/>
          <w:numId w:val="31"/>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patient and professional associations, and </w:t>
      </w:r>
    </w:p>
    <w:p w14:paraId="3EF6575D" w14:textId="50BA902D" w:rsidR="0022552E" w:rsidRPr="0022552E" w:rsidRDefault="0022552E" w:rsidP="00085D2A">
      <w:pPr>
        <w:pStyle w:val="ListParagraph"/>
        <w:numPr>
          <w:ilvl w:val="0"/>
          <w:numId w:val="31"/>
        </w:numPr>
        <w:spacing w:line="360" w:lineRule="auto"/>
        <w:jc w:val="both"/>
        <w:rPr>
          <w:rFonts w:asciiTheme="minorHAnsi" w:hAnsiTheme="minorHAnsi" w:cstheme="minorHAnsi"/>
          <w:bCs/>
          <w:lang w:eastAsia="ja-JP"/>
        </w:rPr>
      </w:pPr>
      <w:r w:rsidRPr="0022552E">
        <w:rPr>
          <w:rFonts w:asciiTheme="minorHAnsi" w:hAnsiTheme="minorHAnsi" w:cstheme="minorHAnsi"/>
          <w:bCs/>
          <w:lang w:eastAsia="ja-JP"/>
        </w:rPr>
        <w:t xml:space="preserve">academia, in IMDRF working groups, as appropriate. </w:t>
      </w:r>
    </w:p>
    <w:p w14:paraId="0B826B25" w14:textId="622F2302" w:rsidR="0022552E" w:rsidRDefault="0022552E" w:rsidP="00085D2A">
      <w:pPr>
        <w:pStyle w:val="ListParagraph"/>
        <w:spacing w:line="360" w:lineRule="auto"/>
        <w:ind w:left="0"/>
        <w:jc w:val="both"/>
        <w:rPr>
          <w:rFonts w:asciiTheme="minorHAnsi" w:hAnsiTheme="minorHAnsi" w:cstheme="minorHAnsi"/>
          <w:bCs/>
          <w:lang w:eastAsia="ja-JP"/>
        </w:rPr>
      </w:pPr>
    </w:p>
    <w:p w14:paraId="455EE31C" w14:textId="77777777" w:rsidR="003D7B65" w:rsidRPr="0022552E" w:rsidRDefault="003D7B65" w:rsidP="00085D2A">
      <w:pPr>
        <w:pStyle w:val="ListParagraph"/>
        <w:spacing w:line="360" w:lineRule="auto"/>
        <w:ind w:left="0"/>
        <w:jc w:val="both"/>
        <w:rPr>
          <w:rFonts w:asciiTheme="minorHAnsi" w:hAnsiTheme="minorHAnsi" w:cstheme="minorHAnsi"/>
          <w:bCs/>
          <w:lang w:eastAsia="ja-JP"/>
        </w:rPr>
      </w:pPr>
    </w:p>
    <w:p w14:paraId="20B44636" w14:textId="392EE678" w:rsidR="0022552E" w:rsidRPr="0022552E" w:rsidRDefault="0022552E" w:rsidP="00085D2A">
      <w:pPr>
        <w:pStyle w:val="ListParagraph"/>
        <w:spacing w:line="360" w:lineRule="auto"/>
        <w:ind w:left="0"/>
        <w:jc w:val="both"/>
        <w:rPr>
          <w:rFonts w:asciiTheme="minorHAnsi" w:hAnsiTheme="minorHAnsi" w:cstheme="minorHAnsi"/>
          <w:bCs/>
          <w:lang w:eastAsia="ja-JP"/>
        </w:rPr>
      </w:pPr>
      <w:r w:rsidRPr="0022552E">
        <w:rPr>
          <w:rFonts w:asciiTheme="minorHAnsi" w:hAnsiTheme="minorHAnsi" w:cstheme="minorHAnsi" w:hint="eastAsia"/>
          <w:bCs/>
          <w:lang w:eastAsia="ja-JP"/>
        </w:rPr>
        <w:t>IMDRF</w:t>
      </w:r>
      <w:r w:rsidRPr="0022552E">
        <w:rPr>
          <w:rFonts w:asciiTheme="minorHAnsi" w:hAnsiTheme="minorHAnsi" w:cstheme="minorHAnsi"/>
          <w:bCs/>
          <w:lang w:eastAsia="ja-JP"/>
        </w:rPr>
        <w:t xml:space="preserve"> will continue to encourage collaboration and outreach with </w:t>
      </w:r>
      <w:r w:rsidR="003E7152">
        <w:rPr>
          <w:rFonts w:asciiTheme="minorHAnsi" w:hAnsiTheme="minorHAnsi" w:cstheme="minorHAnsi"/>
          <w:bCs/>
          <w:lang w:eastAsia="ja-JP"/>
        </w:rPr>
        <w:t>Regional Harmonisation Initiatives</w:t>
      </w:r>
      <w:r w:rsidRPr="0022552E">
        <w:rPr>
          <w:rFonts w:asciiTheme="minorHAnsi" w:hAnsiTheme="minorHAnsi" w:cstheme="minorHAnsi"/>
          <w:bCs/>
          <w:lang w:eastAsia="ja-JP"/>
        </w:rPr>
        <w:t xml:space="preserve"> and other interested regulatory authorities. IMDRF will seek opportunities to develop stronger relationships with organizations that help advance our mission, such as standards development organizations. </w:t>
      </w:r>
      <w:r w:rsidR="001B02C7">
        <w:rPr>
          <w:rFonts w:asciiTheme="minorHAnsi" w:hAnsiTheme="minorHAnsi" w:cstheme="minorHAnsi"/>
          <w:bCs/>
          <w:lang w:eastAsia="ja-JP"/>
        </w:rPr>
        <w:t xml:space="preserve">IMDRF will </w:t>
      </w:r>
      <w:r w:rsidR="00C729D3">
        <w:rPr>
          <w:rFonts w:asciiTheme="minorHAnsi" w:hAnsiTheme="minorHAnsi" w:cstheme="minorHAnsi"/>
          <w:bCs/>
          <w:lang w:eastAsia="ja-JP"/>
        </w:rPr>
        <w:t xml:space="preserve">work towards promoting regulatory convergence by developing consistent training programs to facilitate harmonised </w:t>
      </w:r>
      <w:r w:rsidR="00674667">
        <w:rPr>
          <w:rFonts w:asciiTheme="minorHAnsi" w:hAnsiTheme="minorHAnsi" w:cstheme="minorHAnsi"/>
          <w:bCs/>
          <w:lang w:eastAsia="ja-JP"/>
        </w:rPr>
        <w:t>regulatory</w:t>
      </w:r>
      <w:r w:rsidR="00C729D3">
        <w:rPr>
          <w:rFonts w:asciiTheme="minorHAnsi" w:hAnsiTheme="minorHAnsi" w:cstheme="minorHAnsi"/>
          <w:bCs/>
          <w:lang w:eastAsia="ja-JP"/>
        </w:rPr>
        <w:t xml:space="preserve"> approaches and consistent implementation among various jurisdictions. </w:t>
      </w:r>
      <w:r w:rsidRPr="0022552E">
        <w:rPr>
          <w:rFonts w:asciiTheme="minorHAnsi" w:hAnsiTheme="minorHAnsi" w:cstheme="minorHAnsi"/>
          <w:bCs/>
          <w:lang w:eastAsia="ja-JP"/>
        </w:rPr>
        <w:t>In addition, IMDRF will consider new membership requests based on the established IMDRF ToR and Standard Operating Procedures.</w:t>
      </w:r>
    </w:p>
    <w:p w14:paraId="745312FE" w14:textId="320C826D" w:rsidR="00667A13" w:rsidRDefault="00667A13" w:rsidP="00085D2A">
      <w:pPr>
        <w:jc w:val="both"/>
        <w:rPr>
          <w:rFonts w:asciiTheme="minorHAnsi" w:hAnsiTheme="minorHAnsi" w:cstheme="minorHAnsi"/>
        </w:rPr>
      </w:pPr>
      <w:r>
        <w:rPr>
          <w:rFonts w:asciiTheme="minorHAnsi" w:hAnsiTheme="minorHAnsi" w:cstheme="minorHAnsi"/>
        </w:rPr>
        <w:br w:type="page"/>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E43D2" w:rsidRPr="007253C2" w14:paraId="6C986850" w14:textId="77777777" w:rsidTr="00FB1B2F">
        <w:tc>
          <w:tcPr>
            <w:tcW w:w="9016" w:type="dxa"/>
          </w:tcPr>
          <w:p w14:paraId="6219BBE7" w14:textId="085B3D7B" w:rsidR="006E43D2" w:rsidRDefault="00F7725C" w:rsidP="00FB1B2F">
            <w:pPr>
              <w:pStyle w:val="Heading1"/>
              <w:outlineLvl w:val="0"/>
              <w:rPr>
                <w:rFonts w:asciiTheme="minorHAnsi" w:hAnsiTheme="minorHAnsi" w:cstheme="minorHAnsi"/>
                <w:b/>
                <w:sz w:val="48"/>
                <w:szCs w:val="48"/>
              </w:rPr>
            </w:pPr>
            <w:r>
              <w:rPr>
                <w:rFonts w:asciiTheme="minorHAnsi" w:hAnsiTheme="minorHAnsi" w:cstheme="minorHAnsi"/>
              </w:rPr>
              <w:lastRenderedPageBreak/>
              <w:br w:type="page"/>
            </w:r>
            <w:bookmarkStart w:id="17" w:name="_Toc48545808"/>
            <w:r w:rsidR="006E43D2">
              <w:rPr>
                <w:rFonts w:asciiTheme="minorHAnsi" w:hAnsiTheme="minorHAnsi" w:cstheme="minorHAnsi"/>
                <w:b/>
                <w:sz w:val="48"/>
                <w:szCs w:val="48"/>
              </w:rPr>
              <w:t>Implementing our Strategic Plan</w:t>
            </w:r>
            <w:bookmarkEnd w:id="17"/>
          </w:p>
          <w:p w14:paraId="14E9E8E5" w14:textId="77777777" w:rsidR="006E43D2" w:rsidRPr="00E26BDB" w:rsidRDefault="006E43D2" w:rsidP="00FB1B2F"/>
        </w:tc>
      </w:tr>
    </w:tbl>
    <w:p w14:paraId="2DE6BE13" w14:textId="3C8CE964" w:rsidR="006E43D2" w:rsidRDefault="006E43D2" w:rsidP="006E43D2">
      <w:pPr>
        <w:rPr>
          <w:rFonts w:asciiTheme="minorHAnsi" w:hAnsiTheme="minorHAnsi" w:cstheme="minorHAnsi"/>
        </w:rPr>
      </w:pPr>
    </w:p>
    <w:p w14:paraId="08169FDE" w14:textId="6826FD61" w:rsidR="006E43D2" w:rsidRPr="00085D2A" w:rsidRDefault="006E43D2" w:rsidP="00085D2A">
      <w:pPr>
        <w:jc w:val="both"/>
        <w:rPr>
          <w:rFonts w:asciiTheme="minorHAnsi" w:eastAsia="Microsoft YaHei Light" w:hAnsiTheme="minorHAnsi" w:cstheme="minorHAnsi"/>
          <w:b/>
          <w:bCs/>
          <w:sz w:val="28"/>
          <w:lang w:eastAsia="ja-JP"/>
        </w:rPr>
      </w:pPr>
      <w:r w:rsidRPr="00085D2A">
        <w:rPr>
          <w:rFonts w:asciiTheme="minorHAnsi" w:eastAsia="Microsoft YaHei Light" w:hAnsiTheme="minorHAnsi" w:cstheme="minorHAnsi"/>
          <w:b/>
          <w:bCs/>
          <w:sz w:val="28"/>
          <w:lang w:eastAsia="ja-JP"/>
        </w:rPr>
        <w:t>Delivery of our Strategic Plan will be governed by the IMDRF Management Committee.</w:t>
      </w:r>
    </w:p>
    <w:p w14:paraId="7434BC3E" w14:textId="0A0BED11" w:rsidR="009E1025" w:rsidRDefault="009E1025" w:rsidP="00085D2A">
      <w:pPr>
        <w:jc w:val="both"/>
        <w:rPr>
          <w:rFonts w:asciiTheme="minorHAnsi" w:eastAsia="Microsoft YaHei Light" w:hAnsiTheme="minorHAnsi" w:cstheme="minorHAnsi"/>
          <w:b/>
          <w:bCs/>
          <w:lang w:eastAsia="ja-JP"/>
        </w:rPr>
        <w:sectPr w:rsidR="009E1025" w:rsidSect="0087090A">
          <w:type w:val="continuous"/>
          <w:pgSz w:w="11906" w:h="16838"/>
          <w:pgMar w:top="1440" w:right="1440" w:bottom="1440" w:left="1440" w:header="709" w:footer="709" w:gutter="0"/>
          <w:cols w:space="709"/>
          <w:docGrid w:linePitch="360"/>
        </w:sectPr>
      </w:pPr>
    </w:p>
    <w:p w14:paraId="30435CF9" w14:textId="77777777" w:rsidR="006E43D2" w:rsidRPr="009E1025" w:rsidRDefault="006E43D2" w:rsidP="00085D2A">
      <w:pPr>
        <w:pStyle w:val="Default"/>
        <w:spacing w:after="100" w:line="181" w:lineRule="atLeast"/>
        <w:jc w:val="both"/>
        <w:rPr>
          <w:rFonts w:cs="Times New Roman"/>
          <w:color w:val="auto"/>
          <w:sz w:val="8"/>
          <w:szCs w:val="18"/>
        </w:rPr>
        <w:sectPr w:rsidR="006E43D2" w:rsidRPr="009E1025" w:rsidSect="0087090A">
          <w:type w:val="continuous"/>
          <w:pgSz w:w="11906" w:h="16838"/>
          <w:pgMar w:top="1440" w:right="1440" w:bottom="1440" w:left="1440" w:header="709" w:footer="709" w:gutter="0"/>
          <w:cols w:num="3" w:space="709"/>
          <w:docGrid w:linePitch="360"/>
        </w:sectPr>
      </w:pPr>
    </w:p>
    <w:p w14:paraId="621A48FB" w14:textId="77777777" w:rsidR="004D3D6D" w:rsidRDefault="006E43D2" w:rsidP="00085D2A">
      <w:pPr>
        <w:pStyle w:val="Default"/>
        <w:spacing w:after="100" w:line="360" w:lineRule="auto"/>
        <w:jc w:val="both"/>
        <w:rPr>
          <w:rFonts w:asciiTheme="minorHAnsi" w:hAnsiTheme="minorHAnsi" w:cstheme="minorHAnsi"/>
          <w:color w:val="auto"/>
        </w:rPr>
      </w:pPr>
      <w:r w:rsidRPr="006E43D2">
        <w:rPr>
          <w:rFonts w:asciiTheme="minorHAnsi" w:hAnsiTheme="minorHAnsi" w:cstheme="minorHAnsi"/>
          <w:color w:val="auto"/>
        </w:rPr>
        <w:t xml:space="preserve">Delivery of our Strategic Plan will be monitored by </w:t>
      </w:r>
      <w:r>
        <w:rPr>
          <w:rFonts w:asciiTheme="minorHAnsi" w:hAnsiTheme="minorHAnsi" w:cstheme="minorHAnsi"/>
          <w:color w:val="auto"/>
        </w:rPr>
        <w:t>the IMDRF Secretariat</w:t>
      </w:r>
      <w:r w:rsidRPr="006E43D2">
        <w:rPr>
          <w:rFonts w:asciiTheme="minorHAnsi" w:hAnsiTheme="minorHAnsi" w:cstheme="minorHAnsi"/>
          <w:color w:val="auto"/>
        </w:rPr>
        <w:t xml:space="preserve">, led by the </w:t>
      </w:r>
      <w:r>
        <w:rPr>
          <w:rFonts w:asciiTheme="minorHAnsi" w:hAnsiTheme="minorHAnsi" w:cstheme="minorHAnsi"/>
          <w:color w:val="auto"/>
        </w:rPr>
        <w:t>IMDRF Management Committee</w:t>
      </w:r>
      <w:r w:rsidRPr="006E43D2">
        <w:rPr>
          <w:rFonts w:asciiTheme="minorHAnsi" w:hAnsiTheme="minorHAnsi" w:cstheme="minorHAnsi"/>
          <w:color w:val="auto"/>
        </w:rPr>
        <w:t xml:space="preserve"> and require the commitment of all </w:t>
      </w:r>
      <w:r>
        <w:rPr>
          <w:rFonts w:asciiTheme="minorHAnsi" w:hAnsiTheme="minorHAnsi" w:cstheme="minorHAnsi"/>
          <w:color w:val="auto"/>
        </w:rPr>
        <w:t>members</w:t>
      </w:r>
      <w:r w:rsidRPr="006E43D2">
        <w:rPr>
          <w:rFonts w:asciiTheme="minorHAnsi" w:hAnsiTheme="minorHAnsi" w:cstheme="minorHAnsi"/>
          <w:color w:val="auto"/>
        </w:rPr>
        <w:t xml:space="preserve">. </w:t>
      </w:r>
    </w:p>
    <w:p w14:paraId="32B72461" w14:textId="17EB0BB8" w:rsidR="006E43D2" w:rsidRPr="006E43D2" w:rsidRDefault="006E43D2" w:rsidP="00085D2A">
      <w:pPr>
        <w:pStyle w:val="Default"/>
        <w:spacing w:after="100" w:line="360" w:lineRule="auto"/>
        <w:jc w:val="both"/>
        <w:rPr>
          <w:rFonts w:asciiTheme="minorHAnsi" w:hAnsiTheme="minorHAnsi" w:cstheme="minorHAnsi"/>
          <w:color w:val="auto"/>
        </w:rPr>
      </w:pPr>
      <w:r w:rsidRPr="006E43D2">
        <w:rPr>
          <w:rFonts w:asciiTheme="minorHAnsi" w:hAnsiTheme="minorHAnsi" w:cstheme="minorHAnsi"/>
          <w:color w:val="auto"/>
        </w:rPr>
        <w:t xml:space="preserve">Our Strategic Plan will be a document that is referred to </w:t>
      </w:r>
      <w:r w:rsidR="00F05D27">
        <w:rPr>
          <w:rFonts w:asciiTheme="minorHAnsi" w:hAnsiTheme="minorHAnsi" w:cstheme="minorHAnsi"/>
          <w:color w:val="auto"/>
        </w:rPr>
        <w:t>and reported against to provide</w:t>
      </w:r>
      <w:r w:rsidRPr="006E43D2">
        <w:rPr>
          <w:rFonts w:asciiTheme="minorHAnsi" w:hAnsiTheme="minorHAnsi" w:cstheme="minorHAnsi"/>
          <w:color w:val="auto"/>
        </w:rPr>
        <w:t xml:space="preserve"> strong direction and focus over the next </w:t>
      </w:r>
      <w:r w:rsidR="00E25FF0">
        <w:rPr>
          <w:rFonts w:asciiTheme="minorHAnsi" w:hAnsiTheme="minorHAnsi" w:cstheme="minorHAnsi"/>
          <w:color w:val="auto"/>
        </w:rPr>
        <w:t>five</w:t>
      </w:r>
      <w:r w:rsidR="00E25FF0" w:rsidRPr="006E43D2">
        <w:rPr>
          <w:rFonts w:asciiTheme="minorHAnsi" w:hAnsiTheme="minorHAnsi" w:cstheme="minorHAnsi"/>
          <w:color w:val="auto"/>
        </w:rPr>
        <w:t xml:space="preserve"> </w:t>
      </w:r>
      <w:r w:rsidRPr="006E43D2">
        <w:rPr>
          <w:rFonts w:asciiTheme="minorHAnsi" w:hAnsiTheme="minorHAnsi" w:cstheme="minorHAnsi"/>
          <w:color w:val="auto"/>
        </w:rPr>
        <w:t>y</w:t>
      </w:r>
      <w:r w:rsidR="0012415E">
        <w:rPr>
          <w:rFonts w:asciiTheme="minorHAnsi" w:hAnsiTheme="minorHAnsi" w:cstheme="minorHAnsi"/>
          <w:color w:val="auto"/>
        </w:rPr>
        <w:t xml:space="preserve">ears. </w:t>
      </w:r>
      <w:r w:rsidR="00F05D27">
        <w:rPr>
          <w:rFonts w:asciiTheme="minorHAnsi" w:hAnsiTheme="minorHAnsi" w:cstheme="minorHAnsi"/>
          <w:color w:val="auto"/>
        </w:rPr>
        <w:t xml:space="preserve"> It will be updated as appropriate.</w:t>
      </w:r>
    </w:p>
    <w:p w14:paraId="36FB591B" w14:textId="04234665" w:rsidR="006E43D2" w:rsidRPr="006E43D2" w:rsidRDefault="006E43D2" w:rsidP="00085D2A">
      <w:pPr>
        <w:pStyle w:val="Pa0"/>
        <w:spacing w:after="100" w:line="360" w:lineRule="auto"/>
        <w:jc w:val="both"/>
        <w:rPr>
          <w:rFonts w:asciiTheme="minorHAnsi" w:hAnsiTheme="minorHAnsi" w:cstheme="minorHAnsi"/>
        </w:rPr>
      </w:pPr>
      <w:r w:rsidRPr="006E43D2">
        <w:rPr>
          <w:rFonts w:asciiTheme="minorHAnsi" w:hAnsiTheme="minorHAnsi" w:cstheme="minorHAnsi"/>
        </w:rPr>
        <w:t xml:space="preserve"> </w:t>
      </w:r>
    </w:p>
    <w:p w14:paraId="303D6BBA" w14:textId="20B4C77F" w:rsidR="006E43D2" w:rsidRPr="00F05D27" w:rsidRDefault="006E43D2" w:rsidP="00085D2A">
      <w:pPr>
        <w:spacing w:line="360" w:lineRule="auto"/>
        <w:jc w:val="both"/>
        <w:rPr>
          <w:rFonts w:asciiTheme="minorHAnsi" w:eastAsia="Microsoft YaHei Light" w:hAnsiTheme="minorHAnsi" w:cstheme="minorHAnsi"/>
          <w:bCs/>
          <w:lang w:eastAsia="ja-JP"/>
        </w:rPr>
        <w:sectPr w:rsidR="006E43D2" w:rsidRPr="00F05D27" w:rsidSect="005226FE">
          <w:type w:val="continuous"/>
          <w:pgSz w:w="11906" w:h="16838"/>
          <w:pgMar w:top="1440" w:right="1440" w:bottom="1440" w:left="1440" w:header="709" w:footer="709" w:gutter="0"/>
          <w:cols w:space="709"/>
          <w:docGrid w:linePitch="360"/>
        </w:sectPr>
      </w:pPr>
    </w:p>
    <w:p w14:paraId="6897A83A" w14:textId="4D0B0D51" w:rsidR="006E43D2" w:rsidRDefault="006E43D2" w:rsidP="00085D2A">
      <w:pPr>
        <w:jc w:val="both"/>
        <w:rPr>
          <w:rFonts w:asciiTheme="minorHAnsi" w:eastAsia="Microsoft YaHei Light" w:hAnsiTheme="minorHAnsi" w:cstheme="minorHAnsi"/>
          <w:b/>
          <w:bCs/>
          <w:lang w:eastAsia="ja-JP"/>
        </w:rPr>
      </w:pPr>
    </w:p>
    <w:p w14:paraId="3C0ACC72" w14:textId="0551FA19" w:rsidR="00951508" w:rsidRDefault="00951508" w:rsidP="00085D2A">
      <w:pPr>
        <w:jc w:val="both"/>
        <w:rPr>
          <w:rFonts w:asciiTheme="minorHAnsi" w:eastAsia="Microsoft YaHei Light" w:hAnsiTheme="minorHAnsi" w:cstheme="minorHAnsi"/>
          <w:b/>
          <w:bCs/>
          <w:lang w:eastAsia="ja-JP"/>
        </w:rPr>
      </w:pPr>
    </w:p>
    <w:p w14:paraId="34F44BE7" w14:textId="4FC982B2" w:rsidR="00951508" w:rsidRPr="006E43D2" w:rsidRDefault="00951508" w:rsidP="00085D2A">
      <w:pPr>
        <w:jc w:val="both"/>
        <w:rPr>
          <w:rFonts w:asciiTheme="minorHAnsi" w:eastAsia="Microsoft YaHei Light" w:hAnsiTheme="minorHAnsi" w:cstheme="minorHAnsi"/>
          <w:b/>
          <w:bCs/>
          <w:lang w:eastAsia="ja-JP"/>
        </w:rPr>
      </w:pPr>
    </w:p>
    <w:p w14:paraId="48981884" w14:textId="77777777" w:rsidR="00061616" w:rsidRDefault="00061616" w:rsidP="00085D2A">
      <w:pPr>
        <w:jc w:val="both"/>
        <w:rPr>
          <w:rFonts w:asciiTheme="minorHAnsi" w:eastAsia="Microsoft YaHei Light" w:hAnsiTheme="minorHAnsi" w:cstheme="minorHAnsi"/>
          <w:b/>
          <w:bCs/>
          <w:lang w:eastAsia="ja-JP"/>
        </w:rPr>
        <w:sectPr w:rsidR="00061616" w:rsidSect="0087090A">
          <w:type w:val="continuous"/>
          <w:pgSz w:w="11906" w:h="16838"/>
          <w:pgMar w:top="1440" w:right="1440" w:bottom="1440" w:left="1440" w:header="709" w:footer="709" w:gutter="0"/>
          <w:cols w:num="3" w:space="709"/>
          <w:docGrid w:linePitch="360"/>
        </w:sectPr>
      </w:pPr>
    </w:p>
    <w:p w14:paraId="046657BF" w14:textId="00C4F853" w:rsidR="00951508" w:rsidRPr="00085D2A" w:rsidRDefault="00951508" w:rsidP="00085D2A">
      <w:pPr>
        <w:jc w:val="both"/>
        <w:rPr>
          <w:rFonts w:asciiTheme="minorHAnsi" w:eastAsia="Microsoft YaHei Light" w:hAnsiTheme="minorHAnsi" w:cstheme="minorHAnsi"/>
          <w:b/>
          <w:bCs/>
          <w:sz w:val="28"/>
          <w:lang w:eastAsia="ja-JP"/>
        </w:rPr>
      </w:pPr>
      <w:r w:rsidRPr="00085D2A">
        <w:rPr>
          <w:rFonts w:asciiTheme="minorHAnsi" w:eastAsia="Microsoft YaHei Light" w:hAnsiTheme="minorHAnsi" w:cstheme="minorHAnsi"/>
          <w:b/>
          <w:bCs/>
          <w:sz w:val="28"/>
          <w:lang w:eastAsia="ja-JP"/>
        </w:rPr>
        <w:t>Tools to track our implementation:</w:t>
      </w:r>
    </w:p>
    <w:p w14:paraId="1F772B25" w14:textId="77777777" w:rsidR="00085D2A" w:rsidRPr="009E1025" w:rsidRDefault="00085D2A" w:rsidP="00085D2A">
      <w:pPr>
        <w:jc w:val="both"/>
        <w:rPr>
          <w:rFonts w:asciiTheme="minorHAnsi" w:eastAsia="Microsoft YaHei Light" w:hAnsiTheme="minorHAnsi" w:cstheme="minorHAnsi"/>
          <w:b/>
          <w:bCs/>
          <w:sz w:val="16"/>
          <w:lang w:eastAsia="ja-JP"/>
        </w:rPr>
      </w:pPr>
    </w:p>
    <w:p w14:paraId="48AAF8DB" w14:textId="79855382" w:rsidR="006E43D2" w:rsidRDefault="00F05D27" w:rsidP="00085D2A">
      <w:pPr>
        <w:pStyle w:val="ListParagraph"/>
        <w:numPr>
          <w:ilvl w:val="0"/>
          <w:numId w:val="29"/>
        </w:numPr>
        <w:jc w:val="both"/>
        <w:rPr>
          <w:rFonts w:asciiTheme="minorHAnsi" w:eastAsia="Microsoft YaHei Light" w:hAnsiTheme="minorHAnsi" w:cstheme="minorHAnsi"/>
          <w:bCs/>
          <w:lang w:eastAsia="ja-JP"/>
        </w:rPr>
      </w:pPr>
      <w:r>
        <w:rPr>
          <w:rFonts w:asciiTheme="minorHAnsi" w:eastAsia="Microsoft YaHei Light" w:hAnsiTheme="minorHAnsi" w:cstheme="minorHAnsi"/>
          <w:bCs/>
          <w:lang w:eastAsia="ja-JP"/>
        </w:rPr>
        <w:t>An I</w:t>
      </w:r>
      <w:r w:rsidR="004F5A30" w:rsidRPr="00951508">
        <w:rPr>
          <w:rFonts w:asciiTheme="minorHAnsi" w:eastAsia="Microsoft YaHei Light" w:hAnsiTheme="minorHAnsi" w:cstheme="minorHAnsi"/>
          <w:bCs/>
          <w:lang w:eastAsia="ja-JP"/>
        </w:rPr>
        <w:t>mplementation Table</w:t>
      </w:r>
      <w:r>
        <w:rPr>
          <w:rFonts w:asciiTheme="minorHAnsi" w:eastAsia="Microsoft YaHei Light" w:hAnsiTheme="minorHAnsi" w:cstheme="minorHAnsi"/>
          <w:bCs/>
          <w:lang w:eastAsia="ja-JP"/>
        </w:rPr>
        <w:t xml:space="preserve"> of IMDRF </w:t>
      </w:r>
      <w:r w:rsidR="00292F16">
        <w:rPr>
          <w:rFonts w:asciiTheme="minorHAnsi" w:eastAsia="Microsoft YaHei Light" w:hAnsiTheme="minorHAnsi" w:cstheme="minorHAnsi"/>
          <w:bCs/>
          <w:lang w:eastAsia="ja-JP"/>
        </w:rPr>
        <w:t xml:space="preserve">outputs will be published and updated by IMDRF members </w:t>
      </w:r>
      <w:r w:rsidR="00B97C51">
        <w:rPr>
          <w:rFonts w:asciiTheme="minorHAnsi" w:eastAsia="Microsoft YaHei Light" w:hAnsiTheme="minorHAnsi" w:cstheme="minorHAnsi"/>
          <w:bCs/>
          <w:lang w:eastAsia="ja-JP"/>
        </w:rPr>
        <w:t>periodically.</w:t>
      </w:r>
      <w:r w:rsidR="004F5A30" w:rsidRPr="00F05D27">
        <w:rPr>
          <w:rFonts w:asciiTheme="minorHAnsi" w:eastAsia="Microsoft YaHei Light" w:hAnsiTheme="minorHAnsi" w:cstheme="minorHAnsi"/>
          <w:bCs/>
          <w:lang w:eastAsia="ja-JP"/>
        </w:rPr>
        <w:t xml:space="preserve"> </w:t>
      </w:r>
    </w:p>
    <w:p w14:paraId="3B4704DB" w14:textId="77777777" w:rsidR="00085D2A" w:rsidRPr="00F05D27" w:rsidRDefault="00085D2A" w:rsidP="00085D2A">
      <w:pPr>
        <w:pStyle w:val="ListParagraph"/>
        <w:jc w:val="both"/>
        <w:rPr>
          <w:rFonts w:asciiTheme="minorHAnsi" w:eastAsia="Microsoft YaHei Light" w:hAnsiTheme="minorHAnsi" w:cstheme="minorHAnsi"/>
          <w:bCs/>
          <w:lang w:eastAsia="ja-JP"/>
        </w:rPr>
      </w:pPr>
    </w:p>
    <w:p w14:paraId="07B46CD0" w14:textId="515119F7" w:rsidR="00951508" w:rsidRDefault="00292F16" w:rsidP="00085D2A">
      <w:pPr>
        <w:pStyle w:val="ListParagraph"/>
        <w:numPr>
          <w:ilvl w:val="0"/>
          <w:numId w:val="29"/>
        </w:numPr>
        <w:jc w:val="both"/>
        <w:rPr>
          <w:rFonts w:asciiTheme="minorHAnsi" w:eastAsia="Microsoft YaHei Light" w:hAnsiTheme="minorHAnsi" w:cstheme="minorHAnsi"/>
          <w:bCs/>
          <w:lang w:eastAsia="ja-JP"/>
        </w:rPr>
      </w:pPr>
      <w:r>
        <w:rPr>
          <w:rFonts w:asciiTheme="minorHAnsi" w:eastAsia="Microsoft YaHei Light" w:hAnsiTheme="minorHAnsi" w:cstheme="minorHAnsi"/>
          <w:bCs/>
          <w:lang w:eastAsia="ja-JP"/>
        </w:rPr>
        <w:t xml:space="preserve">The </w:t>
      </w:r>
      <w:r w:rsidR="00B97C51" w:rsidRPr="00050BFE">
        <w:rPr>
          <w:rFonts w:asciiTheme="minorHAnsi" w:eastAsia="Microsoft YaHei Light" w:hAnsiTheme="minorHAnsi" w:cstheme="minorHAnsi"/>
          <w:bCs/>
          <w:lang w:eastAsia="ja-JP"/>
        </w:rPr>
        <w:t>priority</w:t>
      </w:r>
      <w:r w:rsidR="00B97C51">
        <w:rPr>
          <w:rFonts w:asciiTheme="minorHAnsi" w:eastAsia="Microsoft YaHei Light" w:hAnsiTheme="minorHAnsi" w:cstheme="minorHAnsi"/>
          <w:bCs/>
          <w:lang w:eastAsia="ja-JP"/>
        </w:rPr>
        <w:t xml:space="preserve"> </w:t>
      </w:r>
      <w:r w:rsidR="00951508">
        <w:rPr>
          <w:rFonts w:asciiTheme="minorHAnsi" w:eastAsia="Microsoft YaHei Light" w:hAnsiTheme="minorHAnsi" w:cstheme="minorHAnsi"/>
          <w:bCs/>
          <w:lang w:eastAsia="ja-JP"/>
        </w:rPr>
        <w:t>tables in this document</w:t>
      </w:r>
      <w:r w:rsidR="00050BFE">
        <w:rPr>
          <w:rFonts w:asciiTheme="minorHAnsi" w:eastAsia="Microsoft YaHei Light" w:hAnsiTheme="minorHAnsi" w:cstheme="minorHAnsi"/>
          <w:bCs/>
          <w:lang w:eastAsia="ja-JP"/>
        </w:rPr>
        <w:t>,</w:t>
      </w:r>
      <w:r>
        <w:rPr>
          <w:rFonts w:asciiTheme="minorHAnsi" w:eastAsia="Microsoft YaHei Light" w:hAnsiTheme="minorHAnsi" w:cstheme="minorHAnsi"/>
          <w:bCs/>
          <w:lang w:eastAsia="ja-JP"/>
        </w:rPr>
        <w:t xml:space="preserve"> </w:t>
      </w:r>
      <w:r w:rsidR="00050BFE">
        <w:rPr>
          <w:rFonts w:asciiTheme="minorHAnsi" w:eastAsia="Microsoft YaHei Light" w:hAnsiTheme="minorHAnsi" w:cstheme="minorHAnsi"/>
          <w:bCs/>
          <w:lang w:eastAsia="ja-JP"/>
        </w:rPr>
        <w:t xml:space="preserve">which lists priority areas </w:t>
      </w:r>
      <w:r>
        <w:rPr>
          <w:rFonts w:asciiTheme="minorHAnsi" w:eastAsia="Microsoft YaHei Light" w:hAnsiTheme="minorHAnsi" w:cstheme="minorHAnsi"/>
          <w:bCs/>
          <w:lang w:eastAsia="ja-JP"/>
        </w:rPr>
        <w:t xml:space="preserve">will track progress of individual work items and be discussed and monitored by the MC at each meeting. </w:t>
      </w:r>
    </w:p>
    <w:p w14:paraId="035328C2" w14:textId="77777777" w:rsidR="00292F16" w:rsidRDefault="00292F16" w:rsidP="00085D2A">
      <w:pPr>
        <w:pStyle w:val="ListParagraph"/>
        <w:jc w:val="both"/>
        <w:rPr>
          <w:rFonts w:asciiTheme="minorHAnsi" w:eastAsia="Microsoft YaHei Light" w:hAnsiTheme="minorHAnsi" w:cstheme="minorHAnsi"/>
          <w:bCs/>
          <w:lang w:eastAsia="ja-JP"/>
        </w:rPr>
      </w:pPr>
    </w:p>
    <w:p w14:paraId="29461A82" w14:textId="77777777" w:rsidR="00292F16" w:rsidRPr="00951508" w:rsidRDefault="00292F16" w:rsidP="00085D2A">
      <w:pPr>
        <w:pStyle w:val="ListParagraph"/>
        <w:jc w:val="both"/>
        <w:rPr>
          <w:rFonts w:asciiTheme="minorHAnsi" w:eastAsia="Microsoft YaHei Light" w:hAnsiTheme="minorHAnsi" w:cstheme="minorHAnsi"/>
          <w:bCs/>
          <w:lang w:eastAsia="ja-JP"/>
        </w:rPr>
      </w:pPr>
    </w:p>
    <w:p w14:paraId="1E86CAF1" w14:textId="34243520" w:rsidR="00061616" w:rsidRDefault="00061616" w:rsidP="00085D2A">
      <w:pPr>
        <w:jc w:val="both"/>
        <w:rPr>
          <w:rFonts w:asciiTheme="minorHAnsi" w:eastAsia="Microsoft YaHei Light" w:hAnsiTheme="minorHAnsi" w:cstheme="minorHAnsi"/>
          <w:b/>
          <w:bCs/>
          <w:lang w:eastAsia="ja-JP"/>
        </w:rPr>
      </w:pPr>
    </w:p>
    <w:p w14:paraId="6C16E197" w14:textId="44D95D4F" w:rsidR="00061616" w:rsidRDefault="00061616" w:rsidP="00224C37">
      <w:pPr>
        <w:rPr>
          <w:rFonts w:asciiTheme="minorHAnsi" w:eastAsia="Microsoft YaHei Light" w:hAnsiTheme="minorHAnsi" w:cstheme="minorHAnsi"/>
          <w:b/>
          <w:bCs/>
          <w:lang w:eastAsia="ja-JP"/>
        </w:rPr>
      </w:pPr>
    </w:p>
    <w:sectPr w:rsidR="00061616" w:rsidSect="0087090A">
      <w:type w:val="continuous"/>
      <w:pgSz w:w="11906" w:h="16838"/>
      <w:pgMar w:top="1440" w:right="1440" w:bottom="1440" w:left="144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29A4D" w14:textId="77777777" w:rsidR="00E20763" w:rsidRDefault="00E20763" w:rsidP="003F5DD3">
      <w:pPr>
        <w:spacing w:after="0" w:line="240" w:lineRule="auto"/>
      </w:pPr>
      <w:r>
        <w:separator/>
      </w:r>
    </w:p>
  </w:endnote>
  <w:endnote w:type="continuationSeparator" w:id="0">
    <w:p w14:paraId="55D1AFC0" w14:textId="77777777" w:rsidR="00E20763" w:rsidRDefault="00E20763" w:rsidP="003F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JBTIQO+TitilliumWeb-Light">
    <w:altName w:val="Calibri"/>
    <w:panose1 w:val="00000000000000000000"/>
    <w:charset w:val="00"/>
    <w:family w:val="swiss"/>
    <w:notTrueType/>
    <w:pitch w:val="default"/>
    <w:sig w:usb0="00000003" w:usb1="00000000" w:usb2="00000000" w:usb3="00000000" w:csb0="00000001"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03EC" w14:textId="77777777" w:rsidR="00111253" w:rsidRDefault="00111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722388"/>
      <w:docPartObj>
        <w:docPartGallery w:val="Page Numbers (Bottom of Page)"/>
        <w:docPartUnique/>
      </w:docPartObj>
    </w:sdtPr>
    <w:sdtEndPr>
      <w:rPr>
        <w:color w:val="7F7F7F" w:themeColor="background1" w:themeShade="7F"/>
        <w:spacing w:val="60"/>
      </w:rPr>
    </w:sdtEndPr>
    <w:sdtContent>
      <w:p w14:paraId="10424B1F" w14:textId="2E9158B1" w:rsidR="00A7638A" w:rsidRDefault="00A7638A" w:rsidP="00A7638A">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BD186B">
          <w:rPr>
            <w:noProof/>
          </w:rPr>
          <w:t>15</w:t>
        </w:r>
        <w:r>
          <w:rPr>
            <w:b/>
            <w:bCs/>
            <w:noProof/>
          </w:rPr>
          <w:fldChar w:fldCharType="end"/>
        </w:r>
        <w:r>
          <w:rPr>
            <w:b/>
            <w:bCs/>
          </w:rPr>
          <w:t xml:space="preserve"> | </w:t>
        </w:r>
        <w:r>
          <w:rPr>
            <w:color w:val="7F7F7F" w:themeColor="background1" w:themeShade="7F"/>
            <w:spacing w:val="60"/>
          </w:rPr>
          <w:t>Page</w:t>
        </w:r>
      </w:p>
    </w:sdtContent>
  </w:sdt>
  <w:p w14:paraId="45BB3C57" w14:textId="77777777" w:rsidR="006B6F0A" w:rsidRDefault="006B6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5747" w14:textId="77777777" w:rsidR="00111253" w:rsidRDefault="001112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614256"/>
      <w:docPartObj>
        <w:docPartGallery w:val="Page Numbers (Bottom of Page)"/>
        <w:docPartUnique/>
      </w:docPartObj>
    </w:sdtPr>
    <w:sdtEndPr>
      <w:rPr>
        <w:color w:val="7F7F7F" w:themeColor="background1" w:themeShade="7F"/>
        <w:spacing w:val="60"/>
      </w:rPr>
    </w:sdtEndPr>
    <w:sdtContent>
      <w:p w14:paraId="5DFD47EF" w14:textId="7EEFD3ED" w:rsidR="00111253" w:rsidRDefault="00111253" w:rsidP="00A7638A">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F827D7">
          <w:rPr>
            <w:noProof/>
          </w:rPr>
          <w:t>15</w:t>
        </w:r>
        <w:r>
          <w:rPr>
            <w:b/>
            <w:bCs/>
            <w:noProof/>
          </w:rPr>
          <w:fldChar w:fldCharType="end"/>
        </w:r>
        <w:r>
          <w:rPr>
            <w:b/>
            <w:bCs/>
          </w:rPr>
          <w:t xml:space="preserve"> | </w:t>
        </w:r>
        <w:r>
          <w:rPr>
            <w:color w:val="7F7F7F" w:themeColor="background1" w:themeShade="7F"/>
            <w:spacing w:val="60"/>
          </w:rPr>
          <w:t>Page</w:t>
        </w:r>
      </w:p>
    </w:sdtContent>
  </w:sdt>
  <w:p w14:paraId="58BD92BC" w14:textId="77777777" w:rsidR="00111253" w:rsidRDefault="00111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9B8BE" w14:textId="77777777" w:rsidR="00E20763" w:rsidRDefault="00E20763" w:rsidP="003F5DD3">
      <w:pPr>
        <w:spacing w:after="0" w:line="240" w:lineRule="auto"/>
      </w:pPr>
      <w:r>
        <w:separator/>
      </w:r>
    </w:p>
  </w:footnote>
  <w:footnote w:type="continuationSeparator" w:id="0">
    <w:p w14:paraId="7F68DBE9" w14:textId="77777777" w:rsidR="00E20763" w:rsidRDefault="00E20763" w:rsidP="003F5DD3">
      <w:pPr>
        <w:spacing w:after="0" w:line="240" w:lineRule="auto"/>
      </w:pPr>
      <w:r>
        <w:continuationSeparator/>
      </w:r>
    </w:p>
  </w:footnote>
  <w:footnote w:id="1">
    <w:p w14:paraId="1E44D8BF" w14:textId="77777777" w:rsidR="0087483F" w:rsidRPr="008F43D9" w:rsidRDefault="0087483F" w:rsidP="0087483F">
      <w:pPr>
        <w:pStyle w:val="FootnoteText"/>
        <w:rPr>
          <w:rFonts w:asciiTheme="minorHAnsi" w:hAnsiTheme="minorHAnsi" w:cstheme="minorHAnsi"/>
        </w:rPr>
      </w:pPr>
      <w:r w:rsidRPr="008F43D9">
        <w:rPr>
          <w:rStyle w:val="FootnoteReference"/>
          <w:rFonts w:asciiTheme="minorHAnsi" w:hAnsiTheme="minorHAnsi" w:cstheme="minorHAnsi"/>
        </w:rPr>
        <w:footnoteRef/>
      </w:r>
      <w:r w:rsidRPr="008F43D9">
        <w:rPr>
          <w:rFonts w:asciiTheme="minorHAnsi" w:hAnsiTheme="minorHAnsi" w:cstheme="minorHAnsi"/>
        </w:rPr>
        <w:t xml:space="preserve"> </w:t>
      </w:r>
      <w:r w:rsidRPr="008F43D9">
        <w:rPr>
          <w:rFonts w:asciiTheme="minorHAnsi" w:hAnsiTheme="minorHAnsi" w:cstheme="minorHAnsi"/>
          <w:bCs/>
          <w:lang w:eastAsia="ja-JP"/>
        </w:rPr>
        <w:t>The IMDRF Strategic Plan is aligned with the following mission defined in IMDRF Terms of Reference (IMDRF/MC/N1FINAL: 2014; updated 2018) (ToR)</w:t>
      </w:r>
    </w:p>
  </w:footnote>
  <w:footnote w:id="2">
    <w:p w14:paraId="523BE277" w14:textId="77777777" w:rsidR="0087483F" w:rsidRDefault="0087483F" w:rsidP="0087483F">
      <w:pPr>
        <w:pStyle w:val="FootnoteText"/>
      </w:pPr>
      <w:r w:rsidRPr="008F43D9">
        <w:rPr>
          <w:rStyle w:val="FootnoteReference"/>
          <w:rFonts w:asciiTheme="minorHAnsi" w:hAnsiTheme="minorHAnsi" w:cstheme="minorHAnsi"/>
        </w:rPr>
        <w:footnoteRef/>
      </w:r>
      <w:r w:rsidRPr="008F43D9">
        <w:rPr>
          <w:rFonts w:asciiTheme="minorHAnsi" w:hAnsiTheme="minorHAnsi" w:cstheme="minorHAnsi"/>
        </w:rPr>
        <w:t xml:space="preserve"> Stipulated </w:t>
      </w:r>
      <w:r w:rsidRPr="008F43D9">
        <w:rPr>
          <w:rFonts w:asciiTheme="minorHAnsi" w:hAnsiTheme="minorHAnsi" w:cstheme="minorHAnsi"/>
          <w:bCs/>
          <w:lang w:eastAsia="ja-JP"/>
        </w:rPr>
        <w:t>Under “D. Scope of Activities of the 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9B955" w14:textId="77777777" w:rsidR="00111253" w:rsidRDefault="00111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595F" w14:textId="77777777" w:rsidR="00111253" w:rsidRDefault="00111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834F" w14:textId="77777777" w:rsidR="00111253" w:rsidRDefault="00111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A6"/>
    <w:multiLevelType w:val="hybridMultilevel"/>
    <w:tmpl w:val="882A5C0A"/>
    <w:lvl w:ilvl="0" w:tplc="0C09000B">
      <w:start w:val="1"/>
      <w:numFmt w:val="bullet"/>
      <w:lvlText w:val=""/>
      <w:lvlJc w:val="left"/>
      <w:pPr>
        <w:ind w:left="775" w:hanging="360"/>
      </w:pPr>
      <w:rPr>
        <w:rFonts w:ascii="Wingdings" w:hAnsi="Wingdings"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 w15:restartNumberingAfterBreak="0">
    <w:nsid w:val="068A0B78"/>
    <w:multiLevelType w:val="hybridMultilevel"/>
    <w:tmpl w:val="68CAA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11532C"/>
    <w:multiLevelType w:val="hybridMultilevel"/>
    <w:tmpl w:val="8F0EA9F6"/>
    <w:lvl w:ilvl="0" w:tplc="F1E6A64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744886"/>
    <w:multiLevelType w:val="hybridMultilevel"/>
    <w:tmpl w:val="CCC07690"/>
    <w:lvl w:ilvl="0" w:tplc="36ACD22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42916"/>
    <w:multiLevelType w:val="hybridMultilevel"/>
    <w:tmpl w:val="C5165C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332FCE"/>
    <w:multiLevelType w:val="hybridMultilevel"/>
    <w:tmpl w:val="3DA07FF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930C71"/>
    <w:multiLevelType w:val="hybridMultilevel"/>
    <w:tmpl w:val="1A569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B2309"/>
    <w:multiLevelType w:val="hybridMultilevel"/>
    <w:tmpl w:val="FA6A51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0465512"/>
    <w:multiLevelType w:val="hybridMultilevel"/>
    <w:tmpl w:val="C8FAD1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06502A3"/>
    <w:multiLevelType w:val="hybridMultilevel"/>
    <w:tmpl w:val="1EB8B8B4"/>
    <w:lvl w:ilvl="0" w:tplc="E5684E2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E70161"/>
    <w:multiLevelType w:val="hybridMultilevel"/>
    <w:tmpl w:val="25EC36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FC309E6"/>
    <w:multiLevelType w:val="hybridMultilevel"/>
    <w:tmpl w:val="FF3EAEAC"/>
    <w:lvl w:ilvl="0" w:tplc="E1086AB4">
      <w:start w:val="2021"/>
      <w:numFmt w:val="bullet"/>
      <w:lvlText w:val=""/>
      <w:lvlJc w:val="left"/>
      <w:pPr>
        <w:ind w:left="2202" w:hanging="360"/>
      </w:pPr>
      <w:rPr>
        <w:rFonts w:ascii="Symbol" w:eastAsiaTheme="minorHAnsi" w:hAnsi="Symbol" w:cs="Times New Roman" w:hint="default"/>
      </w:rPr>
    </w:lvl>
    <w:lvl w:ilvl="1" w:tplc="0C090003" w:tentative="1">
      <w:start w:val="1"/>
      <w:numFmt w:val="bullet"/>
      <w:lvlText w:val="o"/>
      <w:lvlJc w:val="left"/>
      <w:pPr>
        <w:ind w:left="2922" w:hanging="360"/>
      </w:pPr>
      <w:rPr>
        <w:rFonts w:ascii="Courier New" w:hAnsi="Courier New" w:cs="Courier New" w:hint="default"/>
      </w:rPr>
    </w:lvl>
    <w:lvl w:ilvl="2" w:tplc="0C090005" w:tentative="1">
      <w:start w:val="1"/>
      <w:numFmt w:val="bullet"/>
      <w:lvlText w:val=""/>
      <w:lvlJc w:val="left"/>
      <w:pPr>
        <w:ind w:left="3642" w:hanging="360"/>
      </w:pPr>
      <w:rPr>
        <w:rFonts w:ascii="Wingdings" w:hAnsi="Wingdings" w:hint="default"/>
      </w:rPr>
    </w:lvl>
    <w:lvl w:ilvl="3" w:tplc="0C090001" w:tentative="1">
      <w:start w:val="1"/>
      <w:numFmt w:val="bullet"/>
      <w:lvlText w:val=""/>
      <w:lvlJc w:val="left"/>
      <w:pPr>
        <w:ind w:left="4362" w:hanging="360"/>
      </w:pPr>
      <w:rPr>
        <w:rFonts w:ascii="Symbol" w:hAnsi="Symbol" w:hint="default"/>
      </w:rPr>
    </w:lvl>
    <w:lvl w:ilvl="4" w:tplc="0C090003" w:tentative="1">
      <w:start w:val="1"/>
      <w:numFmt w:val="bullet"/>
      <w:lvlText w:val="o"/>
      <w:lvlJc w:val="left"/>
      <w:pPr>
        <w:ind w:left="5082" w:hanging="360"/>
      </w:pPr>
      <w:rPr>
        <w:rFonts w:ascii="Courier New" w:hAnsi="Courier New" w:cs="Courier New" w:hint="default"/>
      </w:rPr>
    </w:lvl>
    <w:lvl w:ilvl="5" w:tplc="0C090005" w:tentative="1">
      <w:start w:val="1"/>
      <w:numFmt w:val="bullet"/>
      <w:lvlText w:val=""/>
      <w:lvlJc w:val="left"/>
      <w:pPr>
        <w:ind w:left="5802" w:hanging="360"/>
      </w:pPr>
      <w:rPr>
        <w:rFonts w:ascii="Wingdings" w:hAnsi="Wingdings" w:hint="default"/>
      </w:rPr>
    </w:lvl>
    <w:lvl w:ilvl="6" w:tplc="0C090001" w:tentative="1">
      <w:start w:val="1"/>
      <w:numFmt w:val="bullet"/>
      <w:lvlText w:val=""/>
      <w:lvlJc w:val="left"/>
      <w:pPr>
        <w:ind w:left="6522" w:hanging="360"/>
      </w:pPr>
      <w:rPr>
        <w:rFonts w:ascii="Symbol" w:hAnsi="Symbol" w:hint="default"/>
      </w:rPr>
    </w:lvl>
    <w:lvl w:ilvl="7" w:tplc="0C090003" w:tentative="1">
      <w:start w:val="1"/>
      <w:numFmt w:val="bullet"/>
      <w:lvlText w:val="o"/>
      <w:lvlJc w:val="left"/>
      <w:pPr>
        <w:ind w:left="7242" w:hanging="360"/>
      </w:pPr>
      <w:rPr>
        <w:rFonts w:ascii="Courier New" w:hAnsi="Courier New" w:cs="Courier New" w:hint="default"/>
      </w:rPr>
    </w:lvl>
    <w:lvl w:ilvl="8" w:tplc="0C090005" w:tentative="1">
      <w:start w:val="1"/>
      <w:numFmt w:val="bullet"/>
      <w:lvlText w:val=""/>
      <w:lvlJc w:val="left"/>
      <w:pPr>
        <w:ind w:left="7962" w:hanging="360"/>
      </w:pPr>
      <w:rPr>
        <w:rFonts w:ascii="Wingdings" w:hAnsi="Wingdings" w:hint="default"/>
      </w:rPr>
    </w:lvl>
  </w:abstractNum>
  <w:abstractNum w:abstractNumId="12" w15:restartNumberingAfterBreak="0">
    <w:nsid w:val="33D11A03"/>
    <w:multiLevelType w:val="hybridMultilevel"/>
    <w:tmpl w:val="13867F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4044059"/>
    <w:multiLevelType w:val="hybridMultilevel"/>
    <w:tmpl w:val="8F68FEA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4" w15:restartNumberingAfterBreak="0">
    <w:nsid w:val="358A26D1"/>
    <w:multiLevelType w:val="hybridMultilevel"/>
    <w:tmpl w:val="F51835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23068B"/>
    <w:multiLevelType w:val="hybridMultilevel"/>
    <w:tmpl w:val="16808C70"/>
    <w:lvl w:ilvl="0" w:tplc="9CF27496">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593438"/>
    <w:multiLevelType w:val="hybridMultilevel"/>
    <w:tmpl w:val="EA08D1F8"/>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7C75BE"/>
    <w:multiLevelType w:val="hybridMultilevel"/>
    <w:tmpl w:val="54665ABA"/>
    <w:lvl w:ilvl="0" w:tplc="88F23C50">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932BE9"/>
    <w:multiLevelType w:val="hybridMultilevel"/>
    <w:tmpl w:val="995020A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E57161"/>
    <w:multiLevelType w:val="hybridMultilevel"/>
    <w:tmpl w:val="4FE0BBC2"/>
    <w:lvl w:ilvl="0" w:tplc="7E78397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9A579C"/>
    <w:multiLevelType w:val="hybridMultilevel"/>
    <w:tmpl w:val="0F4415F2"/>
    <w:lvl w:ilvl="0" w:tplc="45D6B3F2">
      <w:start w:val="1"/>
      <w:numFmt w:val="decimal"/>
      <w:lvlText w:val="%1)"/>
      <w:lvlJc w:val="left"/>
      <w:pPr>
        <w:ind w:left="720" w:hanging="360"/>
      </w:pPr>
      <w:rPr>
        <w:rFonts w:asciiTheme="minorHAnsi" w:eastAsiaTheme="minorEastAsia"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D1BF4"/>
    <w:multiLevelType w:val="hybridMultilevel"/>
    <w:tmpl w:val="319EC03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E1C62"/>
    <w:multiLevelType w:val="hybridMultilevel"/>
    <w:tmpl w:val="2924A0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E995DE2"/>
    <w:multiLevelType w:val="hybridMultilevel"/>
    <w:tmpl w:val="A9F0E030"/>
    <w:lvl w:ilvl="0" w:tplc="0368F46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605B5CE1"/>
    <w:multiLevelType w:val="hybridMultilevel"/>
    <w:tmpl w:val="DA6CEE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608643DB"/>
    <w:multiLevelType w:val="hybridMultilevel"/>
    <w:tmpl w:val="D160F0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14732CC"/>
    <w:multiLevelType w:val="hybridMultilevel"/>
    <w:tmpl w:val="1080460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7" w15:restartNumberingAfterBreak="0">
    <w:nsid w:val="654008D2"/>
    <w:multiLevelType w:val="hybridMultilevel"/>
    <w:tmpl w:val="FC7834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413BF0"/>
    <w:multiLevelType w:val="hybridMultilevel"/>
    <w:tmpl w:val="A9F0E030"/>
    <w:lvl w:ilvl="0" w:tplc="0368F46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65D141B9"/>
    <w:multiLevelType w:val="hybridMultilevel"/>
    <w:tmpl w:val="3BD82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86964B5"/>
    <w:multiLevelType w:val="hybridMultilevel"/>
    <w:tmpl w:val="7DCC735E"/>
    <w:lvl w:ilvl="0" w:tplc="0C09000F">
      <w:start w:val="1"/>
      <w:numFmt w:val="decimal"/>
      <w:lvlText w:val="%1."/>
      <w:lvlJc w:val="left"/>
      <w:pPr>
        <w:ind w:left="-1065" w:hanging="360"/>
      </w:pPr>
    </w:lvl>
    <w:lvl w:ilvl="1" w:tplc="0C090019" w:tentative="1">
      <w:start w:val="1"/>
      <w:numFmt w:val="lowerLetter"/>
      <w:lvlText w:val="%2."/>
      <w:lvlJc w:val="left"/>
      <w:pPr>
        <w:ind w:left="-345" w:hanging="360"/>
      </w:pPr>
    </w:lvl>
    <w:lvl w:ilvl="2" w:tplc="0C09001B" w:tentative="1">
      <w:start w:val="1"/>
      <w:numFmt w:val="lowerRoman"/>
      <w:lvlText w:val="%3."/>
      <w:lvlJc w:val="right"/>
      <w:pPr>
        <w:ind w:left="375" w:hanging="180"/>
      </w:pPr>
    </w:lvl>
    <w:lvl w:ilvl="3" w:tplc="0C09000F" w:tentative="1">
      <w:start w:val="1"/>
      <w:numFmt w:val="decimal"/>
      <w:lvlText w:val="%4."/>
      <w:lvlJc w:val="left"/>
      <w:pPr>
        <w:ind w:left="1095" w:hanging="360"/>
      </w:pPr>
    </w:lvl>
    <w:lvl w:ilvl="4" w:tplc="0C090019" w:tentative="1">
      <w:start w:val="1"/>
      <w:numFmt w:val="lowerLetter"/>
      <w:lvlText w:val="%5."/>
      <w:lvlJc w:val="left"/>
      <w:pPr>
        <w:ind w:left="1815" w:hanging="360"/>
      </w:pPr>
    </w:lvl>
    <w:lvl w:ilvl="5" w:tplc="0C09001B" w:tentative="1">
      <w:start w:val="1"/>
      <w:numFmt w:val="lowerRoman"/>
      <w:lvlText w:val="%6."/>
      <w:lvlJc w:val="right"/>
      <w:pPr>
        <w:ind w:left="2535" w:hanging="180"/>
      </w:pPr>
    </w:lvl>
    <w:lvl w:ilvl="6" w:tplc="0C09000F" w:tentative="1">
      <w:start w:val="1"/>
      <w:numFmt w:val="decimal"/>
      <w:lvlText w:val="%7."/>
      <w:lvlJc w:val="left"/>
      <w:pPr>
        <w:ind w:left="3255" w:hanging="360"/>
      </w:pPr>
    </w:lvl>
    <w:lvl w:ilvl="7" w:tplc="0C090019" w:tentative="1">
      <w:start w:val="1"/>
      <w:numFmt w:val="lowerLetter"/>
      <w:lvlText w:val="%8."/>
      <w:lvlJc w:val="left"/>
      <w:pPr>
        <w:ind w:left="3975" w:hanging="360"/>
      </w:pPr>
    </w:lvl>
    <w:lvl w:ilvl="8" w:tplc="0C09001B" w:tentative="1">
      <w:start w:val="1"/>
      <w:numFmt w:val="lowerRoman"/>
      <w:lvlText w:val="%9."/>
      <w:lvlJc w:val="right"/>
      <w:pPr>
        <w:ind w:left="4695" w:hanging="180"/>
      </w:pPr>
    </w:lvl>
  </w:abstractNum>
  <w:abstractNum w:abstractNumId="31" w15:restartNumberingAfterBreak="0">
    <w:nsid w:val="68C76DAE"/>
    <w:multiLevelType w:val="hybridMultilevel"/>
    <w:tmpl w:val="DCE6FD04"/>
    <w:lvl w:ilvl="0" w:tplc="48090011">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2" w15:restartNumberingAfterBreak="0">
    <w:nsid w:val="6A2F5420"/>
    <w:multiLevelType w:val="hybridMultilevel"/>
    <w:tmpl w:val="73D63FA2"/>
    <w:lvl w:ilvl="0" w:tplc="66C89778">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1E7AE9"/>
    <w:multiLevelType w:val="hybridMultilevel"/>
    <w:tmpl w:val="3746F0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B352DD"/>
    <w:multiLevelType w:val="hybridMultilevel"/>
    <w:tmpl w:val="713461C2"/>
    <w:lvl w:ilvl="0" w:tplc="0C09000B">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1617451"/>
    <w:multiLevelType w:val="hybridMultilevel"/>
    <w:tmpl w:val="43928412"/>
    <w:lvl w:ilvl="0" w:tplc="0C09000B">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6" w15:restartNumberingAfterBreak="0">
    <w:nsid w:val="74BC198D"/>
    <w:multiLevelType w:val="hybridMultilevel"/>
    <w:tmpl w:val="D628793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6D7D39"/>
    <w:multiLevelType w:val="hybridMultilevel"/>
    <w:tmpl w:val="8524381E"/>
    <w:lvl w:ilvl="0" w:tplc="0C09000F">
      <w:start w:val="1"/>
      <w:numFmt w:val="decimal"/>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6BE2DB1"/>
    <w:multiLevelType w:val="hybridMultilevel"/>
    <w:tmpl w:val="2924A0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6FC6659"/>
    <w:multiLevelType w:val="hybridMultilevel"/>
    <w:tmpl w:val="805CD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F662E7A"/>
    <w:multiLevelType w:val="hybridMultilevel"/>
    <w:tmpl w:val="1552558C"/>
    <w:lvl w:ilvl="0" w:tplc="82768EE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40"/>
  </w:num>
  <w:num w:numId="3">
    <w:abstractNumId w:val="15"/>
  </w:num>
  <w:num w:numId="4">
    <w:abstractNumId w:val="19"/>
  </w:num>
  <w:num w:numId="5">
    <w:abstractNumId w:val="32"/>
  </w:num>
  <w:num w:numId="6">
    <w:abstractNumId w:val="3"/>
  </w:num>
  <w:num w:numId="7">
    <w:abstractNumId w:val="10"/>
  </w:num>
  <w:num w:numId="8">
    <w:abstractNumId w:val="11"/>
  </w:num>
  <w:num w:numId="9">
    <w:abstractNumId w:val="9"/>
  </w:num>
  <w:num w:numId="10">
    <w:abstractNumId w:val="17"/>
  </w:num>
  <w:num w:numId="11">
    <w:abstractNumId w:val="37"/>
  </w:num>
  <w:num w:numId="12">
    <w:abstractNumId w:val="20"/>
  </w:num>
  <w:num w:numId="13">
    <w:abstractNumId w:val="23"/>
  </w:num>
  <w:num w:numId="14">
    <w:abstractNumId w:val="28"/>
  </w:num>
  <w:num w:numId="15">
    <w:abstractNumId w:val="5"/>
  </w:num>
  <w:num w:numId="16">
    <w:abstractNumId w:val="30"/>
  </w:num>
  <w:num w:numId="17">
    <w:abstractNumId w:val="29"/>
  </w:num>
  <w:num w:numId="18">
    <w:abstractNumId w:val="2"/>
  </w:num>
  <w:num w:numId="19">
    <w:abstractNumId w:val="0"/>
  </w:num>
  <w:num w:numId="20">
    <w:abstractNumId w:val="25"/>
  </w:num>
  <w:num w:numId="21">
    <w:abstractNumId w:val="34"/>
  </w:num>
  <w:num w:numId="22">
    <w:abstractNumId w:val="7"/>
  </w:num>
  <w:num w:numId="23">
    <w:abstractNumId w:val="12"/>
  </w:num>
  <w:num w:numId="24">
    <w:abstractNumId w:val="38"/>
  </w:num>
  <w:num w:numId="25">
    <w:abstractNumId w:val="22"/>
  </w:num>
  <w:num w:numId="26">
    <w:abstractNumId w:val="39"/>
  </w:num>
  <w:num w:numId="27">
    <w:abstractNumId w:val="1"/>
  </w:num>
  <w:num w:numId="28">
    <w:abstractNumId w:val="33"/>
  </w:num>
  <w:num w:numId="29">
    <w:abstractNumId w:val="27"/>
  </w:num>
  <w:num w:numId="30">
    <w:abstractNumId w:val="35"/>
  </w:num>
  <w:num w:numId="31">
    <w:abstractNumId w:val="24"/>
  </w:num>
  <w:num w:numId="32">
    <w:abstractNumId w:val="26"/>
  </w:num>
  <w:num w:numId="33">
    <w:abstractNumId w:val="13"/>
  </w:num>
  <w:num w:numId="34">
    <w:abstractNumId w:val="31"/>
  </w:num>
  <w:num w:numId="35">
    <w:abstractNumId w:val="16"/>
  </w:num>
  <w:num w:numId="36">
    <w:abstractNumId w:val="36"/>
  </w:num>
  <w:num w:numId="37">
    <w:abstractNumId w:val="8"/>
  </w:num>
  <w:num w:numId="38">
    <w:abstractNumId w:val="18"/>
  </w:num>
  <w:num w:numId="39">
    <w:abstractNumId w:val="6"/>
  </w:num>
  <w:num w:numId="40">
    <w:abstractNumId w:val="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D3"/>
    <w:rsid w:val="0000646D"/>
    <w:rsid w:val="00015E94"/>
    <w:rsid w:val="00016C13"/>
    <w:rsid w:val="00024270"/>
    <w:rsid w:val="00033AA5"/>
    <w:rsid w:val="000412A3"/>
    <w:rsid w:val="00044781"/>
    <w:rsid w:val="00050B16"/>
    <w:rsid w:val="00050BFE"/>
    <w:rsid w:val="00061616"/>
    <w:rsid w:val="00067C12"/>
    <w:rsid w:val="000840EB"/>
    <w:rsid w:val="00085D2A"/>
    <w:rsid w:val="0009009B"/>
    <w:rsid w:val="000D0334"/>
    <w:rsid w:val="000D36E5"/>
    <w:rsid w:val="000E78A2"/>
    <w:rsid w:val="001055E6"/>
    <w:rsid w:val="00111253"/>
    <w:rsid w:val="00120348"/>
    <w:rsid w:val="00121F23"/>
    <w:rsid w:val="0012415E"/>
    <w:rsid w:val="0012493F"/>
    <w:rsid w:val="0013591E"/>
    <w:rsid w:val="00142FAB"/>
    <w:rsid w:val="00153EA8"/>
    <w:rsid w:val="00173446"/>
    <w:rsid w:val="00173EA8"/>
    <w:rsid w:val="001A3437"/>
    <w:rsid w:val="001A51C5"/>
    <w:rsid w:val="001B02C7"/>
    <w:rsid w:val="001B323E"/>
    <w:rsid w:val="001D45EC"/>
    <w:rsid w:val="00204E73"/>
    <w:rsid w:val="00223A3B"/>
    <w:rsid w:val="00224C37"/>
    <w:rsid w:val="0022552E"/>
    <w:rsid w:val="00227B25"/>
    <w:rsid w:val="002376DD"/>
    <w:rsid w:val="002505F1"/>
    <w:rsid w:val="00256DFB"/>
    <w:rsid w:val="00261533"/>
    <w:rsid w:val="002649FF"/>
    <w:rsid w:val="00280050"/>
    <w:rsid w:val="00292F16"/>
    <w:rsid w:val="00295019"/>
    <w:rsid w:val="002A12DD"/>
    <w:rsid w:val="002A6F9F"/>
    <w:rsid w:val="002B36E9"/>
    <w:rsid w:val="002C5DD8"/>
    <w:rsid w:val="002D6BCE"/>
    <w:rsid w:val="002F068C"/>
    <w:rsid w:val="0031554F"/>
    <w:rsid w:val="00317B93"/>
    <w:rsid w:val="0032238C"/>
    <w:rsid w:val="00330520"/>
    <w:rsid w:val="003305D7"/>
    <w:rsid w:val="00340DE2"/>
    <w:rsid w:val="00346577"/>
    <w:rsid w:val="003506A1"/>
    <w:rsid w:val="003521A1"/>
    <w:rsid w:val="00357864"/>
    <w:rsid w:val="0036213D"/>
    <w:rsid w:val="00362F46"/>
    <w:rsid w:val="00383D94"/>
    <w:rsid w:val="00391A42"/>
    <w:rsid w:val="003A61D2"/>
    <w:rsid w:val="003B32F6"/>
    <w:rsid w:val="003D2708"/>
    <w:rsid w:val="003D290B"/>
    <w:rsid w:val="003D4CD0"/>
    <w:rsid w:val="003D7B65"/>
    <w:rsid w:val="003E7152"/>
    <w:rsid w:val="003F5DD3"/>
    <w:rsid w:val="00410B5A"/>
    <w:rsid w:val="004266AD"/>
    <w:rsid w:val="00442151"/>
    <w:rsid w:val="0044684C"/>
    <w:rsid w:val="0044685B"/>
    <w:rsid w:val="00451C36"/>
    <w:rsid w:val="00464D63"/>
    <w:rsid w:val="004651A0"/>
    <w:rsid w:val="0047011B"/>
    <w:rsid w:val="00484882"/>
    <w:rsid w:val="00486038"/>
    <w:rsid w:val="00492171"/>
    <w:rsid w:val="004A404F"/>
    <w:rsid w:val="004B01A3"/>
    <w:rsid w:val="004B3F69"/>
    <w:rsid w:val="004B59F2"/>
    <w:rsid w:val="004B6717"/>
    <w:rsid w:val="004C4BD9"/>
    <w:rsid w:val="004C7115"/>
    <w:rsid w:val="004D3D6D"/>
    <w:rsid w:val="004E2A08"/>
    <w:rsid w:val="004E681D"/>
    <w:rsid w:val="004F5A30"/>
    <w:rsid w:val="00500365"/>
    <w:rsid w:val="00520A38"/>
    <w:rsid w:val="005226FE"/>
    <w:rsid w:val="00525549"/>
    <w:rsid w:val="005874F9"/>
    <w:rsid w:val="00594723"/>
    <w:rsid w:val="00597756"/>
    <w:rsid w:val="00597F79"/>
    <w:rsid w:val="005C7725"/>
    <w:rsid w:val="005E7906"/>
    <w:rsid w:val="005F181B"/>
    <w:rsid w:val="005F32C8"/>
    <w:rsid w:val="005F66A3"/>
    <w:rsid w:val="00602A2C"/>
    <w:rsid w:val="00604C32"/>
    <w:rsid w:val="00605FA9"/>
    <w:rsid w:val="00611B6B"/>
    <w:rsid w:val="00622466"/>
    <w:rsid w:val="00636E8C"/>
    <w:rsid w:val="00640571"/>
    <w:rsid w:val="00652E68"/>
    <w:rsid w:val="00667A13"/>
    <w:rsid w:val="0067364E"/>
    <w:rsid w:val="00674667"/>
    <w:rsid w:val="006776F8"/>
    <w:rsid w:val="00682838"/>
    <w:rsid w:val="00686149"/>
    <w:rsid w:val="006B1702"/>
    <w:rsid w:val="006B6F0A"/>
    <w:rsid w:val="006B7D76"/>
    <w:rsid w:val="006C0186"/>
    <w:rsid w:val="006D0B8C"/>
    <w:rsid w:val="006E43D2"/>
    <w:rsid w:val="006E4B34"/>
    <w:rsid w:val="006E6D69"/>
    <w:rsid w:val="00723AB5"/>
    <w:rsid w:val="007253C2"/>
    <w:rsid w:val="007277FD"/>
    <w:rsid w:val="007338F0"/>
    <w:rsid w:val="007646EB"/>
    <w:rsid w:val="0077267C"/>
    <w:rsid w:val="00777519"/>
    <w:rsid w:val="00794CE8"/>
    <w:rsid w:val="007A70DF"/>
    <w:rsid w:val="007C149D"/>
    <w:rsid w:val="007C66CF"/>
    <w:rsid w:val="007E0CCA"/>
    <w:rsid w:val="00805315"/>
    <w:rsid w:val="00830966"/>
    <w:rsid w:val="00843F7D"/>
    <w:rsid w:val="00845B6B"/>
    <w:rsid w:val="0087090A"/>
    <w:rsid w:val="008710CF"/>
    <w:rsid w:val="008727CA"/>
    <w:rsid w:val="0087483F"/>
    <w:rsid w:val="00877BDB"/>
    <w:rsid w:val="008822DB"/>
    <w:rsid w:val="00897F92"/>
    <w:rsid w:val="008C3795"/>
    <w:rsid w:val="008D2CBD"/>
    <w:rsid w:val="008D3960"/>
    <w:rsid w:val="008E182B"/>
    <w:rsid w:val="008F43D9"/>
    <w:rsid w:val="008F6962"/>
    <w:rsid w:val="00900392"/>
    <w:rsid w:val="009019B6"/>
    <w:rsid w:val="009039BA"/>
    <w:rsid w:val="00904C51"/>
    <w:rsid w:val="009134B6"/>
    <w:rsid w:val="00914C92"/>
    <w:rsid w:val="00920547"/>
    <w:rsid w:val="0095011C"/>
    <w:rsid w:val="00951508"/>
    <w:rsid w:val="009531BF"/>
    <w:rsid w:val="00962DCD"/>
    <w:rsid w:val="009673AD"/>
    <w:rsid w:val="0096740F"/>
    <w:rsid w:val="00984565"/>
    <w:rsid w:val="00986497"/>
    <w:rsid w:val="00991B68"/>
    <w:rsid w:val="009B7DB3"/>
    <w:rsid w:val="009D2F9D"/>
    <w:rsid w:val="009E1025"/>
    <w:rsid w:val="009E1D85"/>
    <w:rsid w:val="009E5687"/>
    <w:rsid w:val="00A33FFF"/>
    <w:rsid w:val="00A34842"/>
    <w:rsid w:val="00A42EEA"/>
    <w:rsid w:val="00A5102F"/>
    <w:rsid w:val="00A52A1C"/>
    <w:rsid w:val="00A66F31"/>
    <w:rsid w:val="00A7638A"/>
    <w:rsid w:val="00A84283"/>
    <w:rsid w:val="00A920E3"/>
    <w:rsid w:val="00A93DE9"/>
    <w:rsid w:val="00A93FA7"/>
    <w:rsid w:val="00A970FF"/>
    <w:rsid w:val="00AA6554"/>
    <w:rsid w:val="00AA6EBF"/>
    <w:rsid w:val="00AA77A8"/>
    <w:rsid w:val="00AD2EDD"/>
    <w:rsid w:val="00AE5624"/>
    <w:rsid w:val="00AE59A9"/>
    <w:rsid w:val="00AF2880"/>
    <w:rsid w:val="00AF54B4"/>
    <w:rsid w:val="00B15E86"/>
    <w:rsid w:val="00B21616"/>
    <w:rsid w:val="00B24078"/>
    <w:rsid w:val="00B33522"/>
    <w:rsid w:val="00B33F30"/>
    <w:rsid w:val="00B34690"/>
    <w:rsid w:val="00B34F1A"/>
    <w:rsid w:val="00B36809"/>
    <w:rsid w:val="00B42988"/>
    <w:rsid w:val="00B67A63"/>
    <w:rsid w:val="00B70766"/>
    <w:rsid w:val="00B922B9"/>
    <w:rsid w:val="00B97C51"/>
    <w:rsid w:val="00BA12CA"/>
    <w:rsid w:val="00BA2B31"/>
    <w:rsid w:val="00BB4FED"/>
    <w:rsid w:val="00BC4253"/>
    <w:rsid w:val="00BD186B"/>
    <w:rsid w:val="00BE4C93"/>
    <w:rsid w:val="00BF6FFE"/>
    <w:rsid w:val="00C03098"/>
    <w:rsid w:val="00C16E32"/>
    <w:rsid w:val="00C40AAA"/>
    <w:rsid w:val="00C435C9"/>
    <w:rsid w:val="00C6322B"/>
    <w:rsid w:val="00C729D3"/>
    <w:rsid w:val="00C72B55"/>
    <w:rsid w:val="00CA675A"/>
    <w:rsid w:val="00CB0B30"/>
    <w:rsid w:val="00CD1472"/>
    <w:rsid w:val="00CD39DF"/>
    <w:rsid w:val="00CD55C1"/>
    <w:rsid w:val="00CE3E62"/>
    <w:rsid w:val="00CF1DD4"/>
    <w:rsid w:val="00D0241B"/>
    <w:rsid w:val="00D24AA4"/>
    <w:rsid w:val="00D24D76"/>
    <w:rsid w:val="00D32C83"/>
    <w:rsid w:val="00D3368D"/>
    <w:rsid w:val="00D47E0B"/>
    <w:rsid w:val="00D71B83"/>
    <w:rsid w:val="00D76790"/>
    <w:rsid w:val="00D87B1A"/>
    <w:rsid w:val="00D9408B"/>
    <w:rsid w:val="00D975F5"/>
    <w:rsid w:val="00DA6079"/>
    <w:rsid w:val="00DC502B"/>
    <w:rsid w:val="00DC64AB"/>
    <w:rsid w:val="00DF7D60"/>
    <w:rsid w:val="00E02654"/>
    <w:rsid w:val="00E05B0B"/>
    <w:rsid w:val="00E20763"/>
    <w:rsid w:val="00E21207"/>
    <w:rsid w:val="00E25FF0"/>
    <w:rsid w:val="00E26BDB"/>
    <w:rsid w:val="00E36817"/>
    <w:rsid w:val="00E42011"/>
    <w:rsid w:val="00E600CE"/>
    <w:rsid w:val="00E61280"/>
    <w:rsid w:val="00E61E52"/>
    <w:rsid w:val="00E67882"/>
    <w:rsid w:val="00E72C8E"/>
    <w:rsid w:val="00E8555F"/>
    <w:rsid w:val="00E86A88"/>
    <w:rsid w:val="00E91849"/>
    <w:rsid w:val="00E97F52"/>
    <w:rsid w:val="00EA48B3"/>
    <w:rsid w:val="00EA7227"/>
    <w:rsid w:val="00ED1822"/>
    <w:rsid w:val="00ED3631"/>
    <w:rsid w:val="00F0460C"/>
    <w:rsid w:val="00F05D27"/>
    <w:rsid w:val="00F128B2"/>
    <w:rsid w:val="00F14D6C"/>
    <w:rsid w:val="00F21CC6"/>
    <w:rsid w:val="00F31D9D"/>
    <w:rsid w:val="00F35970"/>
    <w:rsid w:val="00F4317A"/>
    <w:rsid w:val="00F50E7A"/>
    <w:rsid w:val="00F54F6E"/>
    <w:rsid w:val="00F633AC"/>
    <w:rsid w:val="00F66AEB"/>
    <w:rsid w:val="00F74F95"/>
    <w:rsid w:val="00F7725C"/>
    <w:rsid w:val="00F827D7"/>
    <w:rsid w:val="00F8472B"/>
    <w:rsid w:val="00FA2CF4"/>
    <w:rsid w:val="00FA4D1B"/>
    <w:rsid w:val="00FD53A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EF6C5B"/>
  <w15:chartTrackingRefBased/>
  <w15:docId w15:val="{BC79729C-A419-43D2-8E50-8B9241F3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D85"/>
  </w:style>
  <w:style w:type="paragraph" w:styleId="Heading1">
    <w:name w:val="heading 1"/>
    <w:basedOn w:val="Normal"/>
    <w:next w:val="Normal"/>
    <w:link w:val="Heading1Char"/>
    <w:uiPriority w:val="9"/>
    <w:qFormat/>
    <w:rsid w:val="003F5DD3"/>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DD3"/>
  </w:style>
  <w:style w:type="paragraph" w:styleId="Footer">
    <w:name w:val="footer"/>
    <w:basedOn w:val="Normal"/>
    <w:link w:val="FooterChar"/>
    <w:uiPriority w:val="99"/>
    <w:unhideWhenUsed/>
    <w:qFormat/>
    <w:rsid w:val="003F5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DD3"/>
  </w:style>
  <w:style w:type="character" w:customStyle="1" w:styleId="Heading1Char">
    <w:name w:val="Heading 1 Char"/>
    <w:basedOn w:val="DefaultParagraphFont"/>
    <w:link w:val="Heading1"/>
    <w:uiPriority w:val="9"/>
    <w:rsid w:val="003F5DD3"/>
    <w:rPr>
      <w:rFonts w:asciiTheme="majorHAnsi" w:eastAsiaTheme="majorEastAsia" w:hAnsiTheme="majorHAnsi" w:cstheme="majorBidi"/>
      <w:color w:val="7C9163" w:themeColor="accent1" w:themeShade="BF"/>
      <w:sz w:val="32"/>
      <w:szCs w:val="32"/>
    </w:rPr>
  </w:style>
  <w:style w:type="paragraph" w:styleId="TOCHeading">
    <w:name w:val="TOC Heading"/>
    <w:basedOn w:val="Heading1"/>
    <w:next w:val="Normal"/>
    <w:uiPriority w:val="39"/>
    <w:unhideWhenUsed/>
    <w:qFormat/>
    <w:rsid w:val="003F5DD3"/>
    <w:pPr>
      <w:outlineLvl w:val="9"/>
    </w:pPr>
    <w:rPr>
      <w:lang w:val="en-US"/>
    </w:rPr>
  </w:style>
  <w:style w:type="paragraph" w:styleId="FootnoteText">
    <w:name w:val="footnote text"/>
    <w:basedOn w:val="Normal"/>
    <w:link w:val="FootnoteTextChar"/>
    <w:uiPriority w:val="99"/>
    <w:semiHidden/>
    <w:unhideWhenUsed/>
    <w:rsid w:val="003F5D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DD3"/>
    <w:rPr>
      <w:sz w:val="20"/>
      <w:szCs w:val="20"/>
    </w:rPr>
  </w:style>
  <w:style w:type="character" w:styleId="FootnoteReference">
    <w:name w:val="footnote reference"/>
    <w:basedOn w:val="DefaultParagraphFont"/>
    <w:uiPriority w:val="99"/>
    <w:semiHidden/>
    <w:unhideWhenUsed/>
    <w:rsid w:val="003F5DD3"/>
    <w:rPr>
      <w:vertAlign w:val="superscript"/>
    </w:rPr>
  </w:style>
  <w:style w:type="character" w:styleId="CommentReference">
    <w:name w:val="annotation reference"/>
    <w:basedOn w:val="DefaultParagraphFont"/>
    <w:uiPriority w:val="99"/>
    <w:semiHidden/>
    <w:unhideWhenUsed/>
    <w:rsid w:val="00ED3631"/>
    <w:rPr>
      <w:sz w:val="18"/>
      <w:szCs w:val="18"/>
    </w:rPr>
  </w:style>
  <w:style w:type="paragraph" w:styleId="CommentText">
    <w:name w:val="annotation text"/>
    <w:basedOn w:val="Normal"/>
    <w:link w:val="CommentTextChar"/>
    <w:uiPriority w:val="99"/>
    <w:unhideWhenUsed/>
    <w:rsid w:val="00ED3631"/>
    <w:pPr>
      <w:spacing w:after="0" w:line="240" w:lineRule="auto"/>
    </w:pPr>
    <w:rPr>
      <w:rFonts w:eastAsiaTheme="minorEastAsia"/>
      <w:szCs w:val="20"/>
      <w:lang w:val="en-US"/>
    </w:rPr>
  </w:style>
  <w:style w:type="character" w:customStyle="1" w:styleId="CommentTextChar">
    <w:name w:val="Comment Text Char"/>
    <w:basedOn w:val="DefaultParagraphFont"/>
    <w:link w:val="CommentText"/>
    <w:uiPriority w:val="99"/>
    <w:rsid w:val="00ED3631"/>
    <w:rPr>
      <w:rFonts w:eastAsiaTheme="minorEastAsia"/>
      <w:szCs w:val="20"/>
      <w:lang w:val="en-US"/>
    </w:rPr>
  </w:style>
  <w:style w:type="paragraph" w:styleId="BalloonText">
    <w:name w:val="Balloon Text"/>
    <w:basedOn w:val="Normal"/>
    <w:link w:val="BalloonTextChar"/>
    <w:uiPriority w:val="99"/>
    <w:semiHidden/>
    <w:unhideWhenUsed/>
    <w:rsid w:val="00ED3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631"/>
    <w:rPr>
      <w:rFonts w:ascii="Segoe UI" w:hAnsi="Segoe UI" w:cs="Segoe UI"/>
      <w:sz w:val="18"/>
      <w:szCs w:val="18"/>
    </w:rPr>
  </w:style>
  <w:style w:type="paragraph" w:styleId="ListParagraph">
    <w:name w:val="List Paragraph"/>
    <w:basedOn w:val="Normal"/>
    <w:uiPriority w:val="34"/>
    <w:qFormat/>
    <w:rsid w:val="006B7D76"/>
    <w:pPr>
      <w:ind w:left="720"/>
      <w:contextualSpacing/>
    </w:pPr>
  </w:style>
  <w:style w:type="paragraph" w:styleId="Title">
    <w:name w:val="Title"/>
    <w:basedOn w:val="Normal"/>
    <w:next w:val="Normal"/>
    <w:link w:val="TitleChar"/>
    <w:uiPriority w:val="10"/>
    <w:qFormat/>
    <w:rsid w:val="00DF7D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D6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4B3F69"/>
    <w:pPr>
      <w:spacing w:after="160"/>
    </w:pPr>
    <w:rPr>
      <w:rFonts w:eastAsiaTheme="minorHAnsi"/>
      <w:b/>
      <w:bCs/>
      <w:sz w:val="20"/>
      <w:lang w:val="en-AU"/>
    </w:rPr>
  </w:style>
  <w:style w:type="character" w:customStyle="1" w:styleId="CommentSubjectChar">
    <w:name w:val="Comment Subject Char"/>
    <w:basedOn w:val="CommentTextChar"/>
    <w:link w:val="CommentSubject"/>
    <w:uiPriority w:val="99"/>
    <w:semiHidden/>
    <w:rsid w:val="004B3F69"/>
    <w:rPr>
      <w:rFonts w:eastAsiaTheme="minorEastAsia"/>
      <w:b/>
      <w:bCs/>
      <w:sz w:val="20"/>
      <w:szCs w:val="20"/>
      <w:lang w:val="en-US"/>
    </w:rPr>
  </w:style>
  <w:style w:type="character" w:styleId="Hyperlink">
    <w:name w:val="Hyperlink"/>
    <w:basedOn w:val="DefaultParagraphFont"/>
    <w:uiPriority w:val="99"/>
    <w:unhideWhenUsed/>
    <w:rsid w:val="00DA6079"/>
    <w:rPr>
      <w:color w:val="8E58B6" w:themeColor="hyperlink"/>
      <w:u w:val="single"/>
    </w:rPr>
  </w:style>
  <w:style w:type="table" w:styleId="TableGrid">
    <w:name w:val="Table Grid"/>
    <w:basedOn w:val="TableNormal"/>
    <w:uiPriority w:val="39"/>
    <w:rsid w:val="0090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47E0B"/>
    <w:pPr>
      <w:tabs>
        <w:tab w:val="right" w:leader="dot" w:pos="9038"/>
      </w:tabs>
      <w:spacing w:after="100"/>
    </w:pPr>
    <w:rPr>
      <w:rFonts w:asciiTheme="minorHAnsi" w:hAnsiTheme="minorHAnsi" w:cstheme="minorHAnsi"/>
    </w:rPr>
  </w:style>
  <w:style w:type="paragraph" w:customStyle="1" w:styleId="Default">
    <w:name w:val="Default"/>
    <w:rsid w:val="006E43D2"/>
    <w:pPr>
      <w:autoSpaceDE w:val="0"/>
      <w:autoSpaceDN w:val="0"/>
      <w:adjustRightInd w:val="0"/>
      <w:spacing w:after="0" w:line="240" w:lineRule="auto"/>
    </w:pPr>
    <w:rPr>
      <w:rFonts w:ascii="JBTIQO+TitilliumWeb-Light" w:hAnsi="JBTIQO+TitilliumWeb-Light" w:cs="JBTIQO+TitilliumWeb-Light"/>
      <w:color w:val="000000"/>
    </w:rPr>
  </w:style>
  <w:style w:type="paragraph" w:customStyle="1" w:styleId="Pa0">
    <w:name w:val="Pa0"/>
    <w:basedOn w:val="Default"/>
    <w:next w:val="Default"/>
    <w:uiPriority w:val="99"/>
    <w:rsid w:val="006E43D2"/>
    <w:pPr>
      <w:spacing w:line="181" w:lineRule="atLeast"/>
    </w:pPr>
    <w:rPr>
      <w:rFonts w:cs="Times New Roman"/>
      <w:color w:val="auto"/>
    </w:rPr>
  </w:style>
  <w:style w:type="paragraph" w:styleId="Revision">
    <w:name w:val="Revision"/>
    <w:hidden/>
    <w:uiPriority w:val="99"/>
    <w:semiHidden/>
    <w:rsid w:val="00B70766"/>
    <w:pPr>
      <w:spacing w:after="0" w:line="240" w:lineRule="auto"/>
    </w:pPr>
  </w:style>
  <w:style w:type="table" w:styleId="GridTable5Dark-Accent1">
    <w:name w:val="Grid Table 5 Dark Accent 1"/>
    <w:basedOn w:val="TableNormal"/>
    <w:uiPriority w:val="50"/>
    <w:rsid w:val="00033A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paragraph" w:styleId="NoSpacing">
    <w:name w:val="No Spacing"/>
    <w:uiPriority w:val="1"/>
    <w:qFormat/>
    <w:rsid w:val="00256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F8882B-6359-407D-A960-936A28892812}"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92F2FD13-7860-40C8-8B3A-4226E369EF93}">
      <dgm:prSet phldrT="[Text]"/>
      <dgm:spPr>
        <a:xfrm>
          <a:off x="1813086" y="407563"/>
          <a:ext cx="1967534" cy="2099992"/>
        </a:xfrm>
        <a:prstGeom prst="ellipse">
          <a:avLst/>
        </a:prstGeom>
        <a:gradFill flip="none" rotWithShape="1">
          <a:gsLst>
            <a:gs pos="0">
              <a:srgbClr val="A5B592">
                <a:hueOff val="0"/>
                <a:satOff val="0"/>
                <a:lumOff val="0"/>
                <a:tint val="66000"/>
                <a:satMod val="160000"/>
              </a:srgbClr>
            </a:gs>
            <a:gs pos="50000">
              <a:srgbClr val="A5B592">
                <a:hueOff val="0"/>
                <a:satOff val="0"/>
                <a:lumOff val="0"/>
                <a:tint val="44500"/>
                <a:satMod val="160000"/>
              </a:srgbClr>
            </a:gs>
            <a:gs pos="100000">
              <a:srgbClr val="A5B592">
                <a:hueOff val="0"/>
                <a:satOff val="0"/>
                <a:lumOff val="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Text" lastClr="000000"/>
              </a:solidFill>
              <a:latin typeface="Calibri" panose="020F0502020204030204"/>
              <a:ea typeface="+mn-ea"/>
              <a:cs typeface="+mn-cs"/>
            </a:rPr>
            <a:t>Priority Areas </a:t>
          </a:r>
        </a:p>
      </dgm:t>
    </dgm:pt>
    <dgm:pt modelId="{A6284C3D-16AD-4C16-8D60-AB128BFC6C73}" type="parTrans" cxnId="{80153C61-E639-498E-9480-357401D8FF99}">
      <dgm:prSet/>
      <dgm:spPr/>
      <dgm:t>
        <a:bodyPr/>
        <a:lstStyle/>
        <a:p>
          <a:endParaRPr lang="en-US"/>
        </a:p>
      </dgm:t>
    </dgm:pt>
    <dgm:pt modelId="{F7EE06A8-522A-4E0F-B8B8-5DFAF41E861C}" type="sibTrans" cxnId="{80153C61-E639-498E-9480-357401D8FF99}">
      <dgm:prSet/>
      <dgm:spPr/>
      <dgm:t>
        <a:bodyPr/>
        <a:lstStyle/>
        <a:p>
          <a:endParaRPr lang="en-US"/>
        </a:p>
      </dgm:t>
    </dgm:pt>
    <dgm:pt modelId="{3696A1AF-E8F5-4599-A7FE-9A3E277008C2}">
      <dgm:prSet phldrT="[Text]"/>
      <dgm:spPr>
        <a:xfrm>
          <a:off x="2183936" y="-179917"/>
          <a:ext cx="1296494" cy="1215159"/>
        </a:xfrm>
        <a:prstGeom prst="ellipse">
          <a:avLst/>
        </a:prstGeom>
        <a:gradFill flip="none" rotWithShape="1">
          <a:gsLst>
            <a:gs pos="0">
              <a:srgbClr val="A5B592">
                <a:hueOff val="0"/>
                <a:satOff val="0"/>
                <a:lumOff val="0"/>
                <a:tint val="66000"/>
                <a:satMod val="160000"/>
                <a:alpha val="0"/>
              </a:srgbClr>
            </a:gs>
            <a:gs pos="50000">
              <a:srgbClr val="A5B592">
                <a:hueOff val="0"/>
                <a:satOff val="0"/>
                <a:lumOff val="0"/>
                <a:tint val="44500"/>
                <a:satMod val="160000"/>
              </a:srgbClr>
            </a:gs>
            <a:gs pos="100000">
              <a:srgbClr val="A5B592">
                <a:hueOff val="0"/>
                <a:satOff val="0"/>
                <a:lumOff val="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gm:spPr>
      <dgm:t>
        <a:bodyPr/>
        <a:lstStyle/>
        <a:p>
          <a:r>
            <a:rPr lang="en-AU" b="1">
              <a:solidFill>
                <a:sysClr val="windowText" lastClr="000000"/>
              </a:solidFill>
              <a:latin typeface="Calibri" panose="020F0502020204030204"/>
              <a:ea typeface="+mn-ea"/>
              <a:cs typeface="+mn-cs"/>
            </a:rPr>
            <a:t>Pre-Market</a:t>
          </a:r>
          <a:endParaRPr lang="en-US">
            <a:solidFill>
              <a:sysClr val="windowText" lastClr="000000"/>
            </a:solidFill>
            <a:latin typeface="Calibri" panose="020F0502020204030204"/>
            <a:ea typeface="+mn-ea"/>
            <a:cs typeface="+mn-cs"/>
          </a:endParaRPr>
        </a:p>
      </dgm:t>
    </dgm:pt>
    <dgm:pt modelId="{462C000D-B0E0-49E5-A7D6-BBB8E6299244}" type="parTrans" cxnId="{BCDC6DED-218B-4B11-AAD2-783DEB39AAAF}">
      <dgm:prSet/>
      <dgm:spPr/>
      <dgm:t>
        <a:bodyPr/>
        <a:lstStyle/>
        <a:p>
          <a:endParaRPr lang="en-US"/>
        </a:p>
      </dgm:t>
    </dgm:pt>
    <dgm:pt modelId="{0DFEEC8C-3B2F-42DA-AB2C-CDC235B5966E}" type="sibTrans" cxnId="{BCDC6DED-218B-4B11-AAD2-783DEB39AAAF}">
      <dgm:prSet/>
      <dgm:spPr/>
      <dgm:t>
        <a:bodyPr/>
        <a:lstStyle/>
        <a:p>
          <a:endParaRPr lang="en-US"/>
        </a:p>
      </dgm:t>
    </dgm:pt>
    <dgm:pt modelId="{6299628C-1304-4035-838B-F5D508C80033}">
      <dgm:prSet phldrT="[Text]"/>
      <dgm:spPr>
        <a:xfrm>
          <a:off x="3507660" y="838787"/>
          <a:ext cx="1309203" cy="1219870"/>
        </a:xfrm>
        <a:prstGeom prst="ellipse">
          <a:avLst/>
        </a:prstGeom>
        <a:gradFill flip="none" rotWithShape="1">
          <a:gsLst>
            <a:gs pos="0">
              <a:srgbClr val="A5B592">
                <a:hueOff val="0"/>
                <a:satOff val="0"/>
                <a:lumOff val="0"/>
                <a:tint val="66000"/>
                <a:satMod val="160000"/>
                <a:alpha val="0"/>
              </a:srgbClr>
            </a:gs>
            <a:gs pos="50000">
              <a:srgbClr val="A5B592">
                <a:hueOff val="0"/>
                <a:satOff val="0"/>
                <a:lumOff val="0"/>
                <a:tint val="44500"/>
                <a:satMod val="160000"/>
              </a:srgbClr>
            </a:gs>
            <a:gs pos="100000">
              <a:srgbClr val="A5B592">
                <a:hueOff val="0"/>
                <a:satOff val="0"/>
                <a:lumOff val="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gm:spPr>
      <dgm:t>
        <a:bodyPr/>
        <a:lstStyle/>
        <a:p>
          <a:r>
            <a:rPr lang="en-US" b="1">
              <a:solidFill>
                <a:sysClr val="windowText" lastClr="000000"/>
              </a:solidFill>
              <a:latin typeface="Calibri" panose="020F0502020204030204"/>
              <a:ea typeface="+mn-ea"/>
              <a:cs typeface="+mn-cs"/>
            </a:rPr>
            <a:t>Post-Market</a:t>
          </a:r>
        </a:p>
      </dgm:t>
    </dgm:pt>
    <dgm:pt modelId="{044110BF-06DB-4DF2-8342-642FD0FD0847}" type="parTrans" cxnId="{88B60E24-817B-4A9A-A0A5-7AB5BF5B3BD7}">
      <dgm:prSet/>
      <dgm:spPr/>
      <dgm:t>
        <a:bodyPr/>
        <a:lstStyle/>
        <a:p>
          <a:endParaRPr lang="en-US"/>
        </a:p>
      </dgm:t>
    </dgm:pt>
    <dgm:pt modelId="{F81C9E0C-AB11-4DCA-9C8B-4CE83B469D58}" type="sibTrans" cxnId="{88B60E24-817B-4A9A-A0A5-7AB5BF5B3BD7}">
      <dgm:prSet/>
      <dgm:spPr/>
      <dgm:t>
        <a:bodyPr/>
        <a:lstStyle/>
        <a:p>
          <a:endParaRPr lang="en-US"/>
        </a:p>
      </dgm:t>
    </dgm:pt>
    <dgm:pt modelId="{562A309F-C128-404C-8E37-79E72BA9274B}">
      <dgm:prSet phldrT="[Text]"/>
      <dgm:spPr>
        <a:xfrm>
          <a:off x="790022" y="786618"/>
          <a:ext cx="1330385" cy="1253590"/>
        </a:xfrm>
        <a:prstGeom prst="ellipse">
          <a:avLst/>
        </a:prstGeom>
        <a:gradFill flip="none" rotWithShape="1">
          <a:gsLst>
            <a:gs pos="0">
              <a:srgbClr val="A5B592">
                <a:hueOff val="0"/>
                <a:satOff val="0"/>
                <a:tint val="66000"/>
                <a:satMod val="160000"/>
                <a:alpha val="0"/>
                <a:lumMod val="72000"/>
                <a:lumOff val="28000"/>
              </a:srgbClr>
            </a:gs>
            <a:gs pos="50000">
              <a:srgbClr val="A5B592">
                <a:hueOff val="0"/>
                <a:satOff val="0"/>
                <a:lumOff val="0"/>
                <a:tint val="44500"/>
                <a:satMod val="160000"/>
              </a:srgbClr>
            </a:gs>
            <a:gs pos="100000">
              <a:srgbClr val="A5B592">
                <a:hueOff val="0"/>
                <a:satOff val="0"/>
                <a:lumOff val="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gm:spPr>
      <dgm:t>
        <a:bodyPr/>
        <a:lstStyle/>
        <a:p>
          <a:r>
            <a:rPr lang="en-US" b="1">
              <a:solidFill>
                <a:sysClr val="windowText" lastClr="000000"/>
              </a:solidFill>
              <a:latin typeface="Calibri" panose="020F0502020204030204"/>
              <a:ea typeface="+mn-ea"/>
              <a:cs typeface="+mn-cs"/>
            </a:rPr>
            <a:t>Relationships with Stakeholders</a:t>
          </a:r>
          <a:endParaRPr lang="en-US">
            <a:solidFill>
              <a:sysClr val="windowText" lastClr="000000"/>
            </a:solidFill>
            <a:latin typeface="Calibri" panose="020F0502020204030204"/>
            <a:ea typeface="+mn-ea"/>
            <a:cs typeface="+mn-cs"/>
          </a:endParaRPr>
        </a:p>
      </dgm:t>
    </dgm:pt>
    <dgm:pt modelId="{9E4D2570-FDDC-42D9-80EF-C1D4237E67B5}" type="parTrans" cxnId="{AA71A56D-5358-49E1-9603-4CC5C1DA5A5D}">
      <dgm:prSet/>
      <dgm:spPr/>
      <dgm:t>
        <a:bodyPr/>
        <a:lstStyle/>
        <a:p>
          <a:endParaRPr lang="en-US"/>
        </a:p>
      </dgm:t>
    </dgm:pt>
    <dgm:pt modelId="{073612D3-F7D4-4158-A3C7-1BF2890CF584}" type="sibTrans" cxnId="{AA71A56D-5358-49E1-9603-4CC5C1DA5A5D}">
      <dgm:prSet/>
      <dgm:spPr/>
      <dgm:t>
        <a:bodyPr/>
        <a:lstStyle/>
        <a:p>
          <a:endParaRPr lang="en-US"/>
        </a:p>
      </dgm:t>
    </dgm:pt>
    <dgm:pt modelId="{668C1FEF-AE1E-40C0-BD78-0B3A56EED747}" type="pres">
      <dgm:prSet presAssocID="{C0F8882B-6359-407D-A960-936A28892812}" presName="composite" presStyleCnt="0">
        <dgm:presLayoutVars>
          <dgm:chMax val="1"/>
          <dgm:dir/>
          <dgm:resizeHandles val="exact"/>
        </dgm:presLayoutVars>
      </dgm:prSet>
      <dgm:spPr/>
      <dgm:t>
        <a:bodyPr/>
        <a:lstStyle/>
        <a:p>
          <a:endParaRPr lang="en-US"/>
        </a:p>
      </dgm:t>
    </dgm:pt>
    <dgm:pt modelId="{8E951FEE-9B68-4035-B0B1-9705A2AF4BD6}" type="pres">
      <dgm:prSet presAssocID="{C0F8882B-6359-407D-A960-936A28892812}" presName="radial" presStyleCnt="0">
        <dgm:presLayoutVars>
          <dgm:animLvl val="ctr"/>
        </dgm:presLayoutVars>
      </dgm:prSet>
      <dgm:spPr/>
    </dgm:pt>
    <dgm:pt modelId="{590AA205-3566-4FDF-932B-DD3D98D41460}" type="pres">
      <dgm:prSet presAssocID="{92F2FD13-7860-40C8-8B3A-4226E369EF93}" presName="centerShape" presStyleLbl="vennNode1" presStyleIdx="0" presStyleCnt="4" custScaleX="120288" custScaleY="128386"/>
      <dgm:spPr/>
      <dgm:t>
        <a:bodyPr/>
        <a:lstStyle/>
        <a:p>
          <a:endParaRPr lang="en-US"/>
        </a:p>
      </dgm:t>
    </dgm:pt>
    <dgm:pt modelId="{98765A99-78F1-47CD-89EB-28B6F9C6B417}" type="pres">
      <dgm:prSet presAssocID="{3696A1AF-E8F5-4599-A7FE-9A3E277008C2}" presName="node" presStyleLbl="vennNode1" presStyleIdx="1" presStyleCnt="4" custScaleX="158526" custScaleY="148581" custRadScaleRad="96742" custRadScaleInc="2183">
        <dgm:presLayoutVars>
          <dgm:bulletEnabled val="1"/>
        </dgm:presLayoutVars>
      </dgm:prSet>
      <dgm:spPr/>
      <dgm:t>
        <a:bodyPr/>
        <a:lstStyle/>
        <a:p>
          <a:endParaRPr lang="en-US"/>
        </a:p>
      </dgm:t>
    </dgm:pt>
    <dgm:pt modelId="{DEFC96A9-5D24-452B-959A-EB4937C78FD5}" type="pres">
      <dgm:prSet presAssocID="{6299628C-1304-4035-838B-F5D508C80033}" presName="node" presStyleLbl="vennNode1" presStyleIdx="2" presStyleCnt="4" custScaleX="160080" custScaleY="149157" custRadScaleRad="120753" custRadScaleInc="-18106">
        <dgm:presLayoutVars>
          <dgm:bulletEnabled val="1"/>
        </dgm:presLayoutVars>
      </dgm:prSet>
      <dgm:spPr/>
      <dgm:t>
        <a:bodyPr/>
        <a:lstStyle/>
        <a:p>
          <a:endParaRPr lang="en-US"/>
        </a:p>
      </dgm:t>
    </dgm:pt>
    <dgm:pt modelId="{B3FAC45B-562E-4CB9-B635-60A8B55B98EE}" type="pres">
      <dgm:prSet presAssocID="{562A309F-C128-404C-8E37-79E72BA9274B}" presName="node" presStyleLbl="vennNode1" presStyleIdx="3" presStyleCnt="4" custScaleX="162670" custScaleY="153280" custRadScaleRad="130589" custRadScaleInc="18628">
        <dgm:presLayoutVars>
          <dgm:bulletEnabled val="1"/>
        </dgm:presLayoutVars>
      </dgm:prSet>
      <dgm:spPr/>
      <dgm:t>
        <a:bodyPr/>
        <a:lstStyle/>
        <a:p>
          <a:endParaRPr lang="en-US"/>
        </a:p>
      </dgm:t>
    </dgm:pt>
  </dgm:ptLst>
  <dgm:cxnLst>
    <dgm:cxn modelId="{E98B6128-DD56-463D-B497-9291E4BDD71E}" type="presOf" srcId="{562A309F-C128-404C-8E37-79E72BA9274B}" destId="{B3FAC45B-562E-4CB9-B635-60A8B55B98EE}" srcOrd="0" destOrd="0" presId="urn:microsoft.com/office/officeart/2005/8/layout/radial3"/>
    <dgm:cxn modelId="{10FC523C-9CD3-4A3F-B449-FBD64C33906B}" type="presOf" srcId="{92F2FD13-7860-40C8-8B3A-4226E369EF93}" destId="{590AA205-3566-4FDF-932B-DD3D98D41460}" srcOrd="0" destOrd="0" presId="urn:microsoft.com/office/officeart/2005/8/layout/radial3"/>
    <dgm:cxn modelId="{80153C61-E639-498E-9480-357401D8FF99}" srcId="{C0F8882B-6359-407D-A960-936A28892812}" destId="{92F2FD13-7860-40C8-8B3A-4226E369EF93}" srcOrd="0" destOrd="0" parTransId="{A6284C3D-16AD-4C16-8D60-AB128BFC6C73}" sibTransId="{F7EE06A8-522A-4E0F-B8B8-5DFAF41E861C}"/>
    <dgm:cxn modelId="{E1AB583D-4B41-45E8-AEE5-20CD84712FC7}" type="presOf" srcId="{3696A1AF-E8F5-4599-A7FE-9A3E277008C2}" destId="{98765A99-78F1-47CD-89EB-28B6F9C6B417}" srcOrd="0" destOrd="0" presId="urn:microsoft.com/office/officeart/2005/8/layout/radial3"/>
    <dgm:cxn modelId="{88B60E24-817B-4A9A-A0A5-7AB5BF5B3BD7}" srcId="{92F2FD13-7860-40C8-8B3A-4226E369EF93}" destId="{6299628C-1304-4035-838B-F5D508C80033}" srcOrd="1" destOrd="0" parTransId="{044110BF-06DB-4DF2-8342-642FD0FD0847}" sibTransId="{F81C9E0C-AB11-4DCA-9C8B-4CE83B469D58}"/>
    <dgm:cxn modelId="{7F8951AB-70EA-4D9C-9069-830BD97B5F73}" type="presOf" srcId="{C0F8882B-6359-407D-A960-936A28892812}" destId="{668C1FEF-AE1E-40C0-BD78-0B3A56EED747}" srcOrd="0" destOrd="0" presId="urn:microsoft.com/office/officeart/2005/8/layout/radial3"/>
    <dgm:cxn modelId="{BCDC6DED-218B-4B11-AAD2-783DEB39AAAF}" srcId="{92F2FD13-7860-40C8-8B3A-4226E369EF93}" destId="{3696A1AF-E8F5-4599-A7FE-9A3E277008C2}" srcOrd="0" destOrd="0" parTransId="{462C000D-B0E0-49E5-A7D6-BBB8E6299244}" sibTransId="{0DFEEC8C-3B2F-42DA-AB2C-CDC235B5966E}"/>
    <dgm:cxn modelId="{0C9D6BA6-2CEA-4698-A094-72806B87328B}" type="presOf" srcId="{6299628C-1304-4035-838B-F5D508C80033}" destId="{DEFC96A9-5D24-452B-959A-EB4937C78FD5}" srcOrd="0" destOrd="0" presId="urn:microsoft.com/office/officeart/2005/8/layout/radial3"/>
    <dgm:cxn modelId="{AA71A56D-5358-49E1-9603-4CC5C1DA5A5D}" srcId="{92F2FD13-7860-40C8-8B3A-4226E369EF93}" destId="{562A309F-C128-404C-8E37-79E72BA9274B}" srcOrd="2" destOrd="0" parTransId="{9E4D2570-FDDC-42D9-80EF-C1D4237E67B5}" sibTransId="{073612D3-F7D4-4158-A3C7-1BF2890CF584}"/>
    <dgm:cxn modelId="{00B4CFD4-1E7E-4D4D-A00C-04D0404AA749}" type="presParOf" srcId="{668C1FEF-AE1E-40C0-BD78-0B3A56EED747}" destId="{8E951FEE-9B68-4035-B0B1-9705A2AF4BD6}" srcOrd="0" destOrd="0" presId="urn:microsoft.com/office/officeart/2005/8/layout/radial3"/>
    <dgm:cxn modelId="{BB0AF290-F1AD-4B0B-B563-2F085FAEE0AB}" type="presParOf" srcId="{8E951FEE-9B68-4035-B0B1-9705A2AF4BD6}" destId="{590AA205-3566-4FDF-932B-DD3D98D41460}" srcOrd="0" destOrd="0" presId="urn:microsoft.com/office/officeart/2005/8/layout/radial3"/>
    <dgm:cxn modelId="{ED00FDD7-6D55-436F-9684-F12C1B3D2940}" type="presParOf" srcId="{8E951FEE-9B68-4035-B0B1-9705A2AF4BD6}" destId="{98765A99-78F1-47CD-89EB-28B6F9C6B417}" srcOrd="1" destOrd="0" presId="urn:microsoft.com/office/officeart/2005/8/layout/radial3"/>
    <dgm:cxn modelId="{88BE5FEF-817F-49D6-BC7F-CDC74CA57054}" type="presParOf" srcId="{8E951FEE-9B68-4035-B0B1-9705A2AF4BD6}" destId="{DEFC96A9-5D24-452B-959A-EB4937C78FD5}" srcOrd="2" destOrd="0" presId="urn:microsoft.com/office/officeart/2005/8/layout/radial3"/>
    <dgm:cxn modelId="{7EF0BA18-7C03-4C45-9C2C-4D610F15048C}" type="presParOf" srcId="{8E951FEE-9B68-4035-B0B1-9705A2AF4BD6}" destId="{B3FAC45B-562E-4CB9-B635-60A8B55B98EE}" srcOrd="3" destOrd="0" presId="urn:microsoft.com/office/officeart/2005/8/layout/radial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0AA205-3566-4FDF-932B-DD3D98D41460}">
      <dsp:nvSpPr>
        <dsp:cNvPr id="0" name=""/>
        <dsp:cNvSpPr/>
      </dsp:nvSpPr>
      <dsp:spPr>
        <a:xfrm>
          <a:off x="1708003" y="595635"/>
          <a:ext cx="2178836" cy="2325519"/>
        </a:xfrm>
        <a:prstGeom prst="ellipse">
          <a:avLst/>
        </a:prstGeom>
        <a:gradFill flip="none" rotWithShape="1">
          <a:gsLst>
            <a:gs pos="0">
              <a:srgbClr val="A5B592">
                <a:hueOff val="0"/>
                <a:satOff val="0"/>
                <a:lumOff val="0"/>
                <a:tint val="66000"/>
                <a:satMod val="160000"/>
              </a:srgbClr>
            </a:gs>
            <a:gs pos="50000">
              <a:srgbClr val="A5B592">
                <a:hueOff val="0"/>
                <a:satOff val="0"/>
                <a:lumOff val="0"/>
                <a:tint val="44500"/>
                <a:satMod val="160000"/>
              </a:srgbClr>
            </a:gs>
            <a:gs pos="100000">
              <a:srgbClr val="A5B592">
                <a:hueOff val="0"/>
                <a:satOff val="0"/>
                <a:lumOff val="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8260" tIns="48260" rIns="48260" bIns="48260" numCol="1" spcCol="1270" anchor="ctr" anchorCtr="0">
          <a:noAutofit/>
        </a:bodyPr>
        <a:lstStyle/>
        <a:p>
          <a:pPr lvl="0" algn="ctr" defTabSz="1689100">
            <a:lnSpc>
              <a:spcPct val="90000"/>
            </a:lnSpc>
            <a:spcBef>
              <a:spcPct val="0"/>
            </a:spcBef>
            <a:spcAft>
              <a:spcPct val="35000"/>
            </a:spcAft>
          </a:pPr>
          <a:r>
            <a:rPr lang="en-US" sz="3800" kern="1200">
              <a:solidFill>
                <a:sysClr val="windowText" lastClr="000000"/>
              </a:solidFill>
              <a:latin typeface="Calibri" panose="020F0502020204030204"/>
              <a:ea typeface="+mn-ea"/>
              <a:cs typeface="+mn-cs"/>
            </a:rPr>
            <a:t>Priority Areas </a:t>
          </a:r>
        </a:p>
      </dsp:txBody>
      <dsp:txXfrm>
        <a:off x="2027086" y="936199"/>
        <a:ext cx="1540670" cy="1644391"/>
      </dsp:txXfrm>
    </dsp:sp>
    <dsp:sp modelId="{98765A99-78F1-47CD-89EB-28B6F9C6B417}">
      <dsp:nvSpPr>
        <dsp:cNvPr id="0" name=""/>
        <dsp:cNvSpPr/>
      </dsp:nvSpPr>
      <dsp:spPr>
        <a:xfrm>
          <a:off x="2131663" y="-53302"/>
          <a:ext cx="1435730" cy="1345660"/>
        </a:xfrm>
        <a:prstGeom prst="ellipse">
          <a:avLst/>
        </a:prstGeom>
        <a:gradFill flip="none" rotWithShape="1">
          <a:gsLst>
            <a:gs pos="0">
              <a:srgbClr val="A5B592">
                <a:hueOff val="0"/>
                <a:satOff val="0"/>
                <a:lumOff val="0"/>
                <a:tint val="66000"/>
                <a:satMod val="160000"/>
                <a:alpha val="0"/>
              </a:srgbClr>
            </a:gs>
            <a:gs pos="50000">
              <a:srgbClr val="A5B592">
                <a:hueOff val="0"/>
                <a:satOff val="0"/>
                <a:lumOff val="0"/>
                <a:tint val="44500"/>
                <a:satMod val="160000"/>
              </a:srgbClr>
            </a:gs>
            <a:gs pos="100000">
              <a:srgbClr val="A5B592">
                <a:hueOff val="0"/>
                <a:satOff val="0"/>
                <a:lumOff val="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AU" sz="1400" b="1" kern="1200">
              <a:solidFill>
                <a:sysClr val="windowText" lastClr="000000"/>
              </a:solidFill>
              <a:latin typeface="Calibri" panose="020F0502020204030204"/>
              <a:ea typeface="+mn-ea"/>
              <a:cs typeface="+mn-cs"/>
            </a:rPr>
            <a:t>Pre-Market</a:t>
          </a:r>
          <a:endParaRPr lang="en-US" sz="1400" kern="1200">
            <a:solidFill>
              <a:sysClr val="windowText" lastClr="000000"/>
            </a:solidFill>
            <a:latin typeface="Calibri" panose="020F0502020204030204"/>
            <a:ea typeface="+mn-ea"/>
            <a:cs typeface="+mn-cs"/>
          </a:endParaRPr>
        </a:p>
      </dsp:txBody>
      <dsp:txXfrm>
        <a:off x="2341921" y="143765"/>
        <a:ext cx="1015214" cy="951526"/>
      </dsp:txXfrm>
    </dsp:sp>
    <dsp:sp modelId="{DEFC96A9-5D24-452B-959A-EB4937C78FD5}">
      <dsp:nvSpPr>
        <dsp:cNvPr id="0" name=""/>
        <dsp:cNvSpPr/>
      </dsp:nvSpPr>
      <dsp:spPr>
        <a:xfrm>
          <a:off x="3480728" y="1287709"/>
          <a:ext cx="1449804" cy="1350877"/>
        </a:xfrm>
        <a:prstGeom prst="ellipse">
          <a:avLst/>
        </a:prstGeom>
        <a:gradFill flip="none" rotWithShape="1">
          <a:gsLst>
            <a:gs pos="0">
              <a:srgbClr val="A5B592">
                <a:hueOff val="0"/>
                <a:satOff val="0"/>
                <a:lumOff val="0"/>
                <a:tint val="66000"/>
                <a:satMod val="160000"/>
                <a:alpha val="0"/>
              </a:srgbClr>
            </a:gs>
            <a:gs pos="50000">
              <a:srgbClr val="A5B592">
                <a:hueOff val="0"/>
                <a:satOff val="0"/>
                <a:lumOff val="0"/>
                <a:tint val="44500"/>
                <a:satMod val="160000"/>
              </a:srgbClr>
            </a:gs>
            <a:gs pos="100000">
              <a:srgbClr val="A5B592">
                <a:hueOff val="0"/>
                <a:satOff val="0"/>
                <a:lumOff val="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Calibri" panose="020F0502020204030204"/>
              <a:ea typeface="+mn-ea"/>
              <a:cs typeface="+mn-cs"/>
            </a:rPr>
            <a:t>Post-Market</a:t>
          </a:r>
        </a:p>
      </dsp:txBody>
      <dsp:txXfrm>
        <a:off x="3693047" y="1485540"/>
        <a:ext cx="1025166" cy="955215"/>
      </dsp:txXfrm>
    </dsp:sp>
    <dsp:sp modelId="{B3FAC45B-562E-4CB9-B635-60A8B55B98EE}">
      <dsp:nvSpPr>
        <dsp:cNvPr id="0" name=""/>
        <dsp:cNvSpPr/>
      </dsp:nvSpPr>
      <dsp:spPr>
        <a:xfrm>
          <a:off x="535546" y="1269054"/>
          <a:ext cx="1473261" cy="1388218"/>
        </a:xfrm>
        <a:prstGeom prst="ellipse">
          <a:avLst/>
        </a:prstGeom>
        <a:gradFill flip="none" rotWithShape="1">
          <a:gsLst>
            <a:gs pos="0">
              <a:srgbClr val="A5B592">
                <a:hueOff val="0"/>
                <a:satOff val="0"/>
                <a:tint val="66000"/>
                <a:satMod val="160000"/>
                <a:alpha val="0"/>
                <a:lumMod val="72000"/>
                <a:lumOff val="28000"/>
              </a:srgbClr>
            </a:gs>
            <a:gs pos="50000">
              <a:srgbClr val="A5B592">
                <a:hueOff val="0"/>
                <a:satOff val="0"/>
                <a:lumOff val="0"/>
                <a:tint val="44500"/>
                <a:satMod val="160000"/>
              </a:srgbClr>
            </a:gs>
            <a:gs pos="100000">
              <a:srgbClr val="A5B592">
                <a:hueOff val="0"/>
                <a:satOff val="0"/>
                <a:lumOff val="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Calibri" panose="020F0502020204030204"/>
              <a:ea typeface="+mn-ea"/>
              <a:cs typeface="+mn-cs"/>
            </a:rPr>
            <a:t>Relationships with Stakeholders</a:t>
          </a:r>
          <a:endParaRPr lang="en-US" sz="1400" kern="1200">
            <a:solidFill>
              <a:sysClr val="windowText" lastClr="000000"/>
            </a:solidFill>
            <a:latin typeface="Calibri" panose="020F0502020204030204"/>
            <a:ea typeface="+mn-ea"/>
            <a:cs typeface="+mn-cs"/>
          </a:endParaRPr>
        </a:p>
      </dsp:txBody>
      <dsp:txXfrm>
        <a:off x="751300" y="1472354"/>
        <a:ext cx="1041753" cy="981618"/>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426C3-719E-4E1A-A296-F6CC924F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2681</Words>
  <Characters>15284</Characters>
  <Application>Microsoft Office Word</Application>
  <DocSecurity>0</DocSecurity>
  <Lines>127</Lines>
  <Paragraphs>35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IMDRF Strategic Plan 2021 - 2025</dc:title>
  <dc:subject/>
  <dc:creator>IMDRF</dc:creator>
  <cp:keywords/>
  <dc:description/>
  <dcterms:created xsi:type="dcterms:W3CDTF">2020-11-03T05:06:00Z</dcterms:created>
  <dcterms:modified xsi:type="dcterms:W3CDTF">2020-11-10T06:19:00Z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Sethuraman_RAMA@hsa.gov.sg</vt:lpwstr>
  </property>
  <property fmtid="{D5CDD505-2E9C-101B-9397-08002B2CF9AE}" pid="5" name="MSIP_Label_3f9331f7-95a2-472a-92bc-d73219eb516b_SetDate">
    <vt:lpwstr>2020-08-21T05:07:39.0932737Z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2603c4be-5133-4d62-ac1a-5c3248f634e7</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Sethuraman_RAMA@hsa.gov.sg</vt:lpwstr>
  </property>
  <property fmtid="{D5CDD505-2E9C-101B-9397-08002B2CF9AE}" pid="13" name="MSIP_Label_4f288355-fb4c-44cd-b9ca-40cfc2aee5f8_SetDate">
    <vt:lpwstr>2020-08-21T05:07:39.0932737Z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2603c4be-5133-4d62-ac1a-5c3248f634e7</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